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E51" w:rsidP="00C85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LGAREG002 Provide evidence in court</w:t>
      </w:r>
      <w:r>
        <w:fldChar w:fldCharType="end"/>
      </w:r>
    </w:p>
    <w:p w:rsidR="00C85E51" w:rsidP="00C85E51">
      <w:pPr>
        <w:pStyle w:val="Version"/>
        <w:sectPr w:rsidSect="00AE1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037" w:rsidP="00AE1037">
      <w:pPr>
        <w:pStyle w:val="SuperHeading"/>
      </w:pPr>
      <w:r w:rsidRPr="00AE1037">
        <w:t>LGAREG002 Provide evidence in court</w:t>
      </w:r>
    </w:p>
    <w:p w:rsidR="00000000" w:rsidRPr="00AE1037" w:rsidP="00AE1037">
      <w:pPr>
        <w:pStyle w:val="Heading1"/>
      </w:pPr>
      <w:bookmarkStart w:id="1" w:name="O_1144894"/>
      <w:bookmarkEnd w:id="1"/>
      <w:r w:rsidRPr="00AE1037">
        <w:t>Modification History</w:t>
      </w:r>
    </w:p>
    <w:p w:rsidR="00000000" w:rsidRPr="00AE1037" w:rsidP="00C85E51">
      <w:pPr>
        <w:pStyle w:val="BodyText"/>
      </w:pPr>
      <w:r w:rsidRPr="00AE1037">
        <w:t>Not applicable.</w:t>
      </w:r>
    </w:p>
    <w:p w:rsidR="00000000" w:rsidRPr="00AE1037" w:rsidP="00AE1037">
      <w:pPr>
        <w:pStyle w:val="Heading1"/>
      </w:pPr>
      <w:bookmarkStart w:id="2" w:name="O_1144895"/>
      <w:bookmarkEnd w:id="2"/>
      <w:r w:rsidRPr="00AE1037">
        <w:t>Application</w:t>
      </w:r>
    </w:p>
    <w:p w:rsidR="00000000" w:rsidRPr="00AE1037" w:rsidP="00C85E51">
      <w:pPr>
        <w:pStyle w:val="BodyText"/>
      </w:pPr>
      <w:r w:rsidRPr="00AE1037">
        <w:t xml:space="preserve">This unit describes the performance outcomes, skills and knowledge required to prepare for legal proceedings, present evidence and follow up outcomes of court proceedings. </w:t>
      </w:r>
    </w:p>
    <w:p w:rsidR="00000000" w:rsidRPr="00AE1037" w:rsidP="00C85E51">
      <w:pPr>
        <w:pStyle w:val="BodyText"/>
      </w:pPr>
      <w:r w:rsidRPr="00AE1037">
        <w:t>This unit appl</w:t>
      </w:r>
      <w:r w:rsidRPr="00AE1037">
        <w:t xml:space="preserve">ies to individuals working in local government across all job levels. </w:t>
      </w:r>
    </w:p>
    <w:p w:rsidR="00000000" w:rsidRPr="00AE1037" w:rsidP="00C85E51">
      <w:pPr>
        <w:pStyle w:val="BodyText"/>
      </w:pPr>
      <w:r w:rsidRPr="00AE1037">
        <w:t>The skills in this unit must be applied in accordance with Commonwealth and State or Territory legislation, Australian standards and industry codes of practice.</w:t>
      </w:r>
    </w:p>
    <w:p w:rsidR="00000000" w:rsidRPr="00AE1037" w:rsidP="00C85E51">
      <w:pPr>
        <w:pStyle w:val="BodyText"/>
      </w:pPr>
      <w:r w:rsidRPr="00AE1037">
        <w:t>No occupational licens</w:t>
      </w:r>
      <w:r w:rsidRPr="00AE1037">
        <w:t>ing, certification or specific legislative requirements apply to this unit at the time of publication.</w:t>
      </w:r>
    </w:p>
    <w:p w:rsidR="00000000" w:rsidRPr="00AE1037" w:rsidP="00AE1037">
      <w:pPr>
        <w:pStyle w:val="Heading1"/>
      </w:pPr>
      <w:bookmarkStart w:id="3" w:name="O_1144897"/>
      <w:bookmarkEnd w:id="3"/>
      <w:r w:rsidRPr="00AE1037">
        <w:t>Competency Field</w:t>
      </w:r>
    </w:p>
    <w:p w:rsidR="00000000" w:rsidRPr="00AE1037" w:rsidP="00C85E51">
      <w:pPr>
        <w:pStyle w:val="BodyText"/>
      </w:pPr>
      <w:r w:rsidRPr="00AE1037">
        <w:t>Not applicable.</w:t>
      </w:r>
    </w:p>
    <w:p w:rsidR="00000000" w:rsidRPr="00AE1037" w:rsidP="00AE1037">
      <w:pPr>
        <w:pStyle w:val="Heading1"/>
      </w:pPr>
      <w:bookmarkStart w:id="4" w:name="O_1144898"/>
      <w:bookmarkEnd w:id="4"/>
      <w:r w:rsidRPr="00AE1037">
        <w:t>Unit Sector</w:t>
      </w:r>
    </w:p>
    <w:p w:rsidR="00000000" w:rsidRPr="00AE1037" w:rsidP="00C85E51">
      <w:pPr>
        <w:pStyle w:val="BodyText"/>
      </w:pPr>
      <w:r w:rsidRPr="00AE1037">
        <w:t>Not applicable.</w:t>
      </w:r>
    </w:p>
    <w:p w:rsidR="00000000" w:rsidRPr="00AE1037" w:rsidP="00AE1037">
      <w:pPr>
        <w:pStyle w:val="Heading1"/>
      </w:pPr>
      <w:bookmarkStart w:id="5" w:name="O_1144899"/>
      <w:bookmarkEnd w:id="5"/>
      <w:r w:rsidRPr="00AE10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2"/>
      </w:tblGrid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BodyText"/>
            </w:pPr>
            <w:r w:rsidRPr="00AE1037">
              <w:rPr>
                <w:rStyle w:val="SpecialBold"/>
              </w:rPr>
              <w:t>E</w:t>
            </w:r>
            <w:r w:rsidRPr="00AE1037">
              <w:rPr>
                <w:rStyle w:val="SpecialBold"/>
              </w:rPr>
              <w:t>LEMENTS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rPr>
                <w:rStyle w:val="SpecialBold"/>
              </w:rPr>
              <w:t>PERFORMANCE</w:t>
            </w:r>
            <w:r w:rsidRPr="00AE1037">
              <w:t xml:space="preserve"> </w:t>
            </w:r>
            <w:r w:rsidRPr="00AE1037">
              <w:rPr>
                <w:rStyle w:val="SpecialBold"/>
              </w:rPr>
              <w:t>CRITERIA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BodyText"/>
            </w:pPr>
            <w:r w:rsidRPr="00AE1037">
              <w:rPr>
                <w:rStyle w:val="Emphasis"/>
              </w:rPr>
              <w:t>Elements describe the essential outcomes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"/>
              <w:rPr>
                <w:lang w:val="en-NZ"/>
              </w:rPr>
            </w:pPr>
            <w:r w:rsidRPr="00AE1037">
              <w:t>1. Prepare for legal proceedings.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List"/>
            </w:pPr>
            <w:r w:rsidRPr="00AE1037">
              <w:t>1.</w:t>
            </w:r>
            <w:r w:rsidRPr="00AE1037">
              <w:t>1. Verify court arrangements, role and involvement in legal proceedings.</w:t>
            </w:r>
          </w:p>
          <w:p w:rsidR="00000000" w:rsidRPr="00AE1037" w:rsidP="00AE1037">
            <w:pPr>
              <w:pStyle w:val="List"/>
            </w:pPr>
            <w:r w:rsidRPr="00AE1037">
              <w:t>1.2. Prepare documentation and exhibits according to legislative and organisational requirements.</w:t>
            </w:r>
          </w:p>
          <w:p w:rsidR="00000000" w:rsidRPr="00AE1037" w:rsidP="00AE1037">
            <w:pPr>
              <w:pStyle w:val="List"/>
            </w:pPr>
            <w:r w:rsidRPr="00AE1037">
              <w:t>1.3. Review material referred to in proceedings prior to presentation in court to ens</w:t>
            </w:r>
            <w:r w:rsidRPr="00AE1037">
              <w:t>ure familiarity, completeness and availability.</w:t>
            </w:r>
          </w:p>
          <w:p w:rsidR="00000000" w:rsidP="00AE1037">
            <w:pPr>
              <w:pStyle w:val="List"/>
              <w:rPr>
                <w:lang w:val="en-NZ"/>
              </w:rPr>
            </w:pPr>
            <w:r w:rsidRPr="00AE1037">
              <w:t xml:space="preserve">1.4. Confirm personal presentation, manner and language are </w:t>
            </w:r>
            <w:r w:rsidRPr="00AE1037">
              <w:t>consistent with court protocols and organisational requirements.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"/>
              <w:rPr>
                <w:lang w:val="en-NZ"/>
              </w:rPr>
            </w:pPr>
            <w:r w:rsidRPr="00AE1037">
              <w:t>2. Present evidence.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List"/>
            </w:pPr>
            <w:r w:rsidRPr="00AE1037">
              <w:t>2.1</w:t>
            </w:r>
            <w:r w:rsidRPr="00AE1037">
              <w:t xml:space="preserve">. Observe and adhere to rules of evidence, procedures and protocols relevant to the jurisdiction involved. </w:t>
            </w:r>
          </w:p>
          <w:p w:rsidR="00000000" w:rsidRPr="00AE1037" w:rsidP="00AE1037">
            <w:pPr>
              <w:pStyle w:val="List"/>
            </w:pPr>
            <w:r w:rsidRPr="00AE1037">
              <w:t xml:space="preserve">2.2. Give fact-based evidence in a clear, concise and unambiguous manner compliant with the rules of evidence. </w:t>
            </w:r>
          </w:p>
          <w:p w:rsidR="00000000" w:rsidRPr="00AE1037" w:rsidP="00AE1037">
            <w:pPr>
              <w:pStyle w:val="List"/>
            </w:pPr>
            <w:r w:rsidRPr="00AE1037">
              <w:t>2.3. Make evidence required during l</w:t>
            </w:r>
            <w:r w:rsidRPr="00AE1037">
              <w:t>egal proceedings available in an original form.</w:t>
            </w:r>
          </w:p>
          <w:p w:rsidR="00000000" w:rsidP="00AE1037">
            <w:pPr>
              <w:pStyle w:val="List"/>
              <w:rPr>
                <w:lang w:val="en-NZ"/>
              </w:rPr>
            </w:pPr>
            <w:r w:rsidRPr="00AE1037">
              <w:t>2.4. Provide specialist opinion within own scope of expertise on request according to organisational policy.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"/>
              <w:rPr>
                <w:lang w:val="en-NZ"/>
              </w:rPr>
            </w:pPr>
            <w:r w:rsidRPr="00AE1037">
              <w:t>3. Implement proceeding outcomes.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List"/>
            </w:pPr>
            <w:r w:rsidRPr="00AE1037">
              <w:t>3.1. Implement proceeding outcome actions according to organisat</w:t>
            </w:r>
            <w:r w:rsidRPr="00AE1037">
              <w:t>ional policies and procedures.</w:t>
            </w:r>
          </w:p>
          <w:p w:rsidR="00000000" w:rsidRPr="00AE1037" w:rsidP="00AE1037">
            <w:pPr>
              <w:pStyle w:val="List"/>
            </w:pPr>
            <w:r w:rsidRPr="00AE1037">
              <w:t>3.2. Complete documentation according to professional obligations in the case and organisational requirements.</w:t>
            </w:r>
          </w:p>
          <w:p w:rsidR="00000000" w:rsidRPr="00AE1037" w:rsidP="00AE1037">
            <w:pPr>
              <w:pStyle w:val="List"/>
            </w:pPr>
            <w:r w:rsidRPr="00AE1037">
              <w:t>3.3. Seek feedback, further information and clarification of issues associated with proceedings and outcomes.</w:t>
            </w:r>
          </w:p>
        </w:tc>
      </w:tr>
    </w:tbl>
    <w:p w:rsidR="00000000" w:rsidRPr="00AE1037" w:rsidP="00AE1037">
      <w:pPr>
        <w:pStyle w:val="BodyText"/>
      </w:pPr>
    </w:p>
    <w:p w:rsidR="00000000" w:rsidRPr="00AE1037" w:rsidP="00AE1037">
      <w:pPr>
        <w:pStyle w:val="AllowPageBreak"/>
      </w:pPr>
    </w:p>
    <w:p w:rsidR="00000000" w:rsidRPr="00AE1037" w:rsidP="00AE1037">
      <w:pPr>
        <w:pStyle w:val="Heading1"/>
      </w:pPr>
      <w:bookmarkStart w:id="6" w:name="O_1144900"/>
      <w:bookmarkEnd w:id="6"/>
      <w:r w:rsidRPr="00AE10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E1037">
              <w:t xml:space="preserve">criteria are listed </w:t>
            </w:r>
            <w:r w:rsidRPr="00AE1037">
              <w:rPr>
                <w:rStyle w:val="Emphasis"/>
              </w:rPr>
              <w:t>below.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BodyText"/>
            </w:pPr>
            <w:r w:rsidRPr="00AE10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rPr>
                <w:rStyle w:val="SpecialBold"/>
              </w:rPr>
              <w:t>DESCRIPTION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Bullet"/>
              <w:rPr>
                <w:lang w:val="en-NZ"/>
              </w:rPr>
            </w:pPr>
            <w:r w:rsidRPr="00AE1037">
              <w:t>interpret legislation and court documents.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Bullet"/>
              <w:rPr>
                <w:lang w:val="en-NZ"/>
              </w:rPr>
            </w:pPr>
            <w:r w:rsidRPr="00AE1037">
              <w:t>collate and organise information to prepare statements.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ListBullet"/>
              <w:rPr>
                <w:lang w:val="en-NZ"/>
              </w:rPr>
            </w:pPr>
            <w:r w:rsidRPr="00AE1037">
              <w:t>maintain current knowledge of legislation and common law.</w:t>
            </w:r>
          </w:p>
        </w:tc>
      </w:tr>
      <w:tr w:rsidTr="00AE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37">
            <w:pPr>
              <w:pStyle w:val="BodyText"/>
              <w:rPr>
                <w:lang w:val="en-NZ"/>
              </w:rPr>
            </w:pPr>
            <w:r w:rsidRPr="00AE103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37" w:rsidP="00AE1037">
            <w:pPr>
              <w:pStyle w:val="ListBullet"/>
            </w:pPr>
            <w:r w:rsidRPr="00AE1037">
              <w:t>use information systems relevant to accessing information and providing evid</w:t>
            </w:r>
            <w:r w:rsidRPr="00AE1037">
              <w:t>ence in court.</w:t>
            </w:r>
          </w:p>
        </w:tc>
      </w:tr>
    </w:tbl>
    <w:p w:rsidR="00000000" w:rsidRPr="00AE1037" w:rsidP="00AE1037">
      <w:pPr>
        <w:pStyle w:val="BodyText"/>
      </w:pPr>
    </w:p>
    <w:p w:rsidR="00000000" w:rsidRPr="00AE1037" w:rsidP="00AE1037">
      <w:pPr>
        <w:pStyle w:val="AllowPageBreak"/>
      </w:pPr>
    </w:p>
    <w:p w:rsidR="00000000" w:rsidRPr="00AE1037" w:rsidP="00AE1037">
      <w:pPr>
        <w:pStyle w:val="Heading1"/>
      </w:pPr>
      <w:bookmarkStart w:id="7" w:name="O_1144902"/>
      <w:bookmarkEnd w:id="7"/>
      <w:r w:rsidRPr="00AE1037">
        <w:t>Unit Mapping Information</w:t>
      </w:r>
    </w:p>
    <w:p w:rsidR="00000000" w:rsidRPr="00AE1037" w:rsidP="00C85E51">
      <w:pPr>
        <w:pStyle w:val="BodyText"/>
      </w:pPr>
      <w:r w:rsidRPr="00AE1037">
        <w:t>LGAREGS402B Provide evidence in court.</w:t>
      </w:r>
    </w:p>
    <w:p w:rsidR="00000000" w:rsidRPr="00AE1037" w:rsidP="00AE1037">
      <w:pPr>
        <w:pStyle w:val="Heading1"/>
      </w:pPr>
      <w:bookmarkStart w:id="8" w:name="O_1144909"/>
      <w:bookmarkEnd w:id="8"/>
      <w:r w:rsidRPr="00AE1037">
        <w:t>Links</w:t>
      </w:r>
    </w:p>
    <w:p w:rsidR="00000000" w:rsidRPr="00AE1037" w:rsidP="00C85E51">
      <w:pPr>
        <w:pStyle w:val="BodyText"/>
      </w:pPr>
      <w:r w:rsidRPr="00AE103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A41DDB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E1037" w:rsidP="00C85E51">
      <w:pPr>
        <w:pStyle w:val="BodyText"/>
        <w:sectPr w:rsidSect="00AE10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037" w:rsidP="00AE1037">
      <w:pPr>
        <w:pStyle w:val="SuperHeading"/>
      </w:pPr>
      <w:r w:rsidRPr="00AE1037">
        <w:t>Assessment Requirements for LGAREG002 Provide evidence in court</w:t>
      </w:r>
    </w:p>
    <w:p w:rsidR="00000000" w:rsidRPr="00AE1037" w:rsidP="00AE1037">
      <w:pPr>
        <w:pStyle w:val="Heading1"/>
      </w:pPr>
      <w:bookmarkStart w:id="9" w:name="O_1144904"/>
      <w:bookmarkEnd w:id="9"/>
      <w:r w:rsidRPr="00AE1037">
        <w:t>Modification History</w:t>
      </w:r>
    </w:p>
    <w:p w:rsidR="00000000" w:rsidRPr="00AE1037" w:rsidP="00C85E51">
      <w:pPr>
        <w:pStyle w:val="BodyText"/>
      </w:pPr>
      <w:r w:rsidRPr="00AE1037">
        <w:t>Not applicable.</w:t>
      </w:r>
    </w:p>
    <w:p w:rsidR="00000000" w:rsidRPr="00AE1037" w:rsidP="00AE1037">
      <w:pPr>
        <w:pStyle w:val="Heading1"/>
      </w:pPr>
      <w:bookmarkStart w:id="10" w:name="O_1144905"/>
      <w:bookmarkEnd w:id="10"/>
      <w:r w:rsidRPr="00AE1037">
        <w:t>Performance Evidence</w:t>
      </w:r>
    </w:p>
    <w:p w:rsidR="00000000" w:rsidRPr="00AE1037" w:rsidP="00C85E51">
      <w:pPr>
        <w:pStyle w:val="BodyText"/>
      </w:pPr>
      <w:r w:rsidRPr="00AE1037">
        <w:t>Evidence of the ability to complete tasks outlined in elements and performance criteria of this unit in the context of the job role, and:</w:t>
      </w:r>
    </w:p>
    <w:p w:rsidR="00000000" w:rsidRPr="00AE1037" w:rsidP="00AE1037">
      <w:pPr>
        <w:pStyle w:val="ListBullet"/>
      </w:pPr>
      <w:r w:rsidRPr="00AE1037">
        <w:t>provide evidence in</w:t>
      </w:r>
      <w:r w:rsidRPr="00AE1037">
        <w:t xml:space="preserve"> court that involves:</w:t>
      </w:r>
    </w:p>
    <w:p w:rsidR="00000000" w:rsidRPr="00AE1037" w:rsidP="00AE1037">
      <w:pPr>
        <w:pStyle w:val="ListBullet2"/>
      </w:pPr>
      <w:r w:rsidRPr="00AE1037">
        <w:t>preparing for one legal proceeding</w:t>
      </w:r>
    </w:p>
    <w:p w:rsidR="00000000" w:rsidRPr="00AE1037" w:rsidP="00AE1037">
      <w:pPr>
        <w:pStyle w:val="ListBullet2"/>
      </w:pPr>
      <w:r w:rsidRPr="00AE1037">
        <w:t>presenting evidence for one legal proceeding</w:t>
      </w:r>
    </w:p>
    <w:p w:rsidR="00000000" w:rsidRPr="00AE1037" w:rsidP="00AE1037">
      <w:pPr>
        <w:pStyle w:val="ListBullet2"/>
      </w:pPr>
      <w:r w:rsidRPr="00AE1037">
        <w:t>following up outcomes of that legal proceeding.</w:t>
      </w:r>
    </w:p>
    <w:p w:rsidR="00000000" w:rsidRPr="00AE1037" w:rsidP="00AE1037">
      <w:pPr>
        <w:pStyle w:val="AllowPageBreak"/>
      </w:pPr>
    </w:p>
    <w:p w:rsidR="00000000" w:rsidRPr="00AE1037" w:rsidP="00AE1037">
      <w:pPr>
        <w:pStyle w:val="Heading1"/>
      </w:pPr>
      <w:bookmarkStart w:id="11" w:name="O_1144906"/>
      <w:bookmarkEnd w:id="11"/>
      <w:r w:rsidRPr="00AE1037">
        <w:t>Knowledge Evidence</w:t>
      </w:r>
    </w:p>
    <w:p w:rsidR="00000000" w:rsidRPr="00AE1037" w:rsidP="00C85E51">
      <w:pPr>
        <w:pStyle w:val="BodyText"/>
      </w:pPr>
      <w:r w:rsidRPr="00AE1037">
        <w:t>Demonstrated knowledge required to complete the tasks outlined in elements and performance criteria of this unit:</w:t>
      </w:r>
    </w:p>
    <w:p w:rsidR="00000000" w:rsidRPr="00AE1037" w:rsidP="00AE1037">
      <w:pPr>
        <w:pStyle w:val="ListBullet"/>
      </w:pPr>
      <w:r w:rsidRPr="00AE1037">
        <w:t>organisational policies and procedures applicable to providing evidence in court</w:t>
      </w:r>
    </w:p>
    <w:p w:rsidR="00000000" w:rsidRPr="00AE1037" w:rsidP="00AE1037">
      <w:pPr>
        <w:pStyle w:val="ListBullet"/>
      </w:pPr>
      <w:r w:rsidRPr="00AE1037">
        <w:t>legislative requirements applicable to providing evidence in</w:t>
      </w:r>
      <w:r w:rsidRPr="00AE1037">
        <w:t xml:space="preserve"> court</w:t>
      </w:r>
    </w:p>
    <w:p w:rsidR="00000000" w:rsidRPr="00AE1037" w:rsidP="00AE1037">
      <w:pPr>
        <w:pStyle w:val="ListBullet"/>
      </w:pPr>
      <w:r w:rsidRPr="00AE1037">
        <w:t>types of legal proceedings relevant to the job role</w:t>
      </w:r>
    </w:p>
    <w:p w:rsidR="00000000" w:rsidRPr="00AE1037" w:rsidP="00AE1037">
      <w:pPr>
        <w:pStyle w:val="ListBullet"/>
      </w:pPr>
      <w:r w:rsidRPr="00AE1037">
        <w:t>general principles regarding admissibility of evidence in courts</w:t>
      </w:r>
    </w:p>
    <w:p w:rsidR="00000000" w:rsidRPr="00AE1037" w:rsidP="00AE1037">
      <w:pPr>
        <w:pStyle w:val="ListBullet"/>
      </w:pPr>
      <w:r w:rsidRPr="00AE1037">
        <w:t>continuity of evidence</w:t>
      </w:r>
    </w:p>
    <w:p w:rsidR="00000000" w:rsidRPr="00AE1037" w:rsidP="00AE1037">
      <w:pPr>
        <w:pStyle w:val="ListBullet"/>
      </w:pPr>
      <w:r w:rsidRPr="00AE1037">
        <w:t>rules of evidence:</w:t>
      </w:r>
    </w:p>
    <w:p w:rsidR="00000000" w:rsidRPr="00AE1037" w:rsidP="00AE1037">
      <w:pPr>
        <w:pStyle w:val="ListBullet2"/>
      </w:pPr>
      <w:r w:rsidRPr="00AE1037">
        <w:t>admissibility</w:t>
      </w:r>
    </w:p>
    <w:p w:rsidR="00000000" w:rsidRPr="00AE1037" w:rsidP="00AE1037">
      <w:pPr>
        <w:pStyle w:val="ListBullet2"/>
      </w:pPr>
      <w:r w:rsidRPr="00AE1037">
        <w:t>chain of custody for validity of physical evidence</w:t>
      </w:r>
    </w:p>
    <w:p w:rsidR="00000000" w:rsidRPr="00AE1037" w:rsidP="00AE1037">
      <w:pPr>
        <w:pStyle w:val="ListBullet2"/>
      </w:pPr>
      <w:r w:rsidRPr="00AE1037">
        <w:t>contemporaneousness</w:t>
      </w:r>
    </w:p>
    <w:p w:rsidR="00000000" w:rsidRPr="00AE1037" w:rsidP="00AE1037">
      <w:pPr>
        <w:pStyle w:val="ListBullet"/>
      </w:pPr>
      <w:r w:rsidRPr="00AE1037">
        <w:t>court protocols:</w:t>
      </w:r>
    </w:p>
    <w:p w:rsidR="00000000" w:rsidRPr="00AE1037" w:rsidP="00AE1037">
      <w:pPr>
        <w:pStyle w:val="ListBullet2"/>
      </w:pPr>
      <w:r w:rsidRPr="00AE1037">
        <w:t>punctuality</w:t>
      </w:r>
    </w:p>
    <w:p w:rsidR="00000000" w:rsidRPr="00AE1037" w:rsidP="00AE1037">
      <w:pPr>
        <w:pStyle w:val="ListBullet2"/>
      </w:pPr>
      <w:r w:rsidRPr="00AE1037">
        <w:t>voice clarity and language</w:t>
      </w:r>
    </w:p>
    <w:p w:rsidR="00000000" w:rsidRPr="00AE1037" w:rsidP="00AE1037">
      <w:pPr>
        <w:pStyle w:val="ListBullet2"/>
      </w:pPr>
      <w:r w:rsidRPr="00AE1037">
        <w:t>impartiality</w:t>
      </w:r>
    </w:p>
    <w:p w:rsidR="00000000" w:rsidRPr="00AE1037" w:rsidP="00AE1037">
      <w:pPr>
        <w:pStyle w:val="ListBullet2"/>
      </w:pPr>
      <w:r w:rsidRPr="00AE1037">
        <w:t>forms of address</w:t>
      </w:r>
    </w:p>
    <w:p w:rsidR="00000000" w:rsidRPr="00AE1037" w:rsidP="00AE1037">
      <w:pPr>
        <w:pStyle w:val="ListBullet2"/>
      </w:pPr>
      <w:r w:rsidRPr="00AE1037">
        <w:t>respect for people and offices held</w:t>
      </w:r>
    </w:p>
    <w:p w:rsidR="00000000" w:rsidRPr="00AE1037" w:rsidP="00AE1037">
      <w:pPr>
        <w:pStyle w:val="ListBullet2"/>
      </w:pPr>
      <w:r w:rsidRPr="00AE1037">
        <w:t>standards of dress and physical appearance</w:t>
      </w:r>
    </w:p>
    <w:p w:rsidR="00000000" w:rsidRPr="00AE1037" w:rsidP="00AE1037">
      <w:pPr>
        <w:pStyle w:val="ListBullet2"/>
      </w:pPr>
      <w:r w:rsidRPr="00AE1037">
        <w:t>readiness of self and evidence</w:t>
      </w:r>
    </w:p>
    <w:p w:rsidR="00000000" w:rsidRPr="00AE1037" w:rsidP="00AE1037">
      <w:pPr>
        <w:pStyle w:val="ListBullet2"/>
      </w:pPr>
      <w:r w:rsidRPr="00AE1037">
        <w:t>general demeanour</w:t>
      </w:r>
    </w:p>
    <w:p w:rsidR="00000000" w:rsidRPr="00AE1037" w:rsidP="00AE1037">
      <w:pPr>
        <w:pStyle w:val="ListBullet"/>
      </w:pPr>
      <w:r w:rsidRPr="00AE1037">
        <w:t>briefing and documentation requirements</w:t>
      </w:r>
    </w:p>
    <w:p w:rsidR="00000000" w:rsidRPr="00AE1037" w:rsidP="00AE1037">
      <w:pPr>
        <w:pStyle w:val="ListBullet"/>
      </w:pPr>
      <w:r w:rsidRPr="00AE1037">
        <w:t>preparation of legal documentation rules</w:t>
      </w:r>
    </w:p>
    <w:p w:rsidR="00000000" w:rsidRPr="00AE1037" w:rsidP="00AE1037">
      <w:pPr>
        <w:pStyle w:val="ListBullet"/>
      </w:pPr>
      <w:r w:rsidRPr="00AE1037">
        <w:t>requirements for handling and managing evidential exhibits</w:t>
      </w:r>
    </w:p>
    <w:p w:rsidR="00000000" w:rsidRPr="00AE1037" w:rsidP="00AE1037">
      <w:pPr>
        <w:pStyle w:val="ListBullet"/>
      </w:pPr>
      <w:r w:rsidRPr="00AE1037">
        <w:t>storage requirements for information that is susceptible to spoiling or damage.</w:t>
      </w:r>
    </w:p>
    <w:p w:rsidR="00000000" w:rsidRPr="00AE1037" w:rsidP="00AE1037">
      <w:pPr>
        <w:pStyle w:val="AllowPageBreak"/>
      </w:pPr>
    </w:p>
    <w:p w:rsidR="00000000" w:rsidRPr="00AE1037" w:rsidP="00AE1037">
      <w:pPr>
        <w:pStyle w:val="Heading1"/>
      </w:pPr>
      <w:bookmarkStart w:id="12" w:name="O_1144907"/>
      <w:bookmarkEnd w:id="12"/>
      <w:r w:rsidRPr="00AE1037">
        <w:t>Assessment Conditions</w:t>
      </w:r>
    </w:p>
    <w:p w:rsidR="00000000" w:rsidRPr="00AE1037" w:rsidP="00C85E51">
      <w:pPr>
        <w:pStyle w:val="BodyText"/>
      </w:pPr>
      <w:r w:rsidRPr="00AE1037">
        <w:t>Skills must be demonstrated in the workplace or in a simulated work environment.</w:t>
      </w:r>
    </w:p>
    <w:p w:rsidR="00000000" w:rsidRPr="00AE1037" w:rsidP="00C85E51">
      <w:pPr>
        <w:pStyle w:val="BodyText"/>
      </w:pPr>
      <w:r w:rsidRPr="00AE1037">
        <w:t>Assessment must ensure access to:</w:t>
      </w:r>
    </w:p>
    <w:p w:rsidR="00000000" w:rsidRPr="00AE1037" w:rsidP="00AE1037">
      <w:pPr>
        <w:pStyle w:val="ListBullet"/>
      </w:pPr>
      <w:r w:rsidRPr="00AE1037">
        <w:t>organisational policies and procedures applicable to providing evidence in court</w:t>
      </w:r>
    </w:p>
    <w:p w:rsidR="00000000" w:rsidRPr="00AE1037" w:rsidP="00AE1037">
      <w:pPr>
        <w:pStyle w:val="ListBullet"/>
      </w:pPr>
      <w:r w:rsidRPr="00AE1037">
        <w:t>legislation applicable to providing evidence in court</w:t>
      </w:r>
    </w:p>
    <w:p w:rsidR="00000000" w:rsidRPr="00AE1037" w:rsidP="00AE1037">
      <w:pPr>
        <w:pStyle w:val="ListBullet"/>
      </w:pPr>
      <w:r w:rsidRPr="00AE1037">
        <w:t>form</w:t>
      </w:r>
      <w:r w:rsidRPr="00AE1037">
        <w:t xml:space="preserve">al legal procedures and court protocols </w:t>
      </w:r>
    </w:p>
    <w:p w:rsidR="00000000" w:rsidRPr="00AE1037" w:rsidP="00AE1037">
      <w:pPr>
        <w:pStyle w:val="ListBullet"/>
      </w:pPr>
      <w:r w:rsidRPr="00AE1037">
        <w:t>evidence and exhibits.</w:t>
      </w:r>
    </w:p>
    <w:p w:rsidR="00000000" w:rsidRPr="00AE1037" w:rsidP="00C85E51">
      <w:pPr>
        <w:pStyle w:val="BodyText"/>
      </w:pPr>
      <w:r w:rsidRPr="00AE1037">
        <w:t>Assessors must satisfy the Standards for Registered Training Organisations’ requirements for assessors.</w:t>
      </w:r>
    </w:p>
    <w:p w:rsidR="00000000" w:rsidRPr="00AE1037" w:rsidP="00AE1037">
      <w:pPr>
        <w:pStyle w:val="Heading1"/>
      </w:pPr>
      <w:bookmarkStart w:id="13" w:name="O_1144910"/>
      <w:bookmarkEnd w:id="13"/>
      <w:r w:rsidRPr="00AE1037">
        <w:t>Links</w:t>
      </w:r>
    </w:p>
    <w:p w:rsidR="00000000" w:rsidRPr="00AE1037" w:rsidP="00C85E51">
      <w:pPr>
        <w:pStyle w:val="BodyText"/>
      </w:pPr>
      <w:r w:rsidRPr="00AE1037">
        <w:t>Companion Volume Implementation Guide are available in VETNet -</w:t>
      </w:r>
      <w:r w:rsidRPr="00AE1037">
        <w:t xml:space="preserve">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A41DDB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E1037" w:rsidP="00AE1037"/>
    <w:sectPr w:rsidSect="00AE10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 w:rsidRPr="00C85E51" w:rsidP="00C85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1" w:rsidP="00AE1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E51" w:rsidP="00AE1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85E51" w:rsidP="00AE10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 w:rsidP="00AE1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5E51">
      <w:t>Approved</w:t>
    </w:r>
    <w:r w:rsidR="00C85E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5E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5E51">
      <w:rPr>
        <w:noProof/>
      </w:rPr>
      <w:t>4</w:t>
    </w:r>
    <w:r>
      <w:rPr>
        <w:noProof/>
      </w:rPr>
      <w:fldChar w:fldCharType="end"/>
    </w:r>
  </w:p>
  <w:p w:rsidR="00AE1037" w:rsidP="00AE1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5E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5E51">
      <w:t>Public Skills Australia</w:t>
    </w:r>
    <w:r w:rsidR="00C85E51">
      <w:fldChar w:fldCharType="end"/>
    </w:r>
  </w:p>
  <w:p w:rsidR="00AE1037" w:rsidP="00AE1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037" w:rsidRPr="00C85E51" w:rsidP="00C85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1" w:rsidRPr="002D2AF8" w:rsidP="00AE1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LGAREG002 Provide evidence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5E51" w:rsidP="00AE10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37" w:rsidRPr="002D2AF8" w:rsidP="00AE1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5E51">
      <w:t>LGAREG002 Provide evidence in court</w:t>
    </w:r>
    <w:r w:rsidR="00C85E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5E51">
      <w:rPr>
        <w:noProof/>
      </w:rPr>
      <w:t>2 March 2025</w:t>
    </w:r>
    <w:r>
      <w:fldChar w:fldCharType="end"/>
    </w:r>
  </w:p>
  <w:p w:rsidR="00AE1037" w:rsidP="00AE1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BA1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382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05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037"/>
  </w:style>
  <w:style w:type="character" w:customStyle="1" w:styleId="Heading1Char">
    <w:name w:val="Heading 1 Char"/>
    <w:basedOn w:val="DefaultParagraphFont"/>
    <w:link w:val="Heading1"/>
    <w:rsid w:val="00AE1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0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0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0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037"/>
    <w:rPr>
      <w:b/>
      <w:spacing w:val="0"/>
    </w:rPr>
  </w:style>
  <w:style w:type="paragraph" w:styleId="ListBullet2">
    <w:name w:val="List Bullet 2"/>
    <w:basedOn w:val="List2"/>
    <w:rsid w:val="00AE10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037"/>
    <w:rPr>
      <w:i/>
    </w:rPr>
  </w:style>
  <w:style w:type="paragraph" w:customStyle="1" w:styleId="SuperHeading">
    <w:name w:val="SuperHeading"/>
    <w:basedOn w:val="Normal"/>
    <w:rsid w:val="00AE1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0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0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037"/>
  </w:style>
  <w:style w:type="paragraph" w:styleId="TableofFigures">
    <w:name w:val="table of figures"/>
    <w:basedOn w:val="Normal"/>
    <w:next w:val="Normal"/>
    <w:semiHidden/>
    <w:rsid w:val="00AE1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0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037"/>
    <w:rPr>
      <w:rFonts w:ascii="Wingdings" w:hAnsi="Wingdings"/>
    </w:rPr>
  </w:style>
  <w:style w:type="paragraph" w:customStyle="1" w:styleId="TableHeading">
    <w:name w:val="Table Heading"/>
    <w:basedOn w:val="HeadingBase"/>
    <w:rsid w:val="00AE1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037"/>
    <w:rPr>
      <w:color w:val="0033CC"/>
      <w:u w:val="none"/>
    </w:rPr>
  </w:style>
  <w:style w:type="paragraph" w:customStyle="1" w:styleId="BodyTextRight">
    <w:name w:val="Body Text Right"/>
    <w:basedOn w:val="BodyText"/>
    <w:rsid w:val="00AE1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0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037"/>
    <w:rPr>
      <w:sz w:val="32"/>
    </w:rPr>
  </w:style>
  <w:style w:type="paragraph" w:customStyle="1" w:styleId="HeadingProcedure">
    <w:name w:val="Heading Procedure"/>
    <w:basedOn w:val="HeadingBase"/>
    <w:next w:val="Normal"/>
    <w:rsid w:val="00AE1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037"/>
    <w:pPr>
      <w:spacing w:before="60" w:after="60"/>
    </w:pPr>
  </w:style>
  <w:style w:type="paragraph" w:styleId="ListContinue">
    <w:name w:val="List Continue"/>
    <w:basedOn w:val="List"/>
    <w:rsid w:val="00AE1037"/>
    <w:pPr>
      <w:ind w:firstLine="0"/>
    </w:pPr>
  </w:style>
  <w:style w:type="paragraph" w:customStyle="1" w:styleId="ListNote">
    <w:name w:val="List Note"/>
    <w:basedOn w:val="List"/>
    <w:rsid w:val="00AE1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037"/>
    <w:rPr>
      <w:rFonts w:ascii="Courier New" w:hAnsi="Courier New"/>
    </w:rPr>
  </w:style>
  <w:style w:type="paragraph" w:customStyle="1" w:styleId="NoteBullet">
    <w:name w:val="Note Bullet"/>
    <w:basedOn w:val="Note"/>
    <w:rsid w:val="00AE1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0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037"/>
    <w:rPr>
      <w:b/>
      <w:smallCaps/>
    </w:rPr>
  </w:style>
  <w:style w:type="paragraph" w:customStyle="1" w:styleId="TableListNumber">
    <w:name w:val="Table List Number"/>
    <w:basedOn w:val="ListNumber"/>
    <w:rsid w:val="00AE1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037"/>
    <w:pPr>
      <w:numPr>
        <w:numId w:val="9"/>
      </w:numPr>
    </w:pPr>
  </w:style>
  <w:style w:type="paragraph" w:customStyle="1" w:styleId="ListAlpha2">
    <w:name w:val="List Alpha 2"/>
    <w:basedOn w:val="List2"/>
    <w:rsid w:val="00AE1037"/>
    <w:pPr>
      <w:numPr>
        <w:numId w:val="8"/>
      </w:numPr>
    </w:pPr>
  </w:style>
  <w:style w:type="paragraph" w:styleId="List2">
    <w:name w:val="List 2"/>
    <w:basedOn w:val="BodyText"/>
    <w:rsid w:val="00AE1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0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0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037"/>
    <w:pPr>
      <w:numPr>
        <w:numId w:val="4"/>
      </w:numPr>
    </w:pPr>
  </w:style>
  <w:style w:type="paragraph" w:styleId="ListContinue2">
    <w:name w:val="List Continue 2"/>
    <w:basedOn w:val="List2"/>
    <w:rsid w:val="00AE1037"/>
    <w:pPr>
      <w:ind w:firstLine="0"/>
    </w:pPr>
  </w:style>
  <w:style w:type="paragraph" w:styleId="ListContinue3">
    <w:name w:val="List Continue 3"/>
    <w:basedOn w:val="List3"/>
    <w:rsid w:val="00AE1037"/>
    <w:pPr>
      <w:ind w:left="1021" w:firstLine="0"/>
    </w:pPr>
  </w:style>
  <w:style w:type="paragraph" w:styleId="ListContinue4">
    <w:name w:val="List Continue 4"/>
    <w:basedOn w:val="List4"/>
    <w:rsid w:val="00AE1037"/>
    <w:pPr>
      <w:ind w:firstLine="0"/>
    </w:pPr>
  </w:style>
  <w:style w:type="paragraph" w:styleId="ListContinue5">
    <w:name w:val="List Continue 5"/>
    <w:basedOn w:val="List5"/>
    <w:rsid w:val="00AE1037"/>
    <w:pPr>
      <w:ind w:firstLine="0"/>
    </w:pPr>
  </w:style>
  <w:style w:type="paragraph" w:styleId="ListNumber3">
    <w:name w:val="List Number 3"/>
    <w:basedOn w:val="List3"/>
    <w:rsid w:val="00AE1037"/>
    <w:pPr>
      <w:numPr>
        <w:numId w:val="5"/>
      </w:numPr>
    </w:pPr>
  </w:style>
  <w:style w:type="paragraph" w:styleId="ListNumber4">
    <w:name w:val="List Number 4"/>
    <w:basedOn w:val="List4"/>
    <w:rsid w:val="00AE1037"/>
    <w:pPr>
      <w:numPr>
        <w:numId w:val="6"/>
      </w:numPr>
    </w:pPr>
  </w:style>
  <w:style w:type="paragraph" w:styleId="ListNumber5">
    <w:name w:val="List Number 5"/>
    <w:basedOn w:val="List5"/>
    <w:rsid w:val="00AE1037"/>
    <w:pPr>
      <w:numPr>
        <w:numId w:val="7"/>
      </w:numPr>
    </w:pPr>
  </w:style>
  <w:style w:type="paragraph" w:styleId="BlockText">
    <w:name w:val="Block Text"/>
    <w:basedOn w:val="Normal"/>
    <w:rsid w:val="00AE1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037"/>
    <w:rPr>
      <w:sz w:val="16"/>
      <w:vertAlign w:val="superscript"/>
    </w:rPr>
  </w:style>
  <w:style w:type="character" w:customStyle="1" w:styleId="Symbols">
    <w:name w:val="Symbols"/>
    <w:basedOn w:val="DefaultParagraphFont"/>
    <w:rsid w:val="00AE1037"/>
    <w:rPr>
      <w:rFonts w:ascii="Symbol" w:hAnsi="Symbol"/>
    </w:rPr>
  </w:style>
  <w:style w:type="character" w:customStyle="1" w:styleId="MenuOptions">
    <w:name w:val="Menu Options"/>
    <w:basedOn w:val="DefaultParagraphFont"/>
    <w:rsid w:val="00AE1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037"/>
    <w:rPr>
      <w:b/>
    </w:rPr>
  </w:style>
  <w:style w:type="character" w:customStyle="1" w:styleId="Underlined">
    <w:name w:val="Underlined"/>
    <w:basedOn w:val="DefaultParagraphFont"/>
    <w:rsid w:val="00AE1037"/>
    <w:rPr>
      <w:u w:val="single"/>
    </w:rPr>
  </w:style>
  <w:style w:type="paragraph" w:customStyle="1" w:styleId="TableBodyTextRight">
    <w:name w:val="Table Body Text Right"/>
    <w:basedOn w:val="TableBodyText"/>
    <w:rsid w:val="00AE1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037"/>
    <w:rPr>
      <w:sz w:val="18"/>
    </w:rPr>
  </w:style>
  <w:style w:type="paragraph" w:customStyle="1" w:styleId="BodySmallRight">
    <w:name w:val="Body Small Right"/>
    <w:basedOn w:val="BodyTextRight"/>
    <w:rsid w:val="00AE1037"/>
    <w:rPr>
      <w:sz w:val="18"/>
      <w:szCs w:val="18"/>
    </w:rPr>
  </w:style>
  <w:style w:type="paragraph" w:customStyle="1" w:styleId="MarginEdition">
    <w:name w:val="Margin Edition"/>
    <w:basedOn w:val="MarginNote"/>
    <w:rsid w:val="00AE1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037"/>
    <w:rPr>
      <w:sz w:val="2"/>
      <w:szCs w:val="2"/>
    </w:rPr>
  </w:style>
  <w:style w:type="character" w:customStyle="1" w:styleId="Small">
    <w:name w:val="Small"/>
    <w:basedOn w:val="DefaultParagraphFont"/>
    <w:rsid w:val="00AE1037"/>
    <w:rPr>
      <w:sz w:val="16"/>
    </w:rPr>
  </w:style>
  <w:style w:type="paragraph" w:customStyle="1" w:styleId="WideTable">
    <w:name w:val="Wide Table"/>
    <w:basedOn w:val="Normal"/>
    <w:rsid w:val="00AE1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037"/>
  </w:style>
  <w:style w:type="paragraph" w:styleId="Quote">
    <w:name w:val="Quote"/>
    <w:basedOn w:val="Heading1"/>
    <w:link w:val="QuoteChar"/>
    <w:qFormat/>
    <w:rsid w:val="00AE1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037"/>
    <w:pPr>
      <w:pageBreakBefore/>
    </w:pPr>
  </w:style>
  <w:style w:type="paragraph" w:customStyle="1" w:styleId="Border">
    <w:name w:val="Border"/>
    <w:basedOn w:val="Normal"/>
    <w:qFormat/>
    <w:rsid w:val="00AE1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037"/>
    <w:rPr>
      <w:u w:val="single"/>
    </w:rPr>
  </w:style>
  <w:style w:type="character" w:customStyle="1" w:styleId="BoldandItalics">
    <w:name w:val="Bold and Italics"/>
    <w:qFormat/>
    <w:rsid w:val="00AE1037"/>
    <w:rPr>
      <w:b/>
      <w:i/>
      <w:u w:val="none"/>
    </w:rPr>
  </w:style>
  <w:style w:type="paragraph" w:styleId="BalloonText">
    <w:name w:val="Balloon Text"/>
    <w:basedOn w:val="Normal"/>
    <w:link w:val="BalloonTextChar"/>
    <w:rsid w:val="00AE1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037"/>
    <w:pPr>
      <w:spacing w:before="0" w:after="0"/>
    </w:pPr>
  </w:style>
  <w:style w:type="paragraph" w:customStyle="1" w:styleId="BodyTextBold">
    <w:name w:val="Body Text Bold"/>
    <w:basedOn w:val="BodyText"/>
    <w:qFormat/>
    <w:rsid w:val="00AE1037"/>
    <w:rPr>
      <w:b/>
    </w:rPr>
  </w:style>
  <w:style w:type="character" w:styleId="Hyperlink">
    <w:name w:val="Hyperlink"/>
    <w:basedOn w:val="DefaultParagraphFont"/>
    <w:uiPriority w:val="99"/>
    <w:unhideWhenUsed/>
    <w:rsid w:val="00C85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4489</Characters>
  <Application>Microsoft Office Word</Application>
  <DocSecurity>0</DocSecurity>
  <Lines>149</Lines>
  <Paragraphs>109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LGAREG002 Provide evidence in court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