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431" w:rsidP="00547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LGAPLA005 Protect heritage and cultural assets</w:t>
      </w:r>
      <w:r>
        <w:fldChar w:fldCharType="end"/>
      </w:r>
    </w:p>
    <w:p w:rsidR="00547431" w:rsidP="00547431">
      <w:pPr>
        <w:pStyle w:val="Version"/>
        <w:sectPr w:rsidSect="00824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CA0" w:rsidP="00824CA0">
      <w:pPr>
        <w:pStyle w:val="SuperHeading"/>
      </w:pPr>
      <w:r w:rsidRPr="00824CA0">
        <w:t>Assessment Requirements for LGAPLA005 Protect heritage and cultural assets</w:t>
      </w:r>
    </w:p>
    <w:p w:rsidR="00000000" w:rsidRPr="00824CA0" w:rsidP="00824CA0">
      <w:pPr>
        <w:pStyle w:val="Heading1"/>
      </w:pPr>
      <w:bookmarkStart w:id="1" w:name="O_1144792"/>
      <w:bookmarkEnd w:id="1"/>
      <w:r w:rsidRPr="00824CA0">
        <w:t>Modification History</w:t>
      </w:r>
    </w:p>
    <w:p w:rsidR="00000000" w:rsidRPr="00824CA0" w:rsidP="00547431">
      <w:pPr>
        <w:pStyle w:val="BodyText"/>
      </w:pPr>
      <w:r w:rsidRPr="00824CA0">
        <w:t>Not applicable.</w:t>
      </w:r>
    </w:p>
    <w:p w:rsidR="00000000" w:rsidRPr="00824CA0" w:rsidP="00824CA0">
      <w:pPr>
        <w:pStyle w:val="Heading1"/>
      </w:pPr>
      <w:bookmarkStart w:id="2" w:name="O_1144793"/>
      <w:bookmarkEnd w:id="2"/>
      <w:r w:rsidRPr="00824CA0">
        <w:t>Performance Evidence</w:t>
      </w:r>
    </w:p>
    <w:p w:rsidR="00000000" w:rsidRPr="00824CA0" w:rsidP="00547431">
      <w:pPr>
        <w:pStyle w:val="BodyText"/>
      </w:pPr>
      <w:r w:rsidRPr="00824CA0">
        <w:t>Evidence of the ability to complete tasks outlined in eleme</w:t>
      </w:r>
      <w:r w:rsidRPr="00824CA0">
        <w:t>nts and performance criteria of this unit in the context of the job role, and:</w:t>
      </w:r>
    </w:p>
    <w:p w:rsidR="00000000" w:rsidRPr="00824CA0" w:rsidP="00824CA0">
      <w:pPr>
        <w:pStyle w:val="ListBullet"/>
      </w:pPr>
      <w:r w:rsidRPr="00824CA0">
        <w:t>protect heritage and cultural assets including:</w:t>
      </w:r>
    </w:p>
    <w:p w:rsidR="00000000" w:rsidRPr="00824CA0" w:rsidP="00824CA0">
      <w:pPr>
        <w:pStyle w:val="ListBullet2"/>
      </w:pPr>
      <w:r w:rsidRPr="00824CA0">
        <w:t xml:space="preserve">preparing one inventory of heritage and cultural assets </w:t>
      </w:r>
    </w:p>
    <w:p w:rsidR="00000000" w:rsidRPr="00824CA0" w:rsidP="00824CA0">
      <w:pPr>
        <w:pStyle w:val="ListBullet"/>
      </w:pPr>
      <w:r w:rsidRPr="00824CA0">
        <w:t>protect one heritage and cultural asset including:</w:t>
      </w:r>
    </w:p>
    <w:p w:rsidR="00000000" w:rsidRPr="00824CA0" w:rsidP="00824CA0">
      <w:pPr>
        <w:pStyle w:val="ListBullet2"/>
      </w:pPr>
      <w:r w:rsidRPr="00824CA0">
        <w:t>assessing threats</w:t>
      </w:r>
      <w:r w:rsidRPr="00824CA0">
        <w:t xml:space="preserve"> and opportunities: </w:t>
      </w:r>
    </w:p>
    <w:p w:rsidR="00000000" w:rsidRPr="00824CA0" w:rsidP="00824CA0">
      <w:pPr>
        <w:pStyle w:val="ListBullet3"/>
      </w:pPr>
      <w:r w:rsidRPr="00824CA0">
        <w:t xml:space="preserve">political emphasis </w:t>
      </w:r>
    </w:p>
    <w:p w:rsidR="00000000" w:rsidRPr="00824CA0" w:rsidP="00824CA0">
      <w:pPr>
        <w:pStyle w:val="ListBullet3"/>
      </w:pPr>
      <w:r w:rsidRPr="00824CA0">
        <w:t xml:space="preserve">reductions in maintenance </w:t>
      </w:r>
    </w:p>
    <w:p w:rsidR="00000000" w:rsidRPr="00824CA0" w:rsidP="00824CA0">
      <w:pPr>
        <w:pStyle w:val="ListBullet3"/>
      </w:pPr>
      <w:r w:rsidRPr="00824CA0">
        <w:t xml:space="preserve">lack of planning </w:t>
      </w:r>
    </w:p>
    <w:p w:rsidR="00000000" w:rsidRPr="00824CA0" w:rsidP="00824CA0">
      <w:pPr>
        <w:pStyle w:val="ListBullet3"/>
      </w:pPr>
      <w:r w:rsidRPr="00824CA0">
        <w:t>other authorities</w:t>
      </w:r>
      <w:r>
        <w:t>’</w:t>
      </w:r>
      <w:r w:rsidRPr="00824CA0">
        <w:t xml:space="preserve"> planning </w:t>
      </w:r>
    </w:p>
    <w:p w:rsidR="00000000" w:rsidRPr="00824CA0" w:rsidP="00824CA0">
      <w:pPr>
        <w:pStyle w:val="ListBullet3"/>
      </w:pPr>
      <w:r w:rsidRPr="00824CA0">
        <w:t xml:space="preserve">competing interests </w:t>
      </w:r>
    </w:p>
    <w:p w:rsidR="00000000" w:rsidRPr="00824CA0" w:rsidP="00824CA0">
      <w:pPr>
        <w:pStyle w:val="ListBullet3"/>
      </w:pPr>
      <w:r w:rsidRPr="00824CA0">
        <w:t>community attitudes</w:t>
      </w:r>
    </w:p>
    <w:p w:rsidR="00000000" w:rsidRPr="00824CA0" w:rsidP="00824CA0">
      <w:pPr>
        <w:pStyle w:val="ListBullet2"/>
      </w:pPr>
      <w:r w:rsidRPr="00824CA0">
        <w:t>consulting the community and property owners</w:t>
      </w:r>
    </w:p>
    <w:p w:rsidR="00000000" w:rsidRPr="00824CA0" w:rsidP="00824CA0">
      <w:pPr>
        <w:pStyle w:val="ListBullet2"/>
      </w:pPr>
      <w:r w:rsidRPr="00824CA0">
        <w:t>developing, documenting, implementing and monitoring heritage and cultural asset protection strategies.</w:t>
      </w:r>
    </w:p>
    <w:p w:rsidR="00000000" w:rsidRPr="00824CA0" w:rsidP="00824CA0">
      <w:pPr>
        <w:pStyle w:val="AllowPageBreak"/>
      </w:pPr>
    </w:p>
    <w:p w:rsidR="00000000" w:rsidRPr="00824CA0" w:rsidP="00824CA0">
      <w:pPr>
        <w:pStyle w:val="Heading1"/>
      </w:pPr>
      <w:bookmarkStart w:id="3" w:name="O_1144794"/>
      <w:bookmarkEnd w:id="3"/>
      <w:r w:rsidRPr="00824CA0">
        <w:t>Knowledge Evidence</w:t>
      </w:r>
    </w:p>
    <w:p w:rsidR="00000000" w:rsidRPr="00824CA0" w:rsidP="00547431">
      <w:pPr>
        <w:pStyle w:val="BodyText"/>
      </w:pPr>
      <w:r w:rsidRPr="00824CA0">
        <w:t>Demonstrated knowledge required to complete the tasks outlined in elements and performance criteria of this unit:</w:t>
      </w:r>
    </w:p>
    <w:p w:rsidR="00000000" w:rsidRPr="00824CA0" w:rsidP="00824CA0">
      <w:pPr>
        <w:pStyle w:val="ListBullet"/>
      </w:pPr>
      <w:r w:rsidRPr="00824CA0">
        <w:t>organisational policies and procedures applicable to protecting heritage and cultural assets</w:t>
      </w:r>
    </w:p>
    <w:p w:rsidR="00000000" w:rsidRPr="00824CA0" w:rsidP="00824CA0">
      <w:pPr>
        <w:pStyle w:val="ListBullet"/>
      </w:pPr>
      <w:r w:rsidRPr="00824CA0">
        <w:t>legislative requirements applicable to protecting heritage and cultural assets</w:t>
      </w:r>
    </w:p>
    <w:p w:rsidR="00000000" w:rsidRPr="00824CA0" w:rsidP="00824CA0">
      <w:pPr>
        <w:pStyle w:val="ListBullet"/>
      </w:pPr>
      <w:r w:rsidRPr="00824CA0">
        <w:t>types of heritage and cultural assets:</w:t>
      </w:r>
    </w:p>
    <w:p w:rsidR="00000000" w:rsidRPr="00824CA0" w:rsidP="00824CA0">
      <w:pPr>
        <w:pStyle w:val="ListBullet2"/>
      </w:pPr>
      <w:r w:rsidRPr="00824CA0">
        <w:t xml:space="preserve">cultural and environmental significance </w:t>
      </w:r>
    </w:p>
    <w:p w:rsidR="00000000" w:rsidRPr="00824CA0" w:rsidP="00824CA0">
      <w:pPr>
        <w:pStyle w:val="ListBullet2"/>
      </w:pPr>
      <w:r w:rsidRPr="00824CA0">
        <w:t xml:space="preserve">national and local area significance </w:t>
      </w:r>
    </w:p>
    <w:p w:rsidR="00000000" w:rsidRPr="00824CA0" w:rsidP="00824CA0">
      <w:pPr>
        <w:pStyle w:val="ListBullet2"/>
      </w:pPr>
      <w:r w:rsidRPr="00824CA0">
        <w:t>danger component of heritage element and structure</w:t>
      </w:r>
    </w:p>
    <w:p w:rsidR="00000000" w:rsidRPr="00824CA0" w:rsidP="00824CA0">
      <w:pPr>
        <w:pStyle w:val="ListBullet2"/>
      </w:pPr>
      <w:r w:rsidRPr="00824CA0">
        <w:t xml:space="preserve">cultural assets </w:t>
      </w:r>
    </w:p>
    <w:p w:rsidR="00000000" w:rsidRPr="00824CA0" w:rsidP="00824CA0">
      <w:pPr>
        <w:pStyle w:val="ListBullet"/>
      </w:pPr>
      <w:r w:rsidRPr="00824CA0">
        <w:t xml:space="preserve">asset classification systems </w:t>
      </w:r>
    </w:p>
    <w:p w:rsidR="00000000" w:rsidRPr="00824CA0" w:rsidP="00824CA0">
      <w:pPr>
        <w:pStyle w:val="ListBullet"/>
      </w:pPr>
      <w:r w:rsidRPr="00824CA0">
        <w:t>community needs and expectations applicable to protecting heritage and cultural assets</w:t>
      </w:r>
    </w:p>
    <w:p w:rsidR="00000000" w:rsidRPr="00824CA0" w:rsidP="00824CA0">
      <w:pPr>
        <w:pStyle w:val="ListBullet"/>
      </w:pPr>
      <w:r w:rsidRPr="00824CA0">
        <w:t>significance of heritage and cul</w:t>
      </w:r>
      <w:r w:rsidRPr="00824CA0">
        <w:t xml:space="preserve">tural assets: </w:t>
      </w:r>
      <w:r w:rsidRPr="00824CA0">
        <w:tab/>
      </w:r>
    </w:p>
    <w:p w:rsidR="00000000" w:rsidRPr="00824CA0" w:rsidP="00824CA0">
      <w:pPr>
        <w:pStyle w:val="ListBullet2"/>
      </w:pPr>
      <w:r w:rsidRPr="00824CA0">
        <w:t xml:space="preserve">aesthetic, historical, scientific and social aspects </w:t>
      </w:r>
    </w:p>
    <w:p w:rsidR="00000000" w:rsidRPr="00824CA0" w:rsidP="00824CA0">
      <w:pPr>
        <w:pStyle w:val="ListBullet2"/>
      </w:pPr>
      <w:r w:rsidRPr="00824CA0">
        <w:t>community expectations</w:t>
      </w:r>
    </w:p>
    <w:p w:rsidR="00000000" w:rsidRPr="00824CA0" w:rsidP="00824CA0">
      <w:pPr>
        <w:pStyle w:val="ListBullet2"/>
      </w:pPr>
      <w:r w:rsidRPr="00824CA0">
        <w:t xml:space="preserve">national </w:t>
      </w:r>
    </w:p>
    <w:p w:rsidR="00000000" w:rsidRPr="00824CA0" w:rsidP="00824CA0">
      <w:pPr>
        <w:pStyle w:val="ListBullet2"/>
      </w:pPr>
      <w:r w:rsidRPr="00824CA0">
        <w:t xml:space="preserve">state </w:t>
      </w:r>
    </w:p>
    <w:p w:rsidR="00000000" w:rsidRPr="00824CA0" w:rsidP="00824CA0">
      <w:pPr>
        <w:pStyle w:val="ListBullet2"/>
      </w:pPr>
      <w:r w:rsidRPr="00824CA0">
        <w:t xml:space="preserve">regional </w:t>
      </w:r>
    </w:p>
    <w:p w:rsidR="00000000" w:rsidRPr="00824CA0" w:rsidP="00824CA0">
      <w:pPr>
        <w:pStyle w:val="ListBullet2"/>
      </w:pPr>
      <w:r w:rsidRPr="00824CA0">
        <w:t xml:space="preserve">local </w:t>
      </w:r>
    </w:p>
    <w:p w:rsidR="00000000" w:rsidRPr="00824CA0" w:rsidP="00824CA0">
      <w:pPr>
        <w:pStyle w:val="ListBullet2"/>
      </w:pPr>
      <w:r w:rsidRPr="00824CA0">
        <w:t>contributory</w:t>
      </w:r>
    </w:p>
    <w:p w:rsidR="00000000" w:rsidRPr="00824CA0" w:rsidP="00824CA0">
      <w:pPr>
        <w:pStyle w:val="ListBullet"/>
      </w:pPr>
      <w:r w:rsidRPr="00824CA0">
        <w:t>places of significance:</w:t>
      </w:r>
    </w:p>
    <w:p w:rsidR="00000000" w:rsidRPr="00824CA0" w:rsidP="00824CA0">
      <w:pPr>
        <w:pStyle w:val="ListBullet2"/>
      </w:pPr>
      <w:r w:rsidRPr="00824CA0">
        <w:t xml:space="preserve">buildings </w:t>
      </w:r>
    </w:p>
    <w:p w:rsidR="00000000" w:rsidRPr="00824CA0" w:rsidP="00824CA0">
      <w:pPr>
        <w:pStyle w:val="ListBullet2"/>
      </w:pPr>
      <w:r w:rsidRPr="00824CA0">
        <w:t xml:space="preserve">structures </w:t>
      </w:r>
    </w:p>
    <w:p w:rsidR="00000000" w:rsidRPr="00824CA0" w:rsidP="00824CA0">
      <w:pPr>
        <w:pStyle w:val="ListBullet2"/>
      </w:pPr>
      <w:r w:rsidRPr="00824CA0">
        <w:t>plantings</w:t>
      </w:r>
    </w:p>
    <w:p w:rsidR="00000000" w:rsidRPr="00824CA0" w:rsidP="00824CA0">
      <w:pPr>
        <w:pStyle w:val="ListBullet2"/>
      </w:pPr>
      <w:r w:rsidRPr="00824CA0">
        <w:t>subsurface remains</w:t>
      </w:r>
    </w:p>
    <w:p w:rsidR="00000000" w:rsidRPr="00824CA0" w:rsidP="00824CA0">
      <w:pPr>
        <w:pStyle w:val="ListBullet"/>
      </w:pPr>
      <w:r w:rsidRPr="00824CA0">
        <w:t>types of criteria for significance of heritage and cultural assets:</w:t>
      </w:r>
    </w:p>
    <w:p w:rsidR="00000000" w:rsidRPr="00824CA0" w:rsidP="00824CA0">
      <w:pPr>
        <w:pStyle w:val="ListBullet2"/>
      </w:pPr>
      <w:r w:rsidRPr="00824CA0">
        <w:t>community preference</w:t>
      </w:r>
    </w:p>
    <w:p w:rsidR="00000000" w:rsidRPr="00824CA0" w:rsidP="00824CA0">
      <w:pPr>
        <w:pStyle w:val="ListBullet2"/>
      </w:pPr>
      <w:r w:rsidRPr="00824CA0">
        <w:t xml:space="preserve">budget constraints </w:t>
      </w:r>
    </w:p>
    <w:p w:rsidR="00000000" w:rsidRPr="00824CA0" w:rsidP="00824CA0">
      <w:pPr>
        <w:pStyle w:val="ListBullet2"/>
      </w:pPr>
      <w:r w:rsidRPr="00824CA0">
        <w:t xml:space="preserve">legislative provisions </w:t>
      </w:r>
    </w:p>
    <w:p w:rsidR="00000000" w:rsidRPr="00824CA0" w:rsidP="00824CA0">
      <w:pPr>
        <w:pStyle w:val="ListBullet2"/>
      </w:pPr>
      <w:r w:rsidRPr="00824CA0">
        <w:t xml:space="preserve">resources </w:t>
      </w:r>
    </w:p>
    <w:p w:rsidR="00000000" w:rsidRPr="00824CA0" w:rsidP="00824CA0">
      <w:pPr>
        <w:pStyle w:val="ListBullet2"/>
      </w:pPr>
      <w:r w:rsidRPr="00824CA0">
        <w:t xml:space="preserve">time frames </w:t>
      </w:r>
    </w:p>
    <w:p w:rsidR="00000000" w:rsidRPr="00824CA0" w:rsidP="00824CA0">
      <w:pPr>
        <w:pStyle w:val="ListBullet2"/>
      </w:pPr>
      <w:r w:rsidRPr="00824CA0">
        <w:t xml:space="preserve">age </w:t>
      </w:r>
    </w:p>
    <w:p w:rsidR="00000000" w:rsidRPr="00824CA0" w:rsidP="00824CA0">
      <w:pPr>
        <w:pStyle w:val="ListBullet2"/>
      </w:pPr>
      <w:r w:rsidRPr="00824CA0">
        <w:t xml:space="preserve">outstanding craftsmanship </w:t>
      </w:r>
    </w:p>
    <w:p w:rsidR="00000000" w:rsidRPr="00824CA0" w:rsidP="00824CA0">
      <w:pPr>
        <w:pStyle w:val="ListBullet2"/>
      </w:pPr>
      <w:r w:rsidRPr="00824CA0">
        <w:t xml:space="preserve">architectural style </w:t>
      </w:r>
    </w:p>
    <w:p w:rsidR="00000000" w:rsidRPr="00824CA0" w:rsidP="00824CA0">
      <w:pPr>
        <w:pStyle w:val="ListBullet2"/>
      </w:pPr>
      <w:r w:rsidRPr="00824CA0">
        <w:t xml:space="preserve">construction technology </w:t>
      </w:r>
    </w:p>
    <w:p w:rsidR="00000000" w:rsidRPr="00824CA0" w:rsidP="00824CA0">
      <w:pPr>
        <w:pStyle w:val="ListBullet2"/>
      </w:pPr>
      <w:r w:rsidRPr="00824CA0">
        <w:t xml:space="preserve">an association with important events or figures </w:t>
      </w:r>
    </w:p>
    <w:p w:rsidR="00000000" w:rsidRPr="00824CA0" w:rsidP="00824CA0">
      <w:pPr>
        <w:pStyle w:val="ListBullet2"/>
      </w:pPr>
      <w:r w:rsidRPr="00824CA0">
        <w:t xml:space="preserve">building type </w:t>
      </w:r>
    </w:p>
    <w:p w:rsidR="00000000" w:rsidRPr="00824CA0" w:rsidP="00824CA0">
      <w:pPr>
        <w:pStyle w:val="ListBullet2"/>
      </w:pPr>
      <w:r w:rsidRPr="00824CA0">
        <w:t xml:space="preserve">rarity </w:t>
      </w:r>
    </w:p>
    <w:p w:rsidR="00000000" w:rsidRPr="00824CA0" w:rsidP="00824CA0">
      <w:pPr>
        <w:pStyle w:val="ListBullet2"/>
      </w:pPr>
      <w:r w:rsidRPr="00824CA0">
        <w:t xml:space="preserve">technical and creative achievement </w:t>
      </w:r>
    </w:p>
    <w:p w:rsidR="00000000" w:rsidRPr="00824CA0" w:rsidP="00824CA0">
      <w:pPr>
        <w:pStyle w:val="ListBullet2"/>
      </w:pPr>
      <w:r w:rsidRPr="00824CA0">
        <w:t xml:space="preserve">representing a way of life </w:t>
      </w:r>
    </w:p>
    <w:p w:rsidR="00000000" w:rsidRPr="00824CA0" w:rsidP="00824CA0">
      <w:pPr>
        <w:pStyle w:val="ListBullet2"/>
      </w:pPr>
      <w:r w:rsidRPr="00824CA0">
        <w:t xml:space="preserve">artistic </w:t>
      </w:r>
    </w:p>
    <w:p w:rsidR="00000000" w:rsidRPr="00824CA0" w:rsidP="00824CA0">
      <w:pPr>
        <w:pStyle w:val="ListBullet2"/>
      </w:pPr>
      <w:r w:rsidRPr="00824CA0">
        <w:t>religious and cultural associations</w:t>
      </w:r>
    </w:p>
    <w:p w:rsidR="00000000" w:rsidRPr="00824CA0" w:rsidP="00824CA0">
      <w:pPr>
        <w:pStyle w:val="ListBullet"/>
      </w:pPr>
      <w:r w:rsidRPr="00824CA0">
        <w:t>sources of information for heritage and cultural assets:</w:t>
      </w:r>
    </w:p>
    <w:p w:rsidR="00000000" w:rsidRPr="00824CA0" w:rsidP="00824CA0">
      <w:pPr>
        <w:pStyle w:val="ListBullet2"/>
      </w:pPr>
      <w:r w:rsidRPr="00824CA0">
        <w:t>survey information</w:t>
      </w:r>
    </w:p>
    <w:p w:rsidR="00000000" w:rsidRPr="00824CA0" w:rsidP="00824CA0">
      <w:pPr>
        <w:pStyle w:val="ListBullet2"/>
      </w:pPr>
      <w:r w:rsidRPr="00824CA0">
        <w:t xml:space="preserve">historical information </w:t>
      </w:r>
    </w:p>
    <w:p w:rsidR="00000000" w:rsidRPr="00824CA0" w:rsidP="00824CA0">
      <w:pPr>
        <w:pStyle w:val="ListBullet2"/>
      </w:pPr>
      <w:r w:rsidRPr="00824CA0">
        <w:t>reports, studies and texts.</w:t>
      </w:r>
    </w:p>
    <w:p w:rsidR="00000000" w:rsidRPr="00824CA0" w:rsidP="00824CA0">
      <w:pPr>
        <w:pStyle w:val="AllowPageBreak"/>
      </w:pPr>
    </w:p>
    <w:p w:rsidR="00000000" w:rsidRPr="00824CA0" w:rsidP="00824CA0">
      <w:pPr>
        <w:pStyle w:val="Heading1"/>
      </w:pPr>
      <w:bookmarkStart w:id="4" w:name="O_1144795"/>
      <w:bookmarkEnd w:id="4"/>
      <w:r w:rsidRPr="00824CA0">
        <w:t>Assessment Conditions</w:t>
      </w:r>
    </w:p>
    <w:p w:rsidR="00000000" w:rsidRPr="00824CA0" w:rsidP="00547431">
      <w:pPr>
        <w:pStyle w:val="BodyText"/>
      </w:pPr>
      <w:r w:rsidRPr="00824CA0">
        <w:t>Skills must be demonstrated in the workplace or in a simulated work environment that reflects workplace conditions in a local government environ</w:t>
      </w:r>
      <w:r w:rsidRPr="00824CA0">
        <w:t>ment.</w:t>
      </w:r>
    </w:p>
    <w:p w:rsidR="00000000" w:rsidRPr="00824CA0" w:rsidP="00547431">
      <w:pPr>
        <w:pStyle w:val="BodyText"/>
      </w:pPr>
      <w:r w:rsidRPr="00824CA0">
        <w:t>Assessment must ensure access to:</w:t>
      </w:r>
    </w:p>
    <w:p w:rsidR="00000000" w:rsidRPr="00824CA0" w:rsidP="00824CA0">
      <w:pPr>
        <w:pStyle w:val="ListBullet"/>
      </w:pPr>
      <w:r w:rsidRPr="00824CA0">
        <w:t xml:space="preserve">organisational policies and procedures applicable to protecting heritage and cultural assets </w:t>
      </w:r>
    </w:p>
    <w:p w:rsidR="00000000" w:rsidRPr="00824CA0" w:rsidP="00824CA0">
      <w:pPr>
        <w:pStyle w:val="ListBullet"/>
      </w:pPr>
      <w:r w:rsidRPr="00824CA0">
        <w:t xml:space="preserve">legislative requirements applicable to protecting heritage and cultural assets </w:t>
      </w:r>
    </w:p>
    <w:p w:rsidR="00000000" w:rsidRPr="00824CA0" w:rsidP="00824CA0">
      <w:pPr>
        <w:pStyle w:val="ListBullet"/>
      </w:pPr>
      <w:r w:rsidRPr="00824CA0">
        <w:t>information systems relevant to developm</w:t>
      </w:r>
      <w:r w:rsidRPr="00824CA0">
        <w:t xml:space="preserve">ent planning. </w:t>
      </w:r>
    </w:p>
    <w:p w:rsidR="00000000" w:rsidRPr="00824CA0" w:rsidP="00824CA0">
      <w:pPr>
        <w:pStyle w:val="BodyText"/>
      </w:pPr>
    </w:p>
    <w:p w:rsidR="00547431" w:rsidP="00547431">
      <w:pPr>
        <w:pStyle w:val="BodyText"/>
      </w:pPr>
      <w:r w:rsidRPr="00824CA0">
        <w:t>Assessors must satisfy the Standards for Registered Training Organisations</w:t>
      </w:r>
      <w:r>
        <w:t>’</w:t>
      </w:r>
      <w:r w:rsidRPr="00824CA0">
        <w:t xml:space="preserve"> requirements for assessors.</w:t>
      </w:r>
    </w:p>
    <w:p w:rsidR="00000000" w:rsidRPr="00824CA0" w:rsidP="00824CA0">
      <w:pPr>
        <w:pStyle w:val="Heading1"/>
      </w:pPr>
      <w:bookmarkStart w:id="5" w:name="O_1144798"/>
      <w:bookmarkEnd w:id="5"/>
      <w:r w:rsidRPr="00824CA0">
        <w:t>Links</w:t>
      </w:r>
    </w:p>
    <w:p w:rsidR="00000000" w:rsidRPr="00824CA0" w:rsidP="00547431">
      <w:pPr>
        <w:pStyle w:val="BodyText"/>
      </w:pPr>
      <w:r w:rsidRPr="00824CA0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52AC9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24CA0" w:rsidP="00824CA0"/>
    <w:sectPr w:rsidSect="00824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A0" w:rsidRPr="00547431" w:rsidP="00547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1" w:rsidP="00824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431" w:rsidP="00824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47431" w:rsidP="00824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CA0" w:rsidRPr="00547431" w:rsidP="00547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1" w:rsidRPr="002D2AF8" w:rsidP="00824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LGAPLA005 Protect heritage and cultural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7431" w:rsidP="00824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7CD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4A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96A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CA0"/>
  </w:style>
  <w:style w:type="character" w:customStyle="1" w:styleId="Heading1Char">
    <w:name w:val="Heading 1 Char"/>
    <w:basedOn w:val="DefaultParagraphFont"/>
    <w:link w:val="Heading1"/>
    <w:rsid w:val="00824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CA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4C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4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4C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4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4CA0"/>
    <w:rPr>
      <w:b/>
      <w:spacing w:val="0"/>
    </w:rPr>
  </w:style>
  <w:style w:type="paragraph" w:customStyle="1" w:styleId="SuperTitle">
    <w:name w:val="SuperTitle"/>
    <w:basedOn w:val="Title"/>
    <w:rsid w:val="00824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CA0"/>
    <w:rPr>
      <w:i/>
    </w:rPr>
  </w:style>
  <w:style w:type="paragraph" w:styleId="Caption">
    <w:name w:val="caption"/>
    <w:basedOn w:val="BodyText"/>
    <w:next w:val="Normal"/>
    <w:qFormat/>
    <w:rsid w:val="00824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CA0"/>
  </w:style>
  <w:style w:type="paragraph" w:styleId="TableofFigures">
    <w:name w:val="table of figures"/>
    <w:basedOn w:val="Normal"/>
    <w:next w:val="Normal"/>
    <w:semiHidden/>
    <w:rsid w:val="00824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C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4CA0"/>
    <w:rPr>
      <w:rFonts w:ascii="Wingdings" w:hAnsi="Wingdings"/>
    </w:rPr>
  </w:style>
  <w:style w:type="paragraph" w:customStyle="1" w:styleId="TableHeading">
    <w:name w:val="Table Heading"/>
    <w:basedOn w:val="HeadingBase"/>
    <w:rsid w:val="00824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CA0"/>
    <w:rPr>
      <w:color w:val="0033CC"/>
      <w:u w:val="none"/>
    </w:rPr>
  </w:style>
  <w:style w:type="paragraph" w:customStyle="1" w:styleId="BodyTextRight">
    <w:name w:val="Body Text Right"/>
    <w:basedOn w:val="BodyText"/>
    <w:rsid w:val="00824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C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CA0"/>
    <w:rPr>
      <w:sz w:val="32"/>
    </w:rPr>
  </w:style>
  <w:style w:type="paragraph" w:customStyle="1" w:styleId="HeadingProcedure">
    <w:name w:val="Heading Procedure"/>
    <w:basedOn w:val="HeadingBase"/>
    <w:next w:val="Normal"/>
    <w:rsid w:val="00824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CA0"/>
    <w:pPr>
      <w:spacing w:before="60" w:after="60"/>
    </w:pPr>
  </w:style>
  <w:style w:type="paragraph" w:styleId="ListContinue">
    <w:name w:val="List Continue"/>
    <w:basedOn w:val="List"/>
    <w:rsid w:val="00824CA0"/>
    <w:pPr>
      <w:ind w:firstLine="0"/>
    </w:pPr>
  </w:style>
  <w:style w:type="paragraph" w:customStyle="1" w:styleId="ListNote">
    <w:name w:val="List Note"/>
    <w:basedOn w:val="List"/>
    <w:rsid w:val="00824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CA0"/>
    <w:rPr>
      <w:rFonts w:ascii="Courier New" w:hAnsi="Courier New"/>
    </w:rPr>
  </w:style>
  <w:style w:type="paragraph" w:customStyle="1" w:styleId="NoteBullet">
    <w:name w:val="Note Bullet"/>
    <w:basedOn w:val="Note"/>
    <w:rsid w:val="00824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C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4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CA0"/>
    <w:rPr>
      <w:b/>
      <w:smallCaps/>
    </w:rPr>
  </w:style>
  <w:style w:type="paragraph" w:customStyle="1" w:styleId="TableListNumber">
    <w:name w:val="Table List Number"/>
    <w:basedOn w:val="ListNumber"/>
    <w:rsid w:val="00824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CA0"/>
    <w:pPr>
      <w:numPr>
        <w:numId w:val="10"/>
      </w:numPr>
    </w:pPr>
  </w:style>
  <w:style w:type="paragraph" w:customStyle="1" w:styleId="ListAlpha2">
    <w:name w:val="List Alpha 2"/>
    <w:basedOn w:val="List2"/>
    <w:rsid w:val="00824CA0"/>
    <w:pPr>
      <w:numPr>
        <w:numId w:val="9"/>
      </w:numPr>
    </w:pPr>
  </w:style>
  <w:style w:type="paragraph" w:styleId="List2">
    <w:name w:val="List 2"/>
    <w:basedOn w:val="BodyText"/>
    <w:rsid w:val="00824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C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4C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4CA0"/>
    <w:pPr>
      <w:numPr>
        <w:numId w:val="5"/>
      </w:numPr>
    </w:pPr>
  </w:style>
  <w:style w:type="paragraph" w:styleId="ListContinue2">
    <w:name w:val="List Continue 2"/>
    <w:basedOn w:val="List2"/>
    <w:rsid w:val="00824CA0"/>
    <w:pPr>
      <w:ind w:firstLine="0"/>
    </w:pPr>
  </w:style>
  <w:style w:type="paragraph" w:styleId="ListContinue3">
    <w:name w:val="List Continue 3"/>
    <w:basedOn w:val="List3"/>
    <w:rsid w:val="00824CA0"/>
    <w:pPr>
      <w:ind w:left="1021" w:firstLine="0"/>
    </w:pPr>
  </w:style>
  <w:style w:type="paragraph" w:styleId="ListContinue4">
    <w:name w:val="List Continue 4"/>
    <w:basedOn w:val="List4"/>
    <w:rsid w:val="00824CA0"/>
    <w:pPr>
      <w:ind w:firstLine="0"/>
    </w:pPr>
  </w:style>
  <w:style w:type="paragraph" w:styleId="ListContinue5">
    <w:name w:val="List Continue 5"/>
    <w:basedOn w:val="List5"/>
    <w:rsid w:val="00824CA0"/>
    <w:pPr>
      <w:ind w:firstLine="0"/>
    </w:pPr>
  </w:style>
  <w:style w:type="paragraph" w:styleId="ListNumber3">
    <w:name w:val="List Number 3"/>
    <w:basedOn w:val="List3"/>
    <w:rsid w:val="00824CA0"/>
    <w:pPr>
      <w:numPr>
        <w:numId w:val="6"/>
      </w:numPr>
    </w:pPr>
  </w:style>
  <w:style w:type="paragraph" w:styleId="ListNumber4">
    <w:name w:val="List Number 4"/>
    <w:basedOn w:val="List4"/>
    <w:rsid w:val="00824CA0"/>
    <w:pPr>
      <w:numPr>
        <w:numId w:val="7"/>
      </w:numPr>
    </w:pPr>
  </w:style>
  <w:style w:type="paragraph" w:styleId="ListNumber5">
    <w:name w:val="List Number 5"/>
    <w:basedOn w:val="List5"/>
    <w:rsid w:val="00824CA0"/>
    <w:pPr>
      <w:numPr>
        <w:numId w:val="8"/>
      </w:numPr>
    </w:pPr>
  </w:style>
  <w:style w:type="paragraph" w:styleId="BlockText">
    <w:name w:val="Block Text"/>
    <w:basedOn w:val="Normal"/>
    <w:rsid w:val="00824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CA0"/>
    <w:rPr>
      <w:sz w:val="16"/>
      <w:vertAlign w:val="superscript"/>
    </w:rPr>
  </w:style>
  <w:style w:type="character" w:customStyle="1" w:styleId="Symbols">
    <w:name w:val="Symbols"/>
    <w:basedOn w:val="DefaultParagraphFont"/>
    <w:rsid w:val="00824CA0"/>
    <w:rPr>
      <w:rFonts w:ascii="Symbol" w:hAnsi="Symbol"/>
    </w:rPr>
  </w:style>
  <w:style w:type="character" w:customStyle="1" w:styleId="MenuOptions">
    <w:name w:val="Menu Options"/>
    <w:basedOn w:val="DefaultParagraphFont"/>
    <w:rsid w:val="00824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CA0"/>
    <w:rPr>
      <w:b/>
    </w:rPr>
  </w:style>
  <w:style w:type="character" w:customStyle="1" w:styleId="Underlined">
    <w:name w:val="Underlined"/>
    <w:basedOn w:val="DefaultParagraphFont"/>
    <w:rsid w:val="00824CA0"/>
    <w:rPr>
      <w:u w:val="single"/>
    </w:rPr>
  </w:style>
  <w:style w:type="paragraph" w:customStyle="1" w:styleId="TableBodyTextRight">
    <w:name w:val="Table Body Text Right"/>
    <w:basedOn w:val="TableBodyText"/>
    <w:rsid w:val="00824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CA0"/>
    <w:rPr>
      <w:sz w:val="18"/>
    </w:rPr>
  </w:style>
  <w:style w:type="paragraph" w:customStyle="1" w:styleId="BodySmallRight">
    <w:name w:val="Body Small Right"/>
    <w:basedOn w:val="BodyTextRight"/>
    <w:rsid w:val="00824CA0"/>
    <w:rPr>
      <w:sz w:val="18"/>
      <w:szCs w:val="18"/>
    </w:rPr>
  </w:style>
  <w:style w:type="paragraph" w:customStyle="1" w:styleId="MarginEdition">
    <w:name w:val="Margin Edition"/>
    <w:basedOn w:val="MarginNote"/>
    <w:rsid w:val="00824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CA0"/>
    <w:rPr>
      <w:sz w:val="2"/>
      <w:szCs w:val="2"/>
    </w:rPr>
  </w:style>
  <w:style w:type="character" w:customStyle="1" w:styleId="Small">
    <w:name w:val="Small"/>
    <w:basedOn w:val="DefaultParagraphFont"/>
    <w:rsid w:val="00824CA0"/>
    <w:rPr>
      <w:sz w:val="16"/>
    </w:rPr>
  </w:style>
  <w:style w:type="paragraph" w:customStyle="1" w:styleId="WideTable">
    <w:name w:val="Wide Table"/>
    <w:basedOn w:val="Normal"/>
    <w:rsid w:val="00824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CA0"/>
  </w:style>
  <w:style w:type="paragraph" w:styleId="Quote">
    <w:name w:val="Quote"/>
    <w:basedOn w:val="Heading1"/>
    <w:link w:val="QuoteChar"/>
    <w:qFormat/>
    <w:rsid w:val="00824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CA0"/>
    <w:pPr>
      <w:pageBreakBefore/>
    </w:pPr>
  </w:style>
  <w:style w:type="paragraph" w:customStyle="1" w:styleId="Border">
    <w:name w:val="Border"/>
    <w:basedOn w:val="Normal"/>
    <w:qFormat/>
    <w:rsid w:val="00824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CA0"/>
    <w:rPr>
      <w:u w:val="single"/>
    </w:rPr>
  </w:style>
  <w:style w:type="character" w:customStyle="1" w:styleId="BoldandItalics">
    <w:name w:val="Bold and Italics"/>
    <w:qFormat/>
    <w:rsid w:val="00824CA0"/>
    <w:rPr>
      <w:b/>
      <w:i/>
      <w:u w:val="none"/>
    </w:rPr>
  </w:style>
  <w:style w:type="paragraph" w:styleId="BalloonText">
    <w:name w:val="Balloon Text"/>
    <w:basedOn w:val="Normal"/>
    <w:link w:val="BalloonTextChar"/>
    <w:rsid w:val="00824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CA0"/>
    <w:pPr>
      <w:spacing w:before="0" w:after="0"/>
    </w:pPr>
  </w:style>
  <w:style w:type="paragraph" w:customStyle="1" w:styleId="BodyTextBold">
    <w:name w:val="Body Text Bold"/>
    <w:basedOn w:val="BodyText"/>
    <w:qFormat/>
    <w:rsid w:val="00824CA0"/>
    <w:rPr>
      <w:b/>
    </w:rPr>
  </w:style>
  <w:style w:type="character" w:styleId="Hyperlink">
    <w:name w:val="Hyperlink"/>
    <w:basedOn w:val="DefaultParagraphFont"/>
    <w:uiPriority w:val="99"/>
    <w:unhideWhenUsed/>
    <w:rsid w:val="00547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372</Words>
  <Characters>2724</Characters>
  <Application>Microsoft Office Word</Application>
  <DocSecurity>0</DocSecurity>
  <Lines>93</Lines>
  <Paragraphs>85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LGAPLA005 Protect heritage and cultural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2025-02-11T07:17:00Z</dcterms:modified>
</cp:coreProperties>
</file>