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459" w:rsidP="007F1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LGACOR007 Conduct community consultations</w:t>
      </w:r>
      <w:r>
        <w:fldChar w:fldCharType="end"/>
      </w:r>
    </w:p>
    <w:p w:rsidR="007F1459" w:rsidP="007F1459">
      <w:pPr>
        <w:pStyle w:val="Version"/>
        <w:sectPr w:rsidSect="00DC1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895" w:rsidP="00DC1895">
      <w:pPr>
        <w:pStyle w:val="SuperHeading"/>
      </w:pPr>
      <w:r w:rsidRPr="00DC1895">
        <w:t>Assessment Requirements for LGACOR007 Conduct community consultations</w:t>
      </w:r>
    </w:p>
    <w:p w:rsidR="00000000" w:rsidRPr="00DC1895" w:rsidP="00DC1895">
      <w:pPr>
        <w:pStyle w:val="Heading1"/>
      </w:pPr>
      <w:bookmarkStart w:id="1" w:name="O_1144426"/>
      <w:bookmarkEnd w:id="1"/>
      <w:r w:rsidRPr="00DC1895">
        <w:t>Modification History</w:t>
      </w:r>
    </w:p>
    <w:p w:rsidR="00000000" w:rsidRPr="00DC1895" w:rsidP="007F1459">
      <w:pPr>
        <w:pStyle w:val="BodyText"/>
      </w:pPr>
      <w:r w:rsidRPr="00DC1895">
        <w:t>Not applicable.</w:t>
      </w:r>
    </w:p>
    <w:p w:rsidR="00000000" w:rsidRPr="00DC1895" w:rsidP="00DC1895">
      <w:pPr>
        <w:pStyle w:val="Heading1"/>
      </w:pPr>
      <w:bookmarkStart w:id="2" w:name="O_1144427"/>
      <w:bookmarkEnd w:id="2"/>
      <w:r w:rsidRPr="00DC1895">
        <w:t>Performance Evidence</w:t>
      </w:r>
    </w:p>
    <w:p w:rsidR="00000000" w:rsidRPr="00DC1895" w:rsidP="007F1459">
      <w:pPr>
        <w:pStyle w:val="BodyText"/>
      </w:pPr>
      <w:r w:rsidRPr="00DC1895">
        <w:t>Evidence of the ability to complete tasks outlined in elements and performance criteria of this unit in the context of the job role, and:</w:t>
      </w:r>
    </w:p>
    <w:p w:rsidR="00000000" w:rsidRPr="00DC1895" w:rsidP="00DC1895">
      <w:pPr>
        <w:pStyle w:val="ListBullet"/>
      </w:pPr>
      <w:r w:rsidRPr="00DC1895">
        <w:t>plan, conduct and report on one community consultation that involves:</w:t>
      </w:r>
    </w:p>
    <w:p w:rsidR="00000000" w:rsidRPr="00DC1895" w:rsidP="00DC1895">
      <w:pPr>
        <w:pStyle w:val="ListBullet2"/>
      </w:pPr>
      <w:r w:rsidRPr="00DC1895">
        <w:t>maintaining council</w:t>
      </w:r>
      <w:r>
        <w:t>’</w:t>
      </w:r>
      <w:r w:rsidRPr="00DC1895">
        <w:t xml:space="preserve">s reputation </w:t>
      </w:r>
    </w:p>
    <w:p w:rsidR="00000000" w:rsidRPr="00DC1895" w:rsidP="00DC1895">
      <w:pPr>
        <w:pStyle w:val="ListBullet2"/>
      </w:pPr>
      <w:r w:rsidRPr="00DC1895">
        <w:t>producing in</w:t>
      </w:r>
      <w:r w:rsidRPr="00DC1895">
        <w:t>formation to support informed decision making.</w:t>
      </w:r>
    </w:p>
    <w:p w:rsidR="00000000" w:rsidRPr="00DC1895" w:rsidP="00DC1895">
      <w:pPr>
        <w:pStyle w:val="AllowPageBreak"/>
      </w:pPr>
    </w:p>
    <w:p w:rsidR="00000000" w:rsidRPr="00DC1895" w:rsidP="00DC1895">
      <w:pPr>
        <w:pStyle w:val="Heading1"/>
      </w:pPr>
      <w:bookmarkStart w:id="3" w:name="O_1144428"/>
      <w:bookmarkEnd w:id="3"/>
      <w:r w:rsidRPr="00DC1895">
        <w:t>Knowledge Evidence</w:t>
      </w:r>
    </w:p>
    <w:p w:rsidR="00000000" w:rsidRPr="00DC1895" w:rsidP="007F1459">
      <w:pPr>
        <w:pStyle w:val="BodyText"/>
      </w:pPr>
      <w:r w:rsidRPr="00DC1895">
        <w:t xml:space="preserve">Demonstrated knowledge required to complete the tasks outlined in elements and performance criteria of this unit: </w:t>
      </w:r>
    </w:p>
    <w:p w:rsidR="00000000" w:rsidRPr="00DC1895" w:rsidP="00DC1895">
      <w:pPr>
        <w:pStyle w:val="ListBullet"/>
      </w:pPr>
      <w:r w:rsidRPr="00DC1895">
        <w:t>organisational plans, policies and procedures relevant to conducting community consultations</w:t>
      </w:r>
    </w:p>
    <w:p w:rsidR="00000000" w:rsidRPr="00DC1895" w:rsidP="00DC1895">
      <w:pPr>
        <w:pStyle w:val="ListBullet"/>
      </w:pPr>
      <w:r w:rsidRPr="00DC1895">
        <w:t>legislation relevant to conducting community consultations</w:t>
      </w:r>
    </w:p>
    <w:p w:rsidR="00000000" w:rsidRPr="00DC1895" w:rsidP="00DC1895">
      <w:pPr>
        <w:pStyle w:val="ListBullet"/>
      </w:pPr>
      <w:r w:rsidRPr="00DC1895">
        <w:t>types of consultation issues:</w:t>
      </w:r>
    </w:p>
    <w:p w:rsidR="00000000" w:rsidRPr="00DC1895" w:rsidP="00DC1895">
      <w:pPr>
        <w:pStyle w:val="ListBullet2"/>
      </w:pPr>
      <w:r w:rsidRPr="00DC1895">
        <w:t>strategy</w:t>
      </w:r>
    </w:p>
    <w:p w:rsidR="00000000" w:rsidRPr="00DC1895" w:rsidP="00DC1895">
      <w:pPr>
        <w:pStyle w:val="ListBullet2"/>
      </w:pPr>
      <w:r w:rsidRPr="00DC1895">
        <w:t>policy</w:t>
      </w:r>
    </w:p>
    <w:p w:rsidR="00000000" w:rsidRPr="00DC1895" w:rsidP="00DC1895">
      <w:pPr>
        <w:pStyle w:val="ListBullet2"/>
      </w:pPr>
      <w:r w:rsidRPr="00DC1895">
        <w:t>operations and services</w:t>
      </w:r>
    </w:p>
    <w:p w:rsidR="00000000" w:rsidRPr="00DC1895" w:rsidP="00DC1895">
      <w:pPr>
        <w:pStyle w:val="ListBullet2"/>
      </w:pPr>
      <w:r w:rsidRPr="00DC1895">
        <w:t>projects</w:t>
      </w:r>
    </w:p>
    <w:p w:rsidR="00000000" w:rsidRPr="00DC1895" w:rsidP="00DC1895">
      <w:pPr>
        <w:pStyle w:val="ListBullet2"/>
      </w:pPr>
      <w:r w:rsidRPr="00DC1895">
        <w:t>performance</w:t>
      </w:r>
    </w:p>
    <w:p w:rsidR="00000000" w:rsidRPr="00DC1895" w:rsidP="00DC1895">
      <w:pPr>
        <w:pStyle w:val="ListBullet2"/>
      </w:pPr>
      <w:r w:rsidRPr="00DC1895">
        <w:t>amount requi</w:t>
      </w:r>
      <w:r w:rsidRPr="00DC1895">
        <w:t>red by legislation</w:t>
      </w:r>
    </w:p>
    <w:p w:rsidR="00000000" w:rsidRPr="00DC1895" w:rsidP="00DC1895">
      <w:pPr>
        <w:pStyle w:val="ListBullet"/>
      </w:pPr>
      <w:r w:rsidRPr="00DC1895">
        <w:t>consultation plan structure</w:t>
      </w:r>
    </w:p>
    <w:p w:rsidR="00000000" w:rsidRPr="00DC1895" w:rsidP="00DC1895">
      <w:pPr>
        <w:pStyle w:val="ListBullet"/>
      </w:pPr>
      <w:r w:rsidRPr="00DC1895">
        <w:t>access and equity issues:</w:t>
      </w:r>
    </w:p>
    <w:p w:rsidR="00000000" w:rsidRPr="00DC1895" w:rsidP="00DC1895">
      <w:pPr>
        <w:pStyle w:val="ListBullet2"/>
      </w:pPr>
      <w:r w:rsidRPr="00DC1895">
        <w:t xml:space="preserve">subject matter </w:t>
      </w:r>
    </w:p>
    <w:p w:rsidR="00000000" w:rsidRPr="00DC1895" w:rsidP="00DC1895">
      <w:pPr>
        <w:pStyle w:val="ListBullet2"/>
      </w:pPr>
      <w:r w:rsidRPr="00DC1895">
        <w:t xml:space="preserve">manner in which consultations are conducted </w:t>
      </w:r>
    </w:p>
    <w:p w:rsidR="00000000" w:rsidRPr="00DC1895" w:rsidP="00DC1895">
      <w:pPr>
        <w:pStyle w:val="ListBullet2"/>
      </w:pPr>
      <w:r w:rsidRPr="00DC1895">
        <w:t xml:space="preserve">physical accessibility </w:t>
      </w:r>
    </w:p>
    <w:p w:rsidR="00000000" w:rsidRPr="00DC1895" w:rsidP="00DC1895">
      <w:pPr>
        <w:pStyle w:val="ListBullet2"/>
      </w:pPr>
      <w:r w:rsidRPr="00DC1895">
        <w:t>community profile</w:t>
      </w:r>
    </w:p>
    <w:p w:rsidR="00000000" w:rsidRPr="00DC1895" w:rsidP="00DC1895">
      <w:pPr>
        <w:pStyle w:val="ListBullet2"/>
      </w:pPr>
      <w:r w:rsidRPr="00DC1895">
        <w:t xml:space="preserve">diverse language needs </w:t>
      </w:r>
    </w:p>
    <w:p w:rsidR="00000000" w:rsidRPr="00DC1895" w:rsidP="00DC1895">
      <w:pPr>
        <w:pStyle w:val="ListBullet2"/>
      </w:pPr>
      <w:r w:rsidRPr="00DC1895">
        <w:t xml:space="preserve">culture, including Indigenous, youth and non-English speaking background </w:t>
      </w:r>
    </w:p>
    <w:p w:rsidR="00000000" w:rsidRPr="00DC1895" w:rsidP="00DC1895">
      <w:pPr>
        <w:pStyle w:val="ListBullet"/>
      </w:pPr>
      <w:r w:rsidRPr="00DC1895">
        <w:t>consultation processes</w:t>
      </w:r>
    </w:p>
    <w:p w:rsidR="00000000" w:rsidRPr="00DC1895" w:rsidP="00DC1895">
      <w:pPr>
        <w:pStyle w:val="ListBullet"/>
      </w:pPr>
      <w:r w:rsidRPr="00DC1895">
        <w:t>types, strengths and weaknesses of consultation methods:</w:t>
      </w:r>
    </w:p>
    <w:p w:rsidR="00000000" w:rsidRPr="00DC1895" w:rsidP="00DC1895">
      <w:pPr>
        <w:pStyle w:val="ListBullet2"/>
      </w:pPr>
      <w:r w:rsidRPr="00DC1895">
        <w:t xml:space="preserve">public meetings </w:t>
      </w:r>
    </w:p>
    <w:p w:rsidR="00000000" w:rsidRPr="00DC1895" w:rsidP="00DC1895">
      <w:pPr>
        <w:pStyle w:val="ListBullet2"/>
      </w:pPr>
      <w:r w:rsidRPr="00DC1895">
        <w:t>telephone surveys</w:t>
      </w:r>
    </w:p>
    <w:p w:rsidR="00000000" w:rsidRPr="00DC1895" w:rsidP="00DC1895">
      <w:pPr>
        <w:pStyle w:val="ListBullet2"/>
      </w:pPr>
      <w:r w:rsidRPr="00DC1895">
        <w:t>online surveys</w:t>
      </w:r>
    </w:p>
    <w:p w:rsidR="00000000" w:rsidRPr="00DC1895" w:rsidP="00DC1895">
      <w:pPr>
        <w:pStyle w:val="ListBullet2"/>
      </w:pPr>
      <w:r w:rsidRPr="00DC1895">
        <w:t>mailed surveys</w:t>
      </w:r>
    </w:p>
    <w:p w:rsidR="00000000" w:rsidRPr="00DC1895" w:rsidP="00DC1895">
      <w:pPr>
        <w:pStyle w:val="ListBullet2"/>
      </w:pPr>
      <w:r w:rsidRPr="00DC1895">
        <w:t>focus groups</w:t>
      </w:r>
    </w:p>
    <w:p w:rsidR="00000000" w:rsidRPr="00DC1895" w:rsidP="00DC1895">
      <w:pPr>
        <w:pStyle w:val="ListBullet2"/>
      </w:pPr>
      <w:r w:rsidRPr="00DC1895">
        <w:t>council meetings</w:t>
      </w:r>
    </w:p>
    <w:p w:rsidR="00000000" w:rsidRPr="00DC1895" w:rsidP="00DC1895">
      <w:pPr>
        <w:pStyle w:val="ListBullet2"/>
      </w:pPr>
      <w:r w:rsidRPr="00DC1895">
        <w:t>inter</w:t>
      </w:r>
      <w:r w:rsidRPr="00DC1895">
        <w:t>views</w:t>
      </w:r>
    </w:p>
    <w:p w:rsidR="00000000" w:rsidRPr="00DC1895" w:rsidP="00DC1895">
      <w:pPr>
        <w:pStyle w:val="ListBullet2"/>
      </w:pPr>
      <w:r w:rsidRPr="00DC1895">
        <w:t>expert panels</w:t>
      </w:r>
    </w:p>
    <w:p w:rsidR="00000000" w:rsidRPr="00DC1895" w:rsidP="00DC1895">
      <w:pPr>
        <w:pStyle w:val="ListBullet2"/>
      </w:pPr>
      <w:r w:rsidRPr="00DC1895">
        <w:t>social media</w:t>
      </w:r>
    </w:p>
    <w:p w:rsidR="00000000" w:rsidRPr="00DC1895" w:rsidP="00DC1895">
      <w:pPr>
        <w:pStyle w:val="ListBullet"/>
      </w:pPr>
      <w:r w:rsidRPr="00DC1895">
        <w:t>methods for collecting, storing, analysing and summarising data:</w:t>
      </w:r>
    </w:p>
    <w:p w:rsidR="00000000" w:rsidRPr="00DC1895" w:rsidP="00DC1895">
      <w:pPr>
        <w:pStyle w:val="ListBullet2"/>
      </w:pPr>
      <w:r w:rsidRPr="00DC1895">
        <w:t>quantitative data</w:t>
      </w:r>
    </w:p>
    <w:p w:rsidR="00000000" w:rsidRPr="00DC1895" w:rsidP="00DC1895">
      <w:pPr>
        <w:pStyle w:val="ListBullet2"/>
      </w:pPr>
      <w:r w:rsidRPr="00DC1895">
        <w:t>qualitative data</w:t>
      </w:r>
    </w:p>
    <w:p w:rsidR="00000000" w:rsidRPr="00DC1895" w:rsidP="00DC1895">
      <w:pPr>
        <w:pStyle w:val="ListBullet"/>
      </w:pPr>
      <w:r w:rsidRPr="00DC1895">
        <w:t>evaluation methods:</w:t>
      </w:r>
    </w:p>
    <w:p w:rsidR="00000000" w:rsidRPr="00DC1895" w:rsidP="00DC1895">
      <w:pPr>
        <w:pStyle w:val="ListBullet2"/>
      </w:pPr>
      <w:r w:rsidRPr="00DC1895">
        <w:t>outcomes</w:t>
      </w:r>
    </w:p>
    <w:p w:rsidR="00000000" w:rsidRPr="00DC1895" w:rsidP="00DC1895">
      <w:pPr>
        <w:pStyle w:val="ListBullet2"/>
      </w:pPr>
      <w:r w:rsidRPr="00DC1895">
        <w:t>process</w:t>
      </w:r>
    </w:p>
    <w:p w:rsidR="00000000" w:rsidRPr="00DC1895" w:rsidP="00DC1895">
      <w:pPr>
        <w:pStyle w:val="ListBullet2"/>
      </w:pPr>
      <w:r w:rsidRPr="00DC1895">
        <w:t>impact on decision making</w:t>
      </w:r>
    </w:p>
    <w:p w:rsidR="00000000" w:rsidRPr="00DC1895" w:rsidP="00DC1895">
      <w:pPr>
        <w:pStyle w:val="ListBullet2"/>
      </w:pPr>
      <w:r w:rsidRPr="00DC1895">
        <w:t>participant satisfaction</w:t>
      </w:r>
    </w:p>
    <w:p w:rsidR="00000000" w:rsidRPr="00DC1895" w:rsidP="00DC1895">
      <w:pPr>
        <w:pStyle w:val="ListBullet"/>
      </w:pPr>
      <w:r w:rsidRPr="00DC1895">
        <w:t>types of community consultation targets:</w:t>
      </w:r>
    </w:p>
    <w:p w:rsidR="00000000" w:rsidRPr="00DC1895" w:rsidP="00DC1895">
      <w:pPr>
        <w:pStyle w:val="ListBullet2"/>
      </w:pPr>
      <w:r w:rsidRPr="00DC1895">
        <w:t>response rate</w:t>
      </w:r>
    </w:p>
    <w:p w:rsidR="00000000" w:rsidRPr="00DC1895" w:rsidP="00DC1895">
      <w:pPr>
        <w:pStyle w:val="ListBullet2"/>
      </w:pPr>
      <w:r w:rsidRPr="00DC1895">
        <w:t>representative sample</w:t>
      </w:r>
    </w:p>
    <w:p w:rsidR="00000000" w:rsidRPr="00DC1895" w:rsidP="00DC1895">
      <w:pPr>
        <w:pStyle w:val="ListBullet2"/>
      </w:pPr>
      <w:r w:rsidRPr="00DC1895">
        <w:t>quality of feedback</w:t>
      </w:r>
    </w:p>
    <w:p w:rsidR="00000000" w:rsidRPr="00DC1895" w:rsidP="00DC1895">
      <w:pPr>
        <w:pStyle w:val="ListBullet2"/>
      </w:pPr>
      <w:r w:rsidRPr="00DC1895">
        <w:t>timing</w:t>
      </w:r>
    </w:p>
    <w:p w:rsidR="00000000" w:rsidRPr="00DC1895" w:rsidP="00DC1895">
      <w:pPr>
        <w:pStyle w:val="ListBullet2"/>
      </w:pPr>
      <w:r w:rsidRPr="00DC1895">
        <w:t>cost</w:t>
      </w:r>
    </w:p>
    <w:p w:rsidR="00000000" w:rsidRPr="00DC1895" w:rsidP="00DC1895">
      <w:pPr>
        <w:pStyle w:val="ListBullet"/>
      </w:pPr>
      <w:r w:rsidRPr="00DC1895">
        <w:t>types of resources and methods for estimating and calculating costs:</w:t>
      </w:r>
    </w:p>
    <w:p w:rsidR="00000000" w:rsidRPr="00DC1895" w:rsidP="00DC1895">
      <w:pPr>
        <w:pStyle w:val="ListBullet2"/>
      </w:pPr>
      <w:r w:rsidRPr="00DC1895">
        <w:t>human</w:t>
      </w:r>
    </w:p>
    <w:p w:rsidR="00000000" w:rsidRPr="00DC1895" w:rsidP="00DC1895">
      <w:pPr>
        <w:pStyle w:val="ListBullet2"/>
      </w:pPr>
      <w:r w:rsidRPr="00DC1895">
        <w:t>financial</w:t>
      </w:r>
    </w:p>
    <w:p w:rsidR="00000000" w:rsidRPr="00DC1895" w:rsidP="00DC1895">
      <w:pPr>
        <w:pStyle w:val="ListBullet2"/>
      </w:pPr>
      <w:r w:rsidRPr="00DC1895">
        <w:t>technical</w:t>
      </w:r>
    </w:p>
    <w:p w:rsidR="00000000" w:rsidRPr="00DC1895" w:rsidP="00DC1895">
      <w:pPr>
        <w:pStyle w:val="ListBullet"/>
      </w:pPr>
      <w:r w:rsidRPr="00DC1895">
        <w:t>types of target groups and methods for identifying and defining:</w:t>
      </w:r>
    </w:p>
    <w:p w:rsidR="00000000" w:rsidRPr="00DC1895" w:rsidP="00DC1895">
      <w:pPr>
        <w:pStyle w:val="ListBullet2"/>
      </w:pPr>
      <w:r w:rsidRPr="00DC1895">
        <w:t xml:space="preserve">community groups </w:t>
      </w:r>
    </w:p>
    <w:p w:rsidR="00000000" w:rsidRPr="00DC1895" w:rsidP="00DC1895">
      <w:pPr>
        <w:pStyle w:val="ListBullet2"/>
      </w:pPr>
      <w:r w:rsidRPr="00DC1895">
        <w:t xml:space="preserve">authorities </w:t>
      </w:r>
    </w:p>
    <w:p w:rsidR="00000000" w:rsidRPr="00DC1895" w:rsidP="00DC1895">
      <w:pPr>
        <w:pStyle w:val="ListBullet2"/>
      </w:pPr>
      <w:r w:rsidRPr="00DC1895">
        <w:t xml:space="preserve">community members </w:t>
      </w:r>
    </w:p>
    <w:p w:rsidR="00000000" w:rsidRPr="00DC1895" w:rsidP="00DC1895">
      <w:pPr>
        <w:pStyle w:val="ListBullet2"/>
      </w:pPr>
      <w:r w:rsidRPr="00DC1895">
        <w:t>emergency authorities including police, fire and ambulance</w:t>
      </w:r>
    </w:p>
    <w:p w:rsidR="00000000" w:rsidRPr="00DC1895" w:rsidP="00DC1895">
      <w:pPr>
        <w:pStyle w:val="ListBullet2"/>
      </w:pPr>
      <w:r w:rsidRPr="00DC1895">
        <w:t xml:space="preserve">private sector business interests </w:t>
      </w:r>
    </w:p>
    <w:p w:rsidR="00000000" w:rsidRPr="00DC1895" w:rsidP="00DC1895">
      <w:pPr>
        <w:pStyle w:val="ListBullet2"/>
      </w:pPr>
      <w:r w:rsidRPr="00DC1895">
        <w:t xml:space="preserve">special interest groups </w:t>
      </w:r>
    </w:p>
    <w:p w:rsidR="00000000" w:rsidRPr="00DC1895" w:rsidP="00DC1895">
      <w:pPr>
        <w:pStyle w:val="ListBullet2"/>
      </w:pPr>
      <w:r w:rsidRPr="00DC1895">
        <w:t>experts.</w:t>
      </w:r>
    </w:p>
    <w:p w:rsidR="00000000" w:rsidRPr="00DC1895" w:rsidP="00DC1895">
      <w:pPr>
        <w:pStyle w:val="AllowPageBreak"/>
      </w:pPr>
    </w:p>
    <w:p w:rsidR="00000000" w:rsidRPr="00DC1895" w:rsidP="00DC1895">
      <w:pPr>
        <w:pStyle w:val="Heading1"/>
      </w:pPr>
      <w:bookmarkStart w:id="4" w:name="O_1144429"/>
      <w:bookmarkEnd w:id="4"/>
      <w:r w:rsidRPr="00DC1895">
        <w:t>Assessment Conditions</w:t>
      </w:r>
    </w:p>
    <w:p w:rsidR="00000000" w:rsidRPr="00DC1895" w:rsidP="007F1459">
      <w:pPr>
        <w:pStyle w:val="BodyText"/>
      </w:pPr>
      <w:r w:rsidRPr="00DC1895">
        <w:t>Skills must be demonstrated in the workplace or in a simulated work environment that reflects workplace conditions in a local government environment.</w:t>
      </w:r>
    </w:p>
    <w:p w:rsidR="00000000" w:rsidRPr="00DC1895" w:rsidP="007F1459">
      <w:pPr>
        <w:pStyle w:val="BodyText"/>
      </w:pPr>
      <w:r w:rsidRPr="00DC1895">
        <w:t>Assessment must ensure access to:</w:t>
      </w:r>
    </w:p>
    <w:p w:rsidR="00000000" w:rsidRPr="00DC1895" w:rsidP="00DC1895">
      <w:pPr>
        <w:pStyle w:val="ListBullet"/>
      </w:pPr>
      <w:r w:rsidRPr="00DC1895">
        <w:t>computer with access to the internet</w:t>
      </w:r>
    </w:p>
    <w:p w:rsidR="00000000" w:rsidRPr="00DC1895" w:rsidP="00DC1895">
      <w:pPr>
        <w:pStyle w:val="ListBullet"/>
      </w:pPr>
      <w:r w:rsidRPr="00DC1895">
        <w:t>co</w:t>
      </w:r>
      <w:r w:rsidRPr="00DC1895">
        <w:t>nsultation plan template</w:t>
      </w:r>
    </w:p>
    <w:p w:rsidR="00000000" w:rsidRPr="00DC1895" w:rsidP="00DC1895">
      <w:pPr>
        <w:pStyle w:val="ListBullet"/>
      </w:pPr>
      <w:r w:rsidRPr="00DC1895">
        <w:t>target groups relevant to the community consultation issue</w:t>
      </w:r>
    </w:p>
    <w:p w:rsidR="00000000" w:rsidRPr="00DC1895" w:rsidP="00DC1895">
      <w:pPr>
        <w:pStyle w:val="ListBullet"/>
      </w:pPr>
      <w:r w:rsidRPr="00DC1895">
        <w:t>organisational policies and procedures relevant to conducting community consultations.</w:t>
      </w:r>
    </w:p>
    <w:p w:rsidR="00000000" w:rsidRPr="00DC1895" w:rsidP="00DC1895">
      <w:pPr>
        <w:pStyle w:val="BodyText"/>
      </w:pPr>
    </w:p>
    <w:p w:rsidR="007F1459" w:rsidP="007F1459">
      <w:pPr>
        <w:pStyle w:val="BodyText"/>
      </w:pPr>
      <w:r w:rsidRPr="00DC1895">
        <w:t>Assessors must satisfy the Standards for Registered Training Organisations</w:t>
      </w:r>
      <w:r>
        <w:t>’</w:t>
      </w:r>
      <w:r w:rsidRPr="00DC1895">
        <w:t xml:space="preserve"> requirements for assessors.</w:t>
      </w:r>
    </w:p>
    <w:p w:rsidR="00000000" w:rsidRPr="00DC1895" w:rsidP="00DC1895">
      <w:pPr>
        <w:pStyle w:val="Heading1"/>
      </w:pPr>
      <w:bookmarkStart w:id="5" w:name="O_1144432"/>
      <w:bookmarkEnd w:id="5"/>
      <w:r w:rsidRPr="00DC1895">
        <w:t>Links</w:t>
      </w:r>
    </w:p>
    <w:p w:rsidR="00000000" w:rsidRPr="00DC1895" w:rsidP="007F1459">
      <w:pPr>
        <w:pStyle w:val="BodyText"/>
      </w:pPr>
      <w:r w:rsidRPr="00DC1895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E75EF7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DC1895" w:rsidP="00DC1895"/>
    <w:sectPr w:rsidSect="00DC18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95" w:rsidRPr="007F1459" w:rsidP="007F14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59" w:rsidP="00DC1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459" w:rsidP="00DC1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F1459" w:rsidP="00DC1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895" w:rsidRPr="007F1459" w:rsidP="007F14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59" w:rsidRPr="002D2AF8" w:rsidP="00DC1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LGACOR007 Conduct community consultations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F1459" w:rsidP="00DC1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7EB5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FC0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24E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895"/>
  </w:style>
  <w:style w:type="character" w:customStyle="1" w:styleId="Heading1Char">
    <w:name w:val="Heading 1 Char"/>
    <w:basedOn w:val="DefaultParagraphFont"/>
    <w:link w:val="Heading1"/>
    <w:rsid w:val="00DC1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8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8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18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1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8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8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1895"/>
    <w:rPr>
      <w:b/>
      <w:spacing w:val="0"/>
    </w:rPr>
  </w:style>
  <w:style w:type="paragraph" w:customStyle="1" w:styleId="SuperTitle">
    <w:name w:val="SuperTitle"/>
    <w:basedOn w:val="Title"/>
    <w:rsid w:val="00DC1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8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895"/>
    <w:rPr>
      <w:i/>
    </w:rPr>
  </w:style>
  <w:style w:type="paragraph" w:styleId="Caption">
    <w:name w:val="caption"/>
    <w:basedOn w:val="BodyText"/>
    <w:next w:val="Normal"/>
    <w:qFormat/>
    <w:rsid w:val="00DC1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895"/>
  </w:style>
  <w:style w:type="paragraph" w:styleId="TableofFigures">
    <w:name w:val="table of figures"/>
    <w:basedOn w:val="Normal"/>
    <w:next w:val="Normal"/>
    <w:semiHidden/>
    <w:rsid w:val="00DC1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8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1895"/>
    <w:rPr>
      <w:rFonts w:ascii="Wingdings" w:hAnsi="Wingdings"/>
    </w:rPr>
  </w:style>
  <w:style w:type="paragraph" w:customStyle="1" w:styleId="TableHeading">
    <w:name w:val="Table Heading"/>
    <w:basedOn w:val="HeadingBase"/>
    <w:rsid w:val="00DC1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895"/>
    <w:rPr>
      <w:color w:val="0033CC"/>
      <w:u w:val="none"/>
    </w:rPr>
  </w:style>
  <w:style w:type="paragraph" w:customStyle="1" w:styleId="BodyTextRight">
    <w:name w:val="Body Text Right"/>
    <w:basedOn w:val="BodyText"/>
    <w:rsid w:val="00DC1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8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895"/>
    <w:rPr>
      <w:sz w:val="32"/>
    </w:rPr>
  </w:style>
  <w:style w:type="paragraph" w:customStyle="1" w:styleId="HeadingProcedure">
    <w:name w:val="Heading Procedure"/>
    <w:basedOn w:val="HeadingBase"/>
    <w:next w:val="Normal"/>
    <w:rsid w:val="00DC1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895"/>
    <w:pPr>
      <w:spacing w:before="60" w:after="60"/>
    </w:pPr>
  </w:style>
  <w:style w:type="paragraph" w:styleId="ListContinue">
    <w:name w:val="List Continue"/>
    <w:basedOn w:val="List"/>
    <w:rsid w:val="00DC1895"/>
    <w:pPr>
      <w:ind w:firstLine="0"/>
    </w:pPr>
  </w:style>
  <w:style w:type="paragraph" w:customStyle="1" w:styleId="ListNote">
    <w:name w:val="List Note"/>
    <w:basedOn w:val="List"/>
    <w:rsid w:val="00DC1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895"/>
    <w:rPr>
      <w:rFonts w:ascii="Courier New" w:hAnsi="Courier New"/>
    </w:rPr>
  </w:style>
  <w:style w:type="paragraph" w:customStyle="1" w:styleId="NoteBullet">
    <w:name w:val="Note Bullet"/>
    <w:basedOn w:val="Note"/>
    <w:rsid w:val="00DC1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8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1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895"/>
    <w:rPr>
      <w:b/>
      <w:smallCaps/>
    </w:rPr>
  </w:style>
  <w:style w:type="paragraph" w:customStyle="1" w:styleId="TableListNumber">
    <w:name w:val="Table List Number"/>
    <w:basedOn w:val="ListNumber"/>
    <w:rsid w:val="00DC1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895"/>
    <w:pPr>
      <w:numPr>
        <w:numId w:val="9"/>
      </w:numPr>
    </w:pPr>
  </w:style>
  <w:style w:type="paragraph" w:customStyle="1" w:styleId="ListAlpha2">
    <w:name w:val="List Alpha 2"/>
    <w:basedOn w:val="List2"/>
    <w:rsid w:val="00DC1895"/>
    <w:pPr>
      <w:numPr>
        <w:numId w:val="8"/>
      </w:numPr>
    </w:pPr>
  </w:style>
  <w:style w:type="paragraph" w:styleId="List2">
    <w:name w:val="List 2"/>
    <w:basedOn w:val="BodyText"/>
    <w:rsid w:val="00DC1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8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8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1895"/>
    <w:pPr>
      <w:numPr>
        <w:numId w:val="4"/>
      </w:numPr>
    </w:pPr>
  </w:style>
  <w:style w:type="paragraph" w:styleId="ListContinue2">
    <w:name w:val="List Continue 2"/>
    <w:basedOn w:val="List2"/>
    <w:rsid w:val="00DC1895"/>
    <w:pPr>
      <w:ind w:firstLine="0"/>
    </w:pPr>
  </w:style>
  <w:style w:type="paragraph" w:styleId="ListContinue3">
    <w:name w:val="List Continue 3"/>
    <w:basedOn w:val="List3"/>
    <w:rsid w:val="00DC1895"/>
    <w:pPr>
      <w:ind w:left="1021" w:firstLine="0"/>
    </w:pPr>
  </w:style>
  <w:style w:type="paragraph" w:styleId="ListContinue4">
    <w:name w:val="List Continue 4"/>
    <w:basedOn w:val="List4"/>
    <w:rsid w:val="00DC1895"/>
    <w:pPr>
      <w:ind w:firstLine="0"/>
    </w:pPr>
  </w:style>
  <w:style w:type="paragraph" w:styleId="ListContinue5">
    <w:name w:val="List Continue 5"/>
    <w:basedOn w:val="List5"/>
    <w:rsid w:val="00DC1895"/>
    <w:pPr>
      <w:ind w:firstLine="0"/>
    </w:pPr>
  </w:style>
  <w:style w:type="paragraph" w:styleId="ListNumber3">
    <w:name w:val="List Number 3"/>
    <w:basedOn w:val="List3"/>
    <w:rsid w:val="00DC1895"/>
    <w:pPr>
      <w:numPr>
        <w:numId w:val="5"/>
      </w:numPr>
    </w:pPr>
  </w:style>
  <w:style w:type="paragraph" w:styleId="ListNumber4">
    <w:name w:val="List Number 4"/>
    <w:basedOn w:val="List4"/>
    <w:rsid w:val="00DC1895"/>
    <w:pPr>
      <w:numPr>
        <w:numId w:val="6"/>
      </w:numPr>
    </w:pPr>
  </w:style>
  <w:style w:type="paragraph" w:styleId="ListNumber5">
    <w:name w:val="List Number 5"/>
    <w:basedOn w:val="List5"/>
    <w:rsid w:val="00DC1895"/>
    <w:pPr>
      <w:numPr>
        <w:numId w:val="7"/>
      </w:numPr>
    </w:pPr>
  </w:style>
  <w:style w:type="paragraph" w:styleId="BlockText">
    <w:name w:val="Block Text"/>
    <w:basedOn w:val="Normal"/>
    <w:rsid w:val="00DC1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895"/>
    <w:rPr>
      <w:sz w:val="16"/>
      <w:vertAlign w:val="superscript"/>
    </w:rPr>
  </w:style>
  <w:style w:type="character" w:customStyle="1" w:styleId="Symbols">
    <w:name w:val="Symbols"/>
    <w:basedOn w:val="DefaultParagraphFont"/>
    <w:rsid w:val="00DC1895"/>
    <w:rPr>
      <w:rFonts w:ascii="Symbol" w:hAnsi="Symbol"/>
    </w:rPr>
  </w:style>
  <w:style w:type="character" w:customStyle="1" w:styleId="MenuOptions">
    <w:name w:val="Menu Options"/>
    <w:basedOn w:val="DefaultParagraphFont"/>
    <w:rsid w:val="00DC1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895"/>
    <w:rPr>
      <w:b/>
    </w:rPr>
  </w:style>
  <w:style w:type="character" w:customStyle="1" w:styleId="Underlined">
    <w:name w:val="Underlined"/>
    <w:basedOn w:val="DefaultParagraphFont"/>
    <w:rsid w:val="00DC1895"/>
    <w:rPr>
      <w:u w:val="single"/>
    </w:rPr>
  </w:style>
  <w:style w:type="paragraph" w:customStyle="1" w:styleId="TableBodyTextRight">
    <w:name w:val="Table Body Text Right"/>
    <w:basedOn w:val="TableBodyText"/>
    <w:rsid w:val="00DC1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895"/>
    <w:rPr>
      <w:sz w:val="18"/>
    </w:rPr>
  </w:style>
  <w:style w:type="paragraph" w:customStyle="1" w:styleId="BodySmallRight">
    <w:name w:val="Body Small Right"/>
    <w:basedOn w:val="BodyTextRight"/>
    <w:rsid w:val="00DC1895"/>
    <w:rPr>
      <w:sz w:val="18"/>
      <w:szCs w:val="18"/>
    </w:rPr>
  </w:style>
  <w:style w:type="paragraph" w:customStyle="1" w:styleId="MarginEdition">
    <w:name w:val="Margin Edition"/>
    <w:basedOn w:val="MarginNote"/>
    <w:rsid w:val="00DC1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895"/>
    <w:rPr>
      <w:sz w:val="2"/>
      <w:szCs w:val="2"/>
    </w:rPr>
  </w:style>
  <w:style w:type="character" w:customStyle="1" w:styleId="Small">
    <w:name w:val="Small"/>
    <w:basedOn w:val="DefaultParagraphFont"/>
    <w:rsid w:val="00DC1895"/>
    <w:rPr>
      <w:sz w:val="16"/>
    </w:rPr>
  </w:style>
  <w:style w:type="paragraph" w:customStyle="1" w:styleId="WideTable">
    <w:name w:val="Wide Table"/>
    <w:basedOn w:val="Normal"/>
    <w:rsid w:val="00DC1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895"/>
  </w:style>
  <w:style w:type="paragraph" w:styleId="Quote">
    <w:name w:val="Quote"/>
    <w:basedOn w:val="Heading1"/>
    <w:link w:val="QuoteChar"/>
    <w:qFormat/>
    <w:rsid w:val="00DC1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895"/>
    <w:pPr>
      <w:pageBreakBefore/>
    </w:pPr>
  </w:style>
  <w:style w:type="paragraph" w:customStyle="1" w:styleId="Border">
    <w:name w:val="Border"/>
    <w:basedOn w:val="Normal"/>
    <w:qFormat/>
    <w:rsid w:val="00DC1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895"/>
    <w:rPr>
      <w:u w:val="single"/>
    </w:rPr>
  </w:style>
  <w:style w:type="character" w:customStyle="1" w:styleId="BoldandItalics">
    <w:name w:val="Bold and Italics"/>
    <w:qFormat/>
    <w:rsid w:val="00DC1895"/>
    <w:rPr>
      <w:b/>
      <w:i/>
      <w:u w:val="none"/>
    </w:rPr>
  </w:style>
  <w:style w:type="paragraph" w:styleId="BalloonText">
    <w:name w:val="Balloon Text"/>
    <w:basedOn w:val="Normal"/>
    <w:link w:val="BalloonTextChar"/>
    <w:rsid w:val="00DC1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895"/>
    <w:pPr>
      <w:spacing w:before="0" w:after="0"/>
    </w:pPr>
  </w:style>
  <w:style w:type="paragraph" w:customStyle="1" w:styleId="BodyTextBold">
    <w:name w:val="Body Text Bold"/>
    <w:basedOn w:val="BodyText"/>
    <w:qFormat/>
    <w:rsid w:val="00DC1895"/>
    <w:rPr>
      <w:b/>
    </w:rPr>
  </w:style>
  <w:style w:type="character" w:styleId="Hyperlink">
    <w:name w:val="Hyperlink"/>
    <w:basedOn w:val="DefaultParagraphFont"/>
    <w:uiPriority w:val="99"/>
    <w:unhideWhenUsed/>
    <w:rsid w:val="007F14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342</Words>
  <Characters>2520</Characters>
  <Application>Microsoft Office Word</Application>
  <DocSecurity>0</DocSecurity>
  <Lines>96</Lines>
  <Paragraphs>89</Paragraphs>
  <ScaleCrop>false</ScaleCrop>
  <Company>Author-it Software Corporation Ltd.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LGACOR007 Conduct community consultations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