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EAD" w:rsidP="00170EAD">
      <w:pPr>
        <w:pStyle w:val="Title"/>
      </w:pPr>
      <w:bookmarkStart w:id="0" w:name="_GoBack"/>
      <w:bookmarkEnd w:id="0"/>
      <w:r>
        <w:fldChar w:fldCharType="begin"/>
      </w:r>
      <w:r>
        <w:instrText xml:space="preserve"> TITLE   \* MERGEFORMAT </w:instrText>
      </w:r>
      <w:r>
        <w:fldChar w:fldCharType="separate"/>
      </w:r>
      <w:r>
        <w:t>ICTWOR3231A Resolve technical enquiries using multiple information systems</w:t>
      </w:r>
      <w:r>
        <w:fldChar w:fldCharType="end"/>
      </w:r>
    </w:p>
    <w:p w:rsidR="00170EAD" w:rsidP="00170EAD">
      <w:pPr>
        <w:pStyle w:val="Version"/>
        <w:sectPr w:rsidSect="00B93F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3FE2" w:rsidP="00B93FE2">
      <w:pPr>
        <w:pStyle w:val="SuperHeading"/>
      </w:pPr>
      <w:r w:rsidRPr="00B93FE2">
        <w:t>ICTWOR3231A Resolve technical enquiries using multiple information systems</w:t>
      </w:r>
    </w:p>
    <w:p w:rsidR="00000000" w:rsidRPr="00B93FE2" w:rsidP="00B93FE2">
      <w:pPr>
        <w:pStyle w:val="Heading1"/>
      </w:pPr>
      <w:bookmarkStart w:id="1" w:name="O_271963"/>
      <w:bookmarkEnd w:id="1"/>
      <w:r w:rsidRPr="00B93FE2">
        <w:t>Modification History</w:t>
      </w:r>
    </w:p>
    <w:p w:rsidR="00000000" w:rsidRPr="00B93FE2" w:rsidP="00B93FE2">
      <w:pPr>
        <w:pStyle w:val="BodyText"/>
      </w:pPr>
      <w:r w:rsidRPr="00B93FE2">
        <w:t>Not Applicable</w:t>
      </w:r>
    </w:p>
    <w:p w:rsidR="00000000" w:rsidRPr="00B93FE2" w:rsidP="00B93FE2">
      <w:pPr>
        <w:pStyle w:val="AllowPageBreak"/>
      </w:pPr>
    </w:p>
    <w:p w:rsidR="00000000" w:rsidRPr="00B93FE2" w:rsidP="00B93FE2">
      <w:pPr>
        <w:pStyle w:val="Heading1"/>
      </w:pPr>
      <w:bookmarkStart w:id="2" w:name="O_210179"/>
      <w:bookmarkEnd w:id="2"/>
      <w:r w:rsidRPr="00B93FE2">
        <w:t>Unit Descriptor</w:t>
      </w:r>
    </w:p>
    <w:tbl>
      <w:tblPr>
        <w:tblW w:w="0" w:type="auto"/>
        <w:tblLayout w:type="fixed"/>
        <w:tblCellMar>
          <w:left w:w="62" w:type="dxa"/>
          <w:right w:w="62" w:type="dxa"/>
        </w:tblCellMar>
        <w:tblLook w:val="0000"/>
      </w:tblPr>
      <w:tblGrid>
        <w:gridCol w:w="2664"/>
        <w:gridCol w:w="5858"/>
      </w:tblGrid>
      <w:tr w:rsidTr="00170EA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Unit d</w:t>
            </w:r>
            <w:r w:rsidRPr="00B93FE2">
              <w:rPr>
                <w:rStyle w:val="SpecialBold"/>
              </w:rPr>
              <w:t>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This unit describes the performance outcomes, skills and knowledge required to remotely support the resolution of complex technical enquiries related to a product or service. The enquiry may be the result of an escalation.</w:t>
            </w:r>
          </w:p>
          <w:p w:rsidR="00000000" w:rsidRPr="00B93FE2" w:rsidP="00B93FE2">
            <w:pPr>
              <w:pStyle w:val="BodyText"/>
            </w:pPr>
          </w:p>
          <w:p w:rsidR="00000000" w:rsidRPr="00B93FE2" w:rsidP="00B93FE2">
            <w:pPr>
              <w:pStyle w:val="BodyText"/>
            </w:pPr>
            <w:r w:rsidRPr="00B93FE2">
              <w:t xml:space="preserve">The resolution of the </w:t>
            </w:r>
            <w:r w:rsidRPr="00B93FE2">
              <w:t xml:space="preserve">enquiry requires the use of multiple information systems to both obtain and record customer information. The informant may be the customer or another party to the enquiry, such as a field technician. </w:t>
            </w:r>
          </w:p>
          <w:p w:rsidR="00000000" w:rsidRPr="00B93FE2" w:rsidP="00B93FE2">
            <w:pPr>
              <w:pStyle w:val="BodyText"/>
            </w:pPr>
          </w:p>
          <w:p w:rsidR="00000000" w:rsidRPr="00B93FE2" w:rsidP="00B93FE2">
            <w:pPr>
              <w:pStyle w:val="BodyText"/>
            </w:pPr>
            <w:r w:rsidRPr="00B93FE2">
              <w:t>No licensing, legislative, regulatory or certification</w:t>
            </w:r>
            <w:r w:rsidRPr="00B93FE2">
              <w:t xml:space="preserve"> requirements apply to this unit at the time of endorsement but users should confirm requirements with the relevant federal, state or territory authority.</w:t>
            </w:r>
          </w:p>
        </w:tc>
      </w:tr>
    </w:tbl>
    <w:p w:rsidR="00170EAD" w:rsidP="00B93FE2">
      <w:pPr>
        <w:pStyle w:val="BodyText"/>
      </w:pPr>
    </w:p>
    <w:p w:rsidR="00170EAD" w:rsidP="00B93FE2">
      <w:pPr>
        <w:pStyle w:val="BodyText"/>
      </w:pPr>
    </w:p>
    <w:p w:rsidR="00000000" w:rsidRPr="00B93FE2" w:rsidP="00B93FE2">
      <w:pPr>
        <w:pStyle w:val="Heading1"/>
      </w:pPr>
      <w:bookmarkStart w:id="3" w:name="O_210183"/>
      <w:bookmarkEnd w:id="3"/>
      <w:r w:rsidRPr="00B93FE2">
        <w:t>Application of the Unit</w:t>
      </w:r>
    </w:p>
    <w:tbl>
      <w:tblPr>
        <w:tblW w:w="0" w:type="auto"/>
        <w:tblLayout w:type="fixed"/>
        <w:tblCellMar>
          <w:left w:w="62" w:type="dxa"/>
          <w:right w:w="62" w:type="dxa"/>
        </w:tblCellMar>
        <w:tblLook w:val="0000"/>
      </w:tblPr>
      <w:tblGrid>
        <w:gridCol w:w="2747"/>
        <w:gridCol w:w="5775"/>
      </w:tblGrid>
      <w:tr w:rsidTr="00170EAD">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Technical staff who deal with cus</w:t>
            </w:r>
            <w:r w:rsidRPr="00B93FE2">
              <w:t xml:space="preserve">tomers and field technicians apply the skills and knowledge in this unit. This unit assumes a background in telecommunications with experience in customer access networks and customer infrastructure including equipment and cabling. </w:t>
            </w:r>
          </w:p>
        </w:tc>
      </w:tr>
    </w:tbl>
    <w:p w:rsidR="00170EAD" w:rsidP="00B93FE2">
      <w:pPr>
        <w:pStyle w:val="BodyText"/>
      </w:pPr>
    </w:p>
    <w:p w:rsidR="00170EAD" w:rsidP="00B93FE2">
      <w:pPr>
        <w:pStyle w:val="BodyText"/>
      </w:pPr>
    </w:p>
    <w:p w:rsidR="00000000" w:rsidRPr="00B93FE2" w:rsidP="00B93FE2">
      <w:pPr>
        <w:pStyle w:val="Heading1"/>
      </w:pPr>
      <w:bookmarkStart w:id="4" w:name="O_280223"/>
      <w:bookmarkEnd w:id="4"/>
      <w:r w:rsidRPr="00B93FE2">
        <w:t>Lic</w:t>
      </w:r>
      <w:r w:rsidRPr="00B93FE2">
        <w:t>ensing/Regulatory Information</w:t>
      </w:r>
    </w:p>
    <w:p w:rsidR="00000000" w:rsidRPr="00B93FE2" w:rsidP="00B93FE2">
      <w:pPr>
        <w:pStyle w:val="BodyText"/>
      </w:pPr>
      <w:r w:rsidRPr="00B93FE2">
        <w:t>Refer to Unit Descriptor</w:t>
      </w:r>
    </w:p>
    <w:p w:rsidR="00000000" w:rsidRPr="00B93FE2" w:rsidP="00B93FE2">
      <w:pPr>
        <w:pStyle w:val="AllowPageBreak"/>
      </w:pPr>
    </w:p>
    <w:p w:rsidR="00000000" w:rsidRPr="00B93FE2" w:rsidP="00B93FE2">
      <w:pPr>
        <w:pStyle w:val="Heading1"/>
      </w:pPr>
      <w:bookmarkStart w:id="5" w:name="O_210181"/>
      <w:bookmarkEnd w:id="5"/>
      <w:r w:rsidRPr="00B93FE2">
        <w:t>Pre-Requisites</w:t>
      </w:r>
    </w:p>
    <w:tbl>
      <w:tblPr>
        <w:tblW w:w="0" w:type="auto"/>
        <w:tblLayout w:type="fixed"/>
        <w:tblCellMar>
          <w:left w:w="62" w:type="dxa"/>
          <w:right w:w="62" w:type="dxa"/>
        </w:tblCellMar>
        <w:tblLook w:val="0000"/>
      </w:tblPr>
      <w:tblGrid>
        <w:gridCol w:w="2775"/>
        <w:gridCol w:w="1295"/>
        <w:gridCol w:w="4452"/>
      </w:tblGrid>
      <w:tr w:rsidTr="00170EA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p>
        </w:tc>
      </w:tr>
      <w:tr w:rsidTr="00170E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p>
        </w:tc>
      </w:tr>
      <w:tr w:rsidTr="00170EA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p>
        </w:tc>
      </w:tr>
    </w:tbl>
    <w:p w:rsidR="00170EAD" w:rsidP="00B93FE2">
      <w:pPr>
        <w:pStyle w:val="BodyText"/>
      </w:pPr>
    </w:p>
    <w:p w:rsidR="00170EAD" w:rsidP="00B93FE2">
      <w:pPr>
        <w:pStyle w:val="BodyText"/>
      </w:pPr>
    </w:p>
    <w:p w:rsidR="00000000" w:rsidRPr="00B93FE2" w:rsidP="00B93FE2">
      <w:pPr>
        <w:pStyle w:val="Heading1"/>
      </w:pPr>
      <w:bookmarkStart w:id="6" w:name="O_210180"/>
      <w:bookmarkEnd w:id="6"/>
      <w:r w:rsidRPr="00B93FE2">
        <w:t>Employability Skills Information</w:t>
      </w:r>
    </w:p>
    <w:tbl>
      <w:tblPr>
        <w:tblW w:w="0" w:type="auto"/>
        <w:tblLayout w:type="fixed"/>
        <w:tblCellMar>
          <w:left w:w="62" w:type="dxa"/>
          <w:right w:w="62" w:type="dxa"/>
        </w:tblCellMar>
        <w:tblLook w:val="0000"/>
      </w:tblPr>
      <w:tblGrid>
        <w:gridCol w:w="2802"/>
        <w:gridCol w:w="5720"/>
      </w:tblGrid>
      <w:tr w:rsidTr="00170EA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This unit contains employability skills.</w:t>
            </w:r>
          </w:p>
        </w:tc>
      </w:tr>
    </w:tbl>
    <w:p w:rsidR="00170EAD" w:rsidP="00B93FE2">
      <w:pPr>
        <w:pStyle w:val="BodyText"/>
      </w:pPr>
    </w:p>
    <w:p w:rsidR="00170EAD" w:rsidP="00B93FE2">
      <w:pPr>
        <w:pStyle w:val="BodyText"/>
      </w:pPr>
    </w:p>
    <w:p w:rsidR="00000000" w:rsidRPr="00B93FE2" w:rsidP="00B93FE2">
      <w:pPr>
        <w:pStyle w:val="Heading1"/>
      </w:pPr>
      <w:bookmarkStart w:id="7" w:name="O_290009"/>
      <w:bookmarkEnd w:id="7"/>
      <w:r w:rsidRPr="00B93FE2">
        <w:t>Elements and Performance Criteria Pre-Content</w:t>
      </w:r>
    </w:p>
    <w:tbl>
      <w:tblPr>
        <w:tblW w:w="0" w:type="auto"/>
        <w:tblLayout w:type="fixed"/>
        <w:tblCellMar>
          <w:left w:w="62" w:type="dxa"/>
          <w:right w:w="62" w:type="dxa"/>
        </w:tblCellMar>
        <w:tblLook w:val="0000"/>
      </w:tblPr>
      <w:tblGrid>
        <w:gridCol w:w="2584"/>
        <w:gridCol w:w="5938"/>
      </w:tblGrid>
      <w:tr w:rsidTr="00170EAD">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t>Elements describe the essential outcomes of a unit of competency.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Performance criteria describe the performance needed to demonstrate achievement of the element. Where bold italicised text is used, further info</w:t>
            </w:r>
            <w:r w:rsidRPr="00B93FE2">
              <w:t>rmation is detailed in the required skills and knowledge section and the range statement. Assessment of performance is to be consistent with the evidence guide.</w:t>
            </w:r>
          </w:p>
        </w:tc>
      </w:tr>
    </w:tbl>
    <w:p w:rsidR="00000000" w:rsidRPr="00B93FE2" w:rsidP="00B93FE2">
      <w:pPr>
        <w:pStyle w:val="BodyText"/>
      </w:pPr>
    </w:p>
    <w:p w:rsidR="00000000" w:rsidRPr="00B93FE2" w:rsidP="00B93FE2">
      <w:pPr>
        <w:pStyle w:val="AllowPageBreak"/>
      </w:pPr>
    </w:p>
    <w:p w:rsidR="00000000" w:rsidRPr="00B93FE2" w:rsidP="00B93FE2">
      <w:pPr>
        <w:pStyle w:val="Heading1"/>
      </w:pPr>
      <w:bookmarkStart w:id="8" w:name="O_236676"/>
      <w:bookmarkEnd w:id="8"/>
      <w:r w:rsidRPr="00B93FE2">
        <w:t>Elements and Performance Criteria</w:t>
      </w:r>
    </w:p>
    <w:tbl>
      <w:tblPr>
        <w:tblW w:w="0" w:type="auto"/>
        <w:tblLayout w:type="fixed"/>
        <w:tblCellMar>
          <w:left w:w="62" w:type="dxa"/>
          <w:right w:w="62" w:type="dxa"/>
        </w:tblCellMar>
        <w:tblLook w:val="0000"/>
      </w:tblPr>
      <w:tblGrid>
        <w:gridCol w:w="2584"/>
        <w:gridCol w:w="5938"/>
      </w:tblGrid>
      <w:tr w:rsidTr="00170EAD">
        <w:tblPrEx>
          <w:tblW w:w="0" w:type="auto"/>
          <w:tblLayout w:type="fixed"/>
          <w:tblCellMar>
            <w:left w:w="62" w:type="dxa"/>
            <w:right w:w="62" w:type="dxa"/>
          </w:tblCellMar>
          <w:tblLook w:val="0000"/>
        </w:tblPrEx>
        <w:trPr>
          <w:tblHeader/>
        </w:trPr>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rPr>
                <w:rStyle w:val="SpecialBold"/>
              </w:rPr>
              <w:t>ELEMENT</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PERFORMANCE CRITERIA</w:t>
            </w:r>
          </w:p>
        </w:tc>
      </w:tr>
      <w:tr w:rsidTr="00170EAD">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List"/>
              <w:rPr>
                <w:lang w:val="en-NZ"/>
              </w:rPr>
            </w:pPr>
            <w:r w:rsidRPr="00B93FE2">
              <w:t>1.</w:t>
            </w:r>
            <w:r w:rsidRPr="00B93FE2">
              <w:tab/>
            </w:r>
            <w:r w:rsidRPr="00B93FE2">
              <w:t>Initiate contact with the customer</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2"/>
            </w:pPr>
            <w:r w:rsidRPr="00B93FE2">
              <w:t>1.1.</w:t>
            </w:r>
            <w:r w:rsidRPr="00B93FE2">
              <w:tab/>
              <w:t xml:space="preserve">Apply all relevant </w:t>
            </w:r>
            <w:r w:rsidRPr="00B93FE2">
              <w:rPr>
                <w:rStyle w:val="BoldandItalics"/>
              </w:rPr>
              <w:t>legislation</w:t>
            </w:r>
            <w:r w:rsidRPr="00B93FE2">
              <w:t xml:space="preserve">, </w:t>
            </w:r>
            <w:r w:rsidRPr="00B93FE2">
              <w:rPr>
                <w:rStyle w:val="BoldandItalics"/>
              </w:rPr>
              <w:t>codes</w:t>
            </w:r>
            <w:r w:rsidRPr="00B93FE2">
              <w:t xml:space="preserve">, </w:t>
            </w:r>
            <w:r w:rsidRPr="00B93FE2">
              <w:rPr>
                <w:rStyle w:val="BoldandItalics"/>
              </w:rPr>
              <w:t>regulations and standards</w:t>
            </w:r>
            <w:r w:rsidRPr="00B93FE2">
              <w:t xml:space="preserve"> in the resolution process</w:t>
            </w:r>
          </w:p>
          <w:p w:rsidR="00000000" w:rsidRPr="00B93FE2" w:rsidP="00B93FE2">
            <w:pPr>
              <w:pStyle w:val="List2"/>
            </w:pPr>
            <w:r w:rsidRPr="00B93FE2">
              <w:t>1.2.</w:t>
            </w:r>
            <w:r w:rsidRPr="00B93FE2">
              <w:tab/>
              <w:t xml:space="preserve">Receive and analyse </w:t>
            </w:r>
            <w:r w:rsidRPr="00B93FE2">
              <w:rPr>
                <w:rStyle w:val="BoldandItalics"/>
              </w:rPr>
              <w:t>enquiry</w:t>
            </w:r>
            <w:r w:rsidRPr="00B93FE2">
              <w:t xml:space="preserve"> to efficiently select an initial course of action</w:t>
            </w:r>
          </w:p>
          <w:p w:rsidR="00000000" w:rsidP="00B93FE2">
            <w:pPr>
              <w:pStyle w:val="List2"/>
              <w:rPr>
                <w:lang w:val="en-NZ"/>
              </w:rPr>
            </w:pPr>
            <w:r w:rsidRPr="00B93FE2">
              <w:t>1.3.</w:t>
            </w:r>
            <w:r w:rsidRPr="00B93FE2">
              <w:tab/>
              <w:t xml:space="preserve">Engage effectively with the </w:t>
            </w:r>
            <w:r w:rsidRPr="00B93FE2">
              <w:rPr>
                <w:rStyle w:val="BoldandItalics"/>
              </w:rPr>
              <w:t>customer</w:t>
            </w:r>
            <w:r w:rsidRPr="00B93FE2">
              <w:t xml:space="preserve"> </w:t>
            </w:r>
            <w:r w:rsidRPr="00B93FE2">
              <w:t>to confirm initial referral details and propose an initial course of action</w:t>
            </w:r>
          </w:p>
        </w:tc>
      </w:tr>
      <w:tr w:rsidTr="00170EAD">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List"/>
              <w:rPr>
                <w:lang w:val="en-NZ"/>
              </w:rPr>
            </w:pPr>
            <w:r w:rsidRPr="00B93FE2">
              <w:t>2.</w:t>
            </w:r>
            <w:r w:rsidRPr="00B93FE2">
              <w:tab/>
              <w:t>Obtain information from multiple information system</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2"/>
            </w:pPr>
            <w:r w:rsidRPr="00B93FE2">
              <w:t>2.1.</w:t>
            </w:r>
            <w:r w:rsidRPr="00B93FE2">
              <w:tab/>
              <w:t>Identify information needs and the sources of this information</w:t>
            </w:r>
          </w:p>
          <w:p w:rsidR="00000000" w:rsidRPr="00B93FE2" w:rsidP="00B93FE2">
            <w:pPr>
              <w:pStyle w:val="List2"/>
            </w:pPr>
            <w:r w:rsidRPr="00B93FE2">
              <w:t>2.2.</w:t>
            </w:r>
            <w:r w:rsidRPr="00B93FE2">
              <w:tab/>
            </w:r>
            <w:r w:rsidRPr="00B93FE2">
              <w:rPr>
                <w:rStyle w:val="BoldandItalics"/>
              </w:rPr>
              <w:t>Log on</w:t>
            </w:r>
            <w:r w:rsidRPr="00B93FE2">
              <w:t xml:space="preserve"> to and navigate relevant </w:t>
            </w:r>
            <w:r w:rsidRPr="00B93FE2">
              <w:rPr>
                <w:rStyle w:val="BoldandItalics"/>
              </w:rPr>
              <w:t>information systems</w:t>
            </w:r>
            <w:r w:rsidRPr="00B93FE2">
              <w:t xml:space="preserve"> efficiently</w:t>
            </w:r>
          </w:p>
          <w:p w:rsidR="00000000" w:rsidRPr="00B93FE2" w:rsidP="00B93FE2">
            <w:pPr>
              <w:pStyle w:val="List2"/>
            </w:pPr>
            <w:r w:rsidRPr="00B93FE2">
              <w:t>2.3.</w:t>
            </w:r>
            <w:r w:rsidRPr="00B93FE2">
              <w:tab/>
              <w:t xml:space="preserve">Record details of the </w:t>
            </w:r>
            <w:r w:rsidRPr="00B93FE2">
              <w:rPr>
                <w:rStyle w:val="BoldandItalics"/>
              </w:rPr>
              <w:t>informant</w:t>
            </w:r>
            <w:r w:rsidRPr="00B93FE2">
              <w:t xml:space="preserve"> and the enquiry in </w:t>
            </w:r>
            <w:r w:rsidRPr="00B93FE2">
              <w:rPr>
                <w:rStyle w:val="BoldandItalics"/>
              </w:rPr>
              <w:t>information</w:t>
            </w:r>
            <w:r w:rsidRPr="00B93FE2">
              <w:t xml:space="preserve"> systems according to enterprise requirements</w:t>
            </w:r>
          </w:p>
          <w:p w:rsidR="00000000" w:rsidP="00B93FE2">
            <w:pPr>
              <w:pStyle w:val="List2"/>
              <w:rPr>
                <w:lang w:val="en-NZ"/>
              </w:rPr>
            </w:pPr>
            <w:r w:rsidRPr="00B93FE2">
              <w:t>2.4.</w:t>
            </w:r>
            <w:r w:rsidRPr="00B93FE2">
              <w:tab/>
              <w:t>Identify and verify information relevant to the enquiry and its resolution with the informant</w:t>
            </w:r>
          </w:p>
        </w:tc>
      </w:tr>
      <w:tr w:rsidTr="00170EAD">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List"/>
              <w:rPr>
                <w:lang w:val="en-NZ"/>
              </w:rPr>
            </w:pPr>
            <w:r w:rsidRPr="00B93FE2">
              <w:t>3.</w:t>
            </w:r>
            <w:r w:rsidRPr="00B93FE2">
              <w:tab/>
              <w:t xml:space="preserve">Develop a plan to resolve </w:t>
            </w:r>
            <w:r w:rsidRPr="00B93FE2">
              <w:t>the enquiry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2"/>
            </w:pPr>
            <w:r w:rsidRPr="00B93FE2">
              <w:t>3.1.</w:t>
            </w:r>
            <w:r w:rsidRPr="00B93FE2">
              <w:tab/>
              <w:t>Review critical information with the informant and apply technical expertise to develop options for resolving the enquiry</w:t>
            </w:r>
          </w:p>
          <w:p w:rsidR="00000000" w:rsidRPr="00B93FE2" w:rsidP="00B93FE2">
            <w:pPr>
              <w:pStyle w:val="List2"/>
            </w:pPr>
            <w:r w:rsidRPr="00B93FE2">
              <w:t>3.2.</w:t>
            </w:r>
            <w:r w:rsidRPr="00B93FE2">
              <w:tab/>
              <w:t xml:space="preserve">Consider all inputs and recommend a course of action including </w:t>
            </w:r>
            <w:r w:rsidRPr="00B93FE2">
              <w:rPr>
                <w:rStyle w:val="BoldandItalics"/>
              </w:rPr>
              <w:t>escalation</w:t>
            </w:r>
          </w:p>
          <w:p w:rsidR="00000000" w:rsidRPr="00B93FE2" w:rsidP="00B93FE2">
            <w:pPr>
              <w:pStyle w:val="List2"/>
            </w:pPr>
            <w:r w:rsidRPr="00B93FE2">
              <w:t>3.3.</w:t>
            </w:r>
            <w:r w:rsidRPr="00B93FE2">
              <w:tab/>
              <w:t>Negotiate a suitable course of ac</w:t>
            </w:r>
            <w:r w:rsidRPr="00B93FE2">
              <w:t>tion with the informant</w:t>
            </w:r>
          </w:p>
          <w:p w:rsidR="00000000" w:rsidP="00B93FE2">
            <w:pPr>
              <w:pStyle w:val="List2"/>
              <w:rPr>
                <w:lang w:val="en-NZ"/>
              </w:rPr>
            </w:pPr>
            <w:r w:rsidRPr="00B93FE2">
              <w:t>3.4.</w:t>
            </w:r>
            <w:r w:rsidRPr="00B93FE2">
              <w:tab/>
              <w:t>Record details of course of action as required by enterprise information systems</w:t>
            </w:r>
          </w:p>
        </w:tc>
      </w:tr>
      <w:tr w:rsidTr="00170EAD">
        <w:tblPrEx>
          <w:tblW w:w="0" w:type="auto"/>
          <w:tblLayout w:type="fixed"/>
          <w:tblCellMar>
            <w:left w:w="62" w:type="dxa"/>
            <w:right w:w="62" w:type="dxa"/>
          </w:tblCellMar>
          <w:tblLook w:val="0000"/>
        </w:tblPrEx>
        <w:tc>
          <w:tcPr>
            <w:tcW w:w="2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List"/>
              <w:rPr>
                <w:lang w:val="en-NZ"/>
              </w:rPr>
            </w:pPr>
            <w:r w:rsidRPr="00B93FE2">
              <w:t>4.</w:t>
            </w:r>
            <w:r w:rsidRPr="00B93FE2">
              <w:tab/>
              <w:t>Implement a plan to resolve the enquiry</w:t>
            </w:r>
          </w:p>
        </w:tc>
        <w:tc>
          <w:tcPr>
            <w:tcW w:w="5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2"/>
            </w:pPr>
            <w:r w:rsidRPr="00B93FE2">
              <w:t>4.1.</w:t>
            </w:r>
            <w:r w:rsidRPr="00B93FE2">
              <w:tab/>
              <w:t>Confirm the negotiated course of action with the informant prior to initiating actions and seek a</w:t>
            </w:r>
            <w:r w:rsidRPr="00B93FE2">
              <w:t>greement on a schedule of actions for longer term resolutions</w:t>
            </w:r>
          </w:p>
          <w:p w:rsidR="00000000" w:rsidRPr="00B93FE2" w:rsidP="00B93FE2">
            <w:pPr>
              <w:pStyle w:val="List2"/>
            </w:pPr>
            <w:r w:rsidRPr="00B93FE2">
              <w:t>4.2.</w:t>
            </w:r>
            <w:r w:rsidRPr="00B93FE2">
              <w:tab/>
              <w:t>Identify and initiate actions to be taken by the technical support operator, the informant or other parties</w:t>
            </w:r>
          </w:p>
          <w:p w:rsidR="00000000" w:rsidRPr="00B93FE2" w:rsidP="00B93FE2">
            <w:pPr>
              <w:pStyle w:val="List2"/>
            </w:pPr>
            <w:r w:rsidRPr="00B93FE2">
              <w:t>4.3.</w:t>
            </w:r>
            <w:r w:rsidRPr="00B93FE2">
              <w:tab/>
              <w:t>Contact informant to confirm the success of the planned actions</w:t>
            </w:r>
          </w:p>
          <w:p w:rsidR="00000000" w:rsidRPr="00B93FE2" w:rsidP="00B93FE2">
            <w:pPr>
              <w:pStyle w:val="List2"/>
            </w:pPr>
            <w:r w:rsidRPr="00B93FE2">
              <w:t>4.4.</w:t>
            </w:r>
            <w:r w:rsidRPr="00B93FE2">
              <w:tab/>
              <w:t xml:space="preserve">Record </w:t>
            </w:r>
            <w:r w:rsidRPr="00B93FE2">
              <w:t>outcomes of resolution as required by information systems</w:t>
            </w:r>
          </w:p>
        </w:tc>
      </w:tr>
    </w:tbl>
    <w:p w:rsidR="00170EAD" w:rsidP="00B93FE2">
      <w:pPr>
        <w:pStyle w:val="BodyText"/>
      </w:pPr>
    </w:p>
    <w:p w:rsidR="00170EAD" w:rsidP="00B93FE2">
      <w:pPr>
        <w:pStyle w:val="BodyText"/>
      </w:pPr>
    </w:p>
    <w:p w:rsidR="00000000" w:rsidRPr="00B93FE2" w:rsidP="00B93FE2">
      <w:pPr>
        <w:pStyle w:val="Heading1"/>
      </w:pPr>
      <w:bookmarkStart w:id="9" w:name="O_260626"/>
      <w:bookmarkEnd w:id="9"/>
      <w:r w:rsidRPr="00B93FE2">
        <w:t>Required Skills and Knowledge</w:t>
      </w:r>
    </w:p>
    <w:tbl>
      <w:tblPr>
        <w:tblW w:w="0" w:type="auto"/>
        <w:tblLayout w:type="fixed"/>
        <w:tblCellMar>
          <w:left w:w="62" w:type="dxa"/>
          <w:right w:w="62" w:type="dxa"/>
        </w:tblCellMar>
        <w:tblLook w:val="0000"/>
      </w:tblPr>
      <w:tblGrid>
        <w:gridCol w:w="8522"/>
      </w:tblGrid>
      <w:tr w:rsidTr="00170EA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REQUIRED SKILLS AND KNOWLEDGE</w:t>
            </w:r>
          </w:p>
        </w:tc>
      </w:tr>
      <w:tr w:rsidTr="00170EA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t>This section describes the skills and knowledge required for this unit.</w:t>
            </w:r>
          </w:p>
        </w:tc>
      </w:tr>
      <w:tr w:rsidTr="00170E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Required skills</w:t>
            </w:r>
          </w:p>
        </w:tc>
      </w:tr>
      <w:tr w:rsidTr="00170E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communication skills to provide advice and guidance to customers and technical field staff  or to seek assistance</w:t>
            </w:r>
          </w:p>
          <w:p w:rsidR="00000000" w:rsidRPr="00B93FE2" w:rsidP="00B93FE2">
            <w:pPr>
              <w:pStyle w:val="ListBullet"/>
            </w:pPr>
            <w:r w:rsidRPr="00B93FE2">
              <w:t>literacy skills to read and interpret manuals, specifications, relevant enterprise policy and documentation</w:t>
            </w:r>
          </w:p>
          <w:p w:rsidR="00000000" w:rsidRPr="00B93FE2" w:rsidP="00B93FE2">
            <w:pPr>
              <w:pStyle w:val="ListBullet"/>
            </w:pPr>
            <w:r w:rsidRPr="00B93FE2">
              <w:t>negotiation skills to enable inter</w:t>
            </w:r>
            <w:r w:rsidRPr="00B93FE2">
              <w:t xml:space="preserve">action with customer </w:t>
            </w:r>
          </w:p>
          <w:p w:rsidR="00000000" w:rsidRPr="00B93FE2" w:rsidP="00B93FE2">
            <w:pPr>
              <w:pStyle w:val="ListBullet"/>
            </w:pPr>
            <w:r w:rsidRPr="00B93FE2">
              <w:t xml:space="preserve">numeracy skills to interpret and evaluate different types of technical data </w:t>
            </w:r>
          </w:p>
          <w:p w:rsidR="00000000" w:rsidRPr="00B93FE2" w:rsidP="00B93FE2">
            <w:pPr>
              <w:pStyle w:val="ListBullet"/>
            </w:pPr>
            <w:r w:rsidRPr="00B93FE2">
              <w:t>planning and organisational skills to organise and prepare the resolution process</w:t>
            </w:r>
          </w:p>
          <w:p w:rsidR="00000000" w:rsidRPr="00B93FE2" w:rsidP="00B93FE2">
            <w:pPr>
              <w:pStyle w:val="ListBullet"/>
            </w:pPr>
            <w:r w:rsidRPr="00B93FE2">
              <w:t xml:space="preserve">problem solving skills to respond to complex customer challenges </w:t>
            </w:r>
          </w:p>
          <w:p w:rsidR="00000000" w:rsidRPr="00B93FE2" w:rsidP="00B93FE2">
            <w:pPr>
              <w:pStyle w:val="ListBullet"/>
            </w:pPr>
            <w:r w:rsidRPr="00B93FE2">
              <w:t>task mana</w:t>
            </w:r>
            <w:r w:rsidRPr="00B93FE2">
              <w:t>gement skills to work systematically with required attention to detail and adherence to all safety requirements</w:t>
            </w:r>
          </w:p>
          <w:p w:rsidR="00000000" w:rsidP="00B93FE2">
            <w:pPr>
              <w:pStyle w:val="ListBullet"/>
              <w:rPr>
                <w:lang w:val="en-NZ"/>
              </w:rPr>
            </w:pPr>
            <w:r w:rsidRPr="00B93FE2">
              <w:t>technical skills to advise on a range of customer equipment and environments and to perform diagnostic procedures</w:t>
            </w:r>
          </w:p>
        </w:tc>
      </w:tr>
      <w:tr w:rsidTr="00170E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Required knowledge</w:t>
            </w:r>
          </w:p>
        </w:tc>
      </w:tr>
      <w:tr w:rsidTr="00170EA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 xml:space="preserve">computer </w:t>
            </w:r>
            <w:r w:rsidRPr="00B93FE2">
              <w:t>keyboard usage</w:t>
            </w:r>
            <w:r w:rsidRPr="00B93FE2">
              <w:tab/>
            </w:r>
          </w:p>
          <w:p w:rsidR="00000000" w:rsidRPr="00B93FE2" w:rsidP="00B93FE2">
            <w:pPr>
              <w:pStyle w:val="ListBullet"/>
            </w:pPr>
            <w:r w:rsidRPr="00B93FE2">
              <w:t>computer literacy</w:t>
            </w:r>
          </w:p>
          <w:p w:rsidR="00000000" w:rsidRPr="00B93FE2" w:rsidP="00B93FE2">
            <w:pPr>
              <w:pStyle w:val="ListBullet"/>
            </w:pPr>
            <w:r w:rsidRPr="00B93FE2">
              <w:t>conflict resolution skills</w:t>
            </w:r>
          </w:p>
          <w:p w:rsidR="00000000" w:rsidRPr="00B93FE2" w:rsidP="00B93FE2">
            <w:pPr>
              <w:pStyle w:val="ListBullet"/>
            </w:pPr>
            <w:r w:rsidRPr="00B93FE2">
              <w:t>database and spreadsheet concepts</w:t>
            </w:r>
          </w:p>
          <w:p w:rsidR="00000000" w:rsidRPr="00B93FE2" w:rsidP="00B93FE2">
            <w:pPr>
              <w:pStyle w:val="ListBullet"/>
            </w:pPr>
            <w:r w:rsidRPr="00B93FE2">
              <w:t>enterprise escalation policy and procedures</w:t>
            </w:r>
          </w:p>
          <w:p w:rsidR="00000000" w:rsidRPr="00B93FE2" w:rsidP="00B93FE2">
            <w:pPr>
              <w:pStyle w:val="ListBullet"/>
            </w:pPr>
            <w:r w:rsidRPr="00B93FE2">
              <w:t>enterprise information systems</w:t>
            </w:r>
          </w:p>
          <w:p w:rsidR="00000000" w:rsidRPr="00B93FE2" w:rsidP="00B93FE2">
            <w:pPr>
              <w:pStyle w:val="ListBullet"/>
            </w:pPr>
            <w:r w:rsidRPr="00B93FE2">
              <w:t>interpersonal skills</w:t>
            </w:r>
            <w:r w:rsidRPr="00B93FE2">
              <w:tab/>
            </w:r>
          </w:p>
          <w:p w:rsidR="00000000" w:rsidRPr="00B93FE2" w:rsidP="00B93FE2">
            <w:pPr>
              <w:pStyle w:val="ListBullet"/>
            </w:pPr>
            <w:r w:rsidRPr="00B93FE2">
              <w:t>legislation, codes of practice and other formal agreements that directly impact on resolution processes</w:t>
            </w:r>
          </w:p>
          <w:p w:rsidR="00000000" w:rsidRPr="00B93FE2" w:rsidP="00B93FE2">
            <w:pPr>
              <w:pStyle w:val="ListBullet"/>
            </w:pPr>
            <w:r w:rsidRPr="00B93FE2">
              <w:t>typical issues and challenges that occur when dealing with customers in a telecommunications environment</w:t>
            </w:r>
          </w:p>
        </w:tc>
      </w:tr>
    </w:tbl>
    <w:p w:rsidR="00170EAD" w:rsidP="00B93FE2">
      <w:pPr>
        <w:pStyle w:val="BodyText"/>
      </w:pPr>
    </w:p>
    <w:p w:rsidR="00170EAD" w:rsidP="00B93FE2">
      <w:pPr>
        <w:pStyle w:val="BodyText"/>
      </w:pPr>
    </w:p>
    <w:p w:rsidR="00000000" w:rsidRPr="00B93FE2" w:rsidP="00B93FE2">
      <w:pPr>
        <w:pStyle w:val="AllowPageBreak"/>
      </w:pPr>
    </w:p>
    <w:p w:rsidR="00000000" w:rsidRPr="00B93FE2" w:rsidP="00B93FE2">
      <w:pPr>
        <w:pStyle w:val="Heading1"/>
      </w:pPr>
      <w:bookmarkStart w:id="10" w:name="O_244660"/>
      <w:bookmarkEnd w:id="10"/>
      <w:r w:rsidRPr="00B93FE2">
        <w:t>Evidence Guide</w:t>
      </w:r>
    </w:p>
    <w:tbl>
      <w:tblPr>
        <w:tblW w:w="9570" w:type="dxa"/>
        <w:tblLayout w:type="fixed"/>
        <w:tblCellMar>
          <w:left w:w="62" w:type="dxa"/>
          <w:right w:w="62" w:type="dxa"/>
        </w:tblCellMar>
        <w:tblLook w:val="0000"/>
      </w:tblPr>
      <w:tblGrid>
        <w:gridCol w:w="3908"/>
        <w:gridCol w:w="5662"/>
      </w:tblGrid>
      <w:tr w:rsidTr="00170EA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EVIDENCE GUIDE</w:t>
            </w:r>
          </w:p>
        </w:tc>
      </w:tr>
      <w:tr w:rsidTr="00170E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t>The evidence guide provides advice on assessment and must be read in conjunction with the performance criteria, required skills and knowledge, range statement and the Assessment Guidelines for the Training Package.</w:t>
            </w:r>
          </w:p>
        </w:tc>
      </w:tr>
      <w:tr w:rsidTr="00170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p>
        </w:tc>
      </w:tr>
      <w:tr w:rsidTr="00170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Evidence of the ability to:</w:t>
            </w:r>
          </w:p>
          <w:p w:rsidR="00000000" w:rsidRPr="00B93FE2" w:rsidP="00B93FE2">
            <w:pPr>
              <w:pStyle w:val="ListBullet"/>
            </w:pPr>
            <w:r w:rsidRPr="00B93FE2">
              <w:t>navigate relevant systems for the required information</w:t>
            </w:r>
          </w:p>
          <w:p w:rsidR="00000000" w:rsidRPr="00B93FE2" w:rsidP="00B93FE2">
            <w:pPr>
              <w:pStyle w:val="ListBullet"/>
            </w:pPr>
            <w:r w:rsidRPr="00B93FE2">
              <w:t>develop a plan of action to deal with the enquiry</w:t>
            </w:r>
          </w:p>
          <w:p w:rsidR="00000000" w:rsidRPr="00B93FE2" w:rsidP="00B93FE2">
            <w:pPr>
              <w:pStyle w:val="ListBullet"/>
            </w:pPr>
            <w:r w:rsidRPr="00B93FE2">
              <w:t>devel</w:t>
            </w:r>
            <w:r w:rsidRPr="00B93FE2">
              <w:t>op agreement to resolve enquiry</w:t>
            </w:r>
          </w:p>
          <w:p w:rsidR="00000000" w:rsidRPr="00B93FE2" w:rsidP="00B93FE2">
            <w:pPr>
              <w:pStyle w:val="ListBullet"/>
            </w:pPr>
            <w:r w:rsidRPr="00B93FE2">
              <w:t>document all dealings for future reference</w:t>
            </w:r>
          </w:p>
          <w:p w:rsidR="00000000" w:rsidP="00B93FE2">
            <w:pPr>
              <w:pStyle w:val="ListBullet"/>
              <w:rPr>
                <w:lang w:val="en-NZ"/>
              </w:rPr>
            </w:pPr>
            <w:r w:rsidRPr="00B93FE2">
              <w:t>follow up resolution effectively.</w:t>
            </w:r>
          </w:p>
        </w:tc>
      </w:tr>
      <w:tr w:rsidTr="00170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 xml:space="preserve">Assessment must ensure: </w:t>
            </w:r>
          </w:p>
          <w:p w:rsidR="00000000" w:rsidRPr="00B93FE2" w:rsidP="00B93FE2">
            <w:pPr>
              <w:pStyle w:val="ListBullet"/>
            </w:pPr>
            <w:r w:rsidRPr="00B93FE2">
              <w:t>operational customer contact centre</w:t>
            </w:r>
          </w:p>
          <w:p w:rsidR="00000000" w:rsidRPr="00B93FE2" w:rsidP="00B93FE2">
            <w:pPr>
              <w:pStyle w:val="ListBullet"/>
            </w:pPr>
            <w:r w:rsidRPr="00B93FE2">
              <w:t>customer contact technologies currently used in industry</w:t>
            </w:r>
          </w:p>
          <w:p w:rsidR="00000000" w:rsidP="00B93FE2">
            <w:pPr>
              <w:pStyle w:val="ListBullet"/>
              <w:rPr>
                <w:lang w:val="en-NZ"/>
              </w:rPr>
            </w:pPr>
            <w:r w:rsidRPr="00B93FE2">
              <w:t>relevant regulatory and equipment documentation that impact on work activities.</w:t>
            </w:r>
          </w:p>
        </w:tc>
      </w:tr>
      <w:tr w:rsidTr="00170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A range of assessment methods should be used to assess practical skills and knowledge. The follow</w:t>
            </w:r>
            <w:r w:rsidRPr="00B93FE2">
              <w:t>ing examples are appropriate for this unit:</w:t>
            </w:r>
          </w:p>
          <w:p w:rsidR="00000000" w:rsidRPr="00B93FE2" w:rsidP="00B93FE2">
            <w:pPr>
              <w:pStyle w:val="ListBullet"/>
            </w:pPr>
            <w:r w:rsidRPr="00B93FE2">
              <w:t>direct observation of the candidate developing a plan of action to deal with the enquiry</w:t>
            </w:r>
          </w:p>
          <w:p w:rsidR="00000000" w:rsidRPr="00B93FE2" w:rsidP="00B93FE2">
            <w:pPr>
              <w:pStyle w:val="ListBullet"/>
            </w:pPr>
            <w:r w:rsidRPr="00B93FE2">
              <w:t>direct observation of the candidate negotiating with informant to resolve the enquiry</w:t>
            </w:r>
          </w:p>
          <w:p w:rsidR="00000000" w:rsidRPr="00B93FE2" w:rsidP="00B93FE2">
            <w:pPr>
              <w:pStyle w:val="ListBullet"/>
            </w:pPr>
            <w:r w:rsidRPr="00B93FE2">
              <w:t>review of documented reports complete</w:t>
            </w:r>
            <w:r w:rsidRPr="00B93FE2">
              <w:t>d by the candidate for two different resolution issues</w:t>
            </w:r>
          </w:p>
          <w:p w:rsidR="00000000" w:rsidP="00B93FE2">
            <w:pPr>
              <w:pStyle w:val="ListBullet"/>
              <w:rPr>
                <w:lang w:val="en-NZ"/>
              </w:rPr>
            </w:pPr>
            <w:r w:rsidRPr="00B93FE2">
              <w:t>oral or written questioning of the candidate to assess knowledge of resolution practices.</w:t>
            </w:r>
          </w:p>
        </w:tc>
      </w:tr>
      <w:tr w:rsidTr="00170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Holistic assessment with other units relevant to the industry sector, work</w:t>
            </w:r>
            <w:r w:rsidRPr="00B93FE2">
              <w:t>place and job role is recommended, for example:</w:t>
            </w:r>
          </w:p>
          <w:p w:rsidR="00000000" w:rsidRPr="00B93FE2" w:rsidP="00B93FE2">
            <w:pPr>
              <w:pStyle w:val="ListBullet"/>
            </w:pPr>
            <w:r w:rsidRPr="00B93FE2">
              <w:t>ICTWOR3232A Collect and analyse technical information.</w:t>
            </w:r>
          </w:p>
          <w:p w:rsidR="00000000" w:rsidRPr="00B93FE2" w:rsidP="00B93FE2">
            <w:pPr>
              <w:pStyle w:val="BodyText"/>
            </w:pPr>
          </w:p>
          <w:p w:rsidR="00000000" w:rsidRPr="00B93FE2" w:rsidP="00B93FE2">
            <w:pPr>
              <w:pStyle w:val="BodyText"/>
            </w:pPr>
            <w:r w:rsidRPr="00B93FE2">
              <w:t xml:space="preserve">Aboriginal people and other people from a non-English speaking background may have second language issues </w:t>
            </w:r>
          </w:p>
          <w:p w:rsidR="00000000" w:rsidRPr="00B93FE2" w:rsidP="00B93FE2">
            <w:pPr>
              <w:pStyle w:val="BodyText"/>
            </w:pPr>
          </w:p>
          <w:p w:rsidR="00000000" w:rsidRPr="00B93FE2" w:rsidP="00B93FE2">
            <w:pPr>
              <w:pStyle w:val="BodyText"/>
            </w:pPr>
            <w:r w:rsidRPr="00B93FE2">
              <w:t>Access must be provided to appropriate learn</w:t>
            </w:r>
            <w:r w:rsidRPr="00B93FE2">
              <w:t xml:space="preserve">ing and assessment support when required. </w:t>
            </w:r>
          </w:p>
          <w:p w:rsidR="00000000" w:rsidRPr="00B93FE2" w:rsidP="00B93FE2">
            <w:pPr>
              <w:pStyle w:val="BodyText"/>
            </w:pPr>
          </w:p>
          <w:p w:rsidR="00000000" w:rsidRPr="00B93FE2" w:rsidP="00B93FE2">
            <w:pPr>
              <w:pStyle w:val="BodyText"/>
            </w:pPr>
            <w:r w:rsidRPr="00B93FE2">
              <w:t>Assessment processes and techniques must be culturally appropriate, and appropriate to the oral communication skill level, and language and literacy capacity of the candidate and the work being performed.</w:t>
            </w:r>
          </w:p>
          <w:p w:rsidR="00000000" w:rsidRPr="00B93FE2" w:rsidP="00B93FE2">
            <w:pPr>
              <w:pStyle w:val="BodyText"/>
            </w:pPr>
          </w:p>
          <w:p w:rsidR="00170EAD" w:rsidP="00B93FE2">
            <w:pPr>
              <w:pStyle w:val="BodyText"/>
            </w:pPr>
            <w:r w:rsidRPr="00B93FE2">
              <w:t xml:space="preserve">In all cases where practical assessment is used it will be combined with targeted questioning to assess required knowledge. Questioning techniques should not require language, literacy and numeracy skills beyond those required in this unit of competency. </w:t>
            </w:r>
          </w:p>
          <w:p w:rsidR="00170EAD" w:rsidP="00B93FE2">
            <w:pPr>
              <w:pStyle w:val="BodyText"/>
            </w:pPr>
          </w:p>
          <w:p w:rsidR="00000000" w:rsidRPr="00B93FE2" w:rsidP="00B93FE2">
            <w:pPr>
              <w:pStyle w:val="BodyText"/>
            </w:pPr>
            <w:r w:rsidRPr="00B93FE2">
              <w:t>Where applicable, physical resources should include equipment modified for people with special needs.</w:t>
            </w:r>
          </w:p>
        </w:tc>
      </w:tr>
    </w:tbl>
    <w:p w:rsidR="00170EAD" w:rsidP="00B93FE2">
      <w:pPr>
        <w:pStyle w:val="BodyText"/>
      </w:pPr>
    </w:p>
    <w:p w:rsidR="00170EAD" w:rsidP="00B93FE2">
      <w:pPr>
        <w:pStyle w:val="BodyText"/>
      </w:pPr>
    </w:p>
    <w:p w:rsidR="00000000" w:rsidRPr="00B93FE2" w:rsidP="00B93FE2">
      <w:pPr>
        <w:pStyle w:val="Heading1"/>
      </w:pPr>
      <w:bookmarkStart w:id="11" w:name="O_252643"/>
      <w:bookmarkEnd w:id="11"/>
      <w:r w:rsidRPr="00B93FE2">
        <w:t>Range Statement</w:t>
      </w:r>
    </w:p>
    <w:tbl>
      <w:tblPr>
        <w:tblW w:w="0" w:type="auto"/>
        <w:tblLayout w:type="fixed"/>
        <w:tblCellMar>
          <w:left w:w="62" w:type="dxa"/>
          <w:right w:w="62" w:type="dxa"/>
        </w:tblCellMar>
        <w:tblLook w:val="0000"/>
      </w:tblPr>
      <w:tblGrid>
        <w:gridCol w:w="3441"/>
        <w:gridCol w:w="5081"/>
      </w:tblGrid>
      <w:tr w:rsidTr="00170EA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RANGE STATEMENT</w:t>
            </w:r>
          </w:p>
        </w:tc>
      </w:tr>
      <w:tr w:rsidTr="00170E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t>T</w:t>
            </w:r>
            <w:r w:rsidRPr="00B93FE2">
              <w:t>he range statement relates to the unit of competency as a whole. It allows for different work environments and situations that may affect performance. Bold italicised wording, if used in the performance criteria, is detailed below. Essential operating cond</w:t>
            </w:r>
            <w:r w:rsidRPr="00B93FE2">
              <w:t>itions that may be present with training and assessment (depending on the work situation, needs of the candidate, accessibility of the item, and local industry and regional contexts) may also be included.</w:t>
            </w:r>
          </w:p>
        </w:tc>
      </w:tr>
      <w:tr w:rsidTr="00170EA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BoldandItalics"/>
              </w:rPr>
              <w:t>Legislation</w:t>
            </w:r>
            <w:r w:rsidRPr="00B93FE2">
              <w:t xml:space="preserve">, </w:t>
            </w:r>
            <w:r w:rsidRPr="00B93FE2">
              <w:rPr>
                <w:rStyle w:val="BoldandItalics"/>
              </w:rPr>
              <w:t>codes</w:t>
            </w:r>
            <w:r w:rsidRPr="00B93FE2">
              <w:t xml:space="preserve">, </w:t>
            </w:r>
            <w:r w:rsidRPr="00B93FE2">
              <w:rPr>
                <w:rStyle w:val="BoldandItalics"/>
              </w:rPr>
              <w:t>regulations and standards</w:t>
            </w:r>
            <w:r w:rsidRPr="00B93FE2">
              <w:t xml:space="preserve"> may</w:t>
            </w:r>
            <w:r w:rsidRPr="00B93FE2">
              <w:t xml:space="preserve">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Australian Communications Industry Forum (ACIF) standards and codes</w:t>
            </w:r>
          </w:p>
          <w:p w:rsidR="00000000" w:rsidRPr="00B93FE2" w:rsidP="00B93FE2">
            <w:pPr>
              <w:pStyle w:val="ListBullet"/>
            </w:pPr>
            <w:r w:rsidRPr="00B93FE2">
              <w:t>Australian Communications and Media Authority (ACMA) technical standards</w:t>
            </w:r>
          </w:p>
          <w:p w:rsidR="00000000" w:rsidRPr="00B93FE2" w:rsidP="00B93FE2">
            <w:pPr>
              <w:pStyle w:val="ListBullet"/>
            </w:pPr>
            <w:r w:rsidRPr="00B93FE2">
              <w:t>Australian Radiation Protection and Nuclear Safety Agency (ARPANSA) electromagnetic radiation (EMR) stand</w:t>
            </w:r>
            <w:r w:rsidRPr="00B93FE2">
              <w:t>ard</w:t>
            </w:r>
          </w:p>
          <w:p w:rsidR="00000000" w:rsidRPr="00B93FE2" w:rsidP="00B93FE2">
            <w:pPr>
              <w:pStyle w:val="ListBullet"/>
            </w:pPr>
            <w:r w:rsidRPr="00B93FE2">
              <w:t>Australian building codes and regulations</w:t>
            </w:r>
          </w:p>
          <w:p w:rsidR="00000000" w:rsidRPr="00B93FE2" w:rsidP="00B93FE2">
            <w:pPr>
              <w:pStyle w:val="ListBullet"/>
            </w:pPr>
            <w:r w:rsidRPr="00B93FE2">
              <w:t>Australian standards</w:t>
            </w:r>
          </w:p>
          <w:p w:rsidR="00000000" w:rsidRPr="00B93FE2" w:rsidP="00B93FE2">
            <w:pPr>
              <w:pStyle w:val="ListBullet"/>
            </w:pPr>
            <w:r w:rsidRPr="00B93FE2">
              <w:t>equal employment opportunity (EEO) and anti-discrimination legislation</w:t>
            </w:r>
          </w:p>
          <w:p w:rsidR="00000000" w:rsidRPr="00B93FE2" w:rsidP="00B93FE2">
            <w:pPr>
              <w:pStyle w:val="ListBullet"/>
            </w:pPr>
            <w:r w:rsidRPr="00B93FE2">
              <w:t>enterprise standards</w:t>
            </w:r>
          </w:p>
          <w:p w:rsidR="00000000" w:rsidRPr="00B93FE2" w:rsidP="00B93FE2">
            <w:pPr>
              <w:pStyle w:val="ListBullet"/>
            </w:pPr>
            <w:r w:rsidRPr="00B93FE2">
              <w:t>Privacy Act</w:t>
            </w:r>
          </w:p>
          <w:p w:rsidR="00000000" w:rsidRPr="00B93FE2" w:rsidP="00B93FE2">
            <w:pPr>
              <w:pStyle w:val="ListBullet"/>
            </w:pPr>
            <w:r w:rsidRPr="00B93FE2">
              <w:t>Telecommunications Act</w:t>
            </w:r>
          </w:p>
          <w:p w:rsidR="00000000" w:rsidRPr="00B93FE2" w:rsidP="00B93FE2">
            <w:pPr>
              <w:pStyle w:val="ListBullet"/>
            </w:pPr>
            <w:r w:rsidRPr="00B93FE2">
              <w:t>Telecommunications Industry Ombudsman</w:t>
            </w:r>
          </w:p>
          <w:p w:rsidR="00000000" w:rsidP="00B93FE2">
            <w:pPr>
              <w:pStyle w:val="ListBullet"/>
              <w:rPr>
                <w:lang w:val="en-NZ"/>
              </w:rPr>
            </w:pPr>
            <w:r w:rsidRPr="00B93FE2">
              <w:t>Trade Practices Act.</w:t>
            </w:r>
          </w:p>
        </w:tc>
      </w:tr>
      <w:tr w:rsidTr="00170EA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BoldandItalics"/>
              </w:rPr>
              <w:t>Enquiry</w:t>
            </w:r>
            <w:r w:rsidRPr="00B93FE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a request for help in using, a service, product or process from a:</w:t>
            </w:r>
          </w:p>
          <w:p w:rsidR="00000000" w:rsidRPr="00B93FE2" w:rsidP="00B93FE2">
            <w:pPr>
              <w:pStyle w:val="ListBullet2"/>
            </w:pPr>
            <w:r w:rsidRPr="00B93FE2">
              <w:t>customer</w:t>
            </w:r>
          </w:p>
          <w:p w:rsidR="00000000" w:rsidRPr="00B93FE2" w:rsidP="00B93FE2">
            <w:pPr>
              <w:pStyle w:val="ListBullet2"/>
            </w:pPr>
            <w:r w:rsidRPr="00B93FE2">
              <w:t>other party with an interest in the service, product or process</w:t>
            </w:r>
          </w:p>
          <w:p w:rsidR="00000000" w:rsidRPr="00B93FE2" w:rsidP="00B93FE2">
            <w:pPr>
              <w:pStyle w:val="ListBullet2"/>
            </w:pPr>
            <w:r w:rsidRPr="00B93FE2">
              <w:t>retail sales person</w:t>
            </w:r>
          </w:p>
          <w:p w:rsidR="00000000" w:rsidRPr="00B93FE2" w:rsidP="00B93FE2">
            <w:pPr>
              <w:pStyle w:val="ListBullet2"/>
            </w:pPr>
            <w:r w:rsidRPr="00B93FE2">
              <w:t>technician</w:t>
            </w:r>
          </w:p>
          <w:p w:rsidR="00000000" w:rsidP="00B93FE2">
            <w:pPr>
              <w:pStyle w:val="ListBullet"/>
              <w:rPr>
                <w:lang w:val="en-NZ"/>
              </w:rPr>
            </w:pPr>
            <w:r w:rsidRPr="00B93FE2">
              <w:t>complaints.</w:t>
            </w:r>
          </w:p>
        </w:tc>
      </w:tr>
      <w:tr w:rsidTr="00170EA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BoldandItalics"/>
              </w:rPr>
              <w:t>Customer</w:t>
            </w:r>
            <w:r w:rsidRPr="00B93FE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beneficiary of a service, product or process</w:t>
            </w:r>
          </w:p>
          <w:p w:rsidR="00000000" w:rsidRPr="00B93FE2" w:rsidP="00B93FE2">
            <w:pPr>
              <w:pStyle w:val="ListBullet"/>
            </w:pPr>
            <w:r w:rsidRPr="00B93FE2">
              <w:t>parties external to the organisation</w:t>
            </w:r>
          </w:p>
          <w:p w:rsidR="00000000" w:rsidRPr="00B93FE2" w:rsidP="00B93FE2">
            <w:pPr>
              <w:pStyle w:val="ListBullet"/>
            </w:pPr>
            <w:r w:rsidRPr="00B93FE2">
              <w:t>parties internal to the organisation</w:t>
            </w:r>
          </w:p>
          <w:p w:rsidR="00000000" w:rsidRPr="00B93FE2" w:rsidP="00B93FE2">
            <w:pPr>
              <w:pStyle w:val="ListBullet"/>
            </w:pPr>
            <w:r w:rsidRPr="00B93FE2">
              <w:t>purchaser of a service, product or process</w:t>
            </w:r>
          </w:p>
          <w:p w:rsidR="00000000" w:rsidP="00B93FE2">
            <w:pPr>
              <w:pStyle w:val="ListBullet"/>
              <w:rPr>
                <w:lang w:val="en-NZ"/>
              </w:rPr>
            </w:pPr>
            <w:r w:rsidRPr="00B93FE2">
              <w:t>user of a service, product or process.</w:t>
            </w:r>
          </w:p>
        </w:tc>
      </w:tr>
      <w:tr w:rsidTr="00170EA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BoldandItalics"/>
              </w:rPr>
              <w:t>Log on</w:t>
            </w:r>
            <w:r w:rsidRPr="00B93FE2">
              <w:t xml:space="preserve"> may include use of:</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hardware</w:t>
            </w:r>
          </w:p>
          <w:p w:rsidR="00000000" w:rsidRPr="00B93FE2" w:rsidP="00B93FE2">
            <w:pPr>
              <w:pStyle w:val="ListBullet"/>
            </w:pPr>
            <w:r w:rsidRPr="00B93FE2">
              <w:t>password</w:t>
            </w:r>
          </w:p>
          <w:p w:rsidR="00000000" w:rsidRPr="00B93FE2" w:rsidP="00B93FE2">
            <w:pPr>
              <w:pStyle w:val="ListBullet"/>
            </w:pPr>
            <w:r w:rsidRPr="00B93FE2">
              <w:t xml:space="preserve">software </w:t>
            </w:r>
            <w:r w:rsidRPr="00B93FE2">
              <w:t>features</w:t>
            </w:r>
          </w:p>
          <w:p w:rsidR="00000000" w:rsidP="00B93FE2">
            <w:pPr>
              <w:pStyle w:val="ListBullet"/>
              <w:rPr>
                <w:lang w:val="en-NZ"/>
              </w:rPr>
            </w:pPr>
            <w:r w:rsidRPr="00B93FE2">
              <w:t>user name.</w:t>
            </w:r>
          </w:p>
        </w:tc>
      </w:tr>
      <w:tr w:rsidTr="00170EA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BoldandItalics"/>
              </w:rPr>
              <w:t>Information systems</w:t>
            </w:r>
            <w:r w:rsidRPr="00B93FE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database application</w:t>
            </w:r>
          </w:p>
          <w:p w:rsidR="00000000" w:rsidP="00B93FE2">
            <w:pPr>
              <w:pStyle w:val="ListBullet"/>
              <w:rPr>
                <w:lang w:val="en-NZ"/>
              </w:rPr>
            </w:pPr>
            <w:r w:rsidRPr="00B93FE2">
              <w:t>spreadsheet application.</w:t>
            </w:r>
          </w:p>
        </w:tc>
      </w:tr>
      <w:tr w:rsidTr="00170EA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BoldandItalics"/>
              </w:rPr>
              <w:t>Informant</w:t>
            </w:r>
            <w:r w:rsidRPr="00B93FE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a buyer</w:t>
            </w:r>
          </w:p>
          <w:p w:rsidR="00000000" w:rsidRPr="00B93FE2" w:rsidP="00B93FE2">
            <w:pPr>
              <w:pStyle w:val="ListBullet"/>
            </w:pPr>
            <w:r w:rsidRPr="00B93FE2">
              <w:t>current user</w:t>
            </w:r>
          </w:p>
          <w:p w:rsidR="00000000" w:rsidRPr="00B93FE2" w:rsidP="00B93FE2">
            <w:pPr>
              <w:pStyle w:val="ListBullet"/>
            </w:pPr>
            <w:r w:rsidRPr="00B93FE2">
              <w:t>party external to the organisation</w:t>
            </w:r>
          </w:p>
          <w:p w:rsidR="00000000" w:rsidRPr="00B93FE2" w:rsidP="00B93FE2">
            <w:pPr>
              <w:pStyle w:val="ListBullet"/>
            </w:pPr>
            <w:r w:rsidRPr="00B93FE2">
              <w:t>party internal to the organisation</w:t>
            </w:r>
          </w:p>
          <w:p w:rsidR="00000000" w:rsidRPr="00B93FE2" w:rsidP="00B93FE2">
            <w:pPr>
              <w:pStyle w:val="ListBullet"/>
            </w:pPr>
            <w:r w:rsidRPr="00B93FE2">
              <w:t>technician maintaining a service</w:t>
            </w:r>
          </w:p>
          <w:p w:rsidR="00000000" w:rsidP="00B93FE2">
            <w:pPr>
              <w:pStyle w:val="ListBullet"/>
              <w:rPr>
                <w:lang w:val="en-NZ"/>
              </w:rPr>
            </w:pPr>
            <w:r w:rsidRPr="00B93FE2">
              <w:t>technician repairing a product.</w:t>
            </w:r>
          </w:p>
        </w:tc>
      </w:tr>
      <w:tr w:rsidTr="00170EA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BoldandItalics"/>
              </w:rPr>
              <w:t>Information</w:t>
            </w:r>
            <w:r w:rsidRPr="00B93FE2">
              <w:t xml:space="preserve"> may include:</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details required from core business systems</w:t>
            </w:r>
          </w:p>
          <w:p w:rsidR="00000000" w:rsidRPr="00B93FE2" w:rsidP="00B93FE2">
            <w:pPr>
              <w:pStyle w:val="ListBullet"/>
            </w:pPr>
            <w:r w:rsidRPr="00B93FE2">
              <w:t>details required to complete a transaction or process</w:t>
            </w:r>
          </w:p>
          <w:p w:rsidR="00000000" w:rsidRPr="00B93FE2" w:rsidP="00B93FE2">
            <w:pPr>
              <w:pStyle w:val="ListBullet"/>
            </w:pPr>
            <w:r w:rsidRPr="00B93FE2">
              <w:t>specific details requested by a customer</w:t>
            </w:r>
          </w:p>
          <w:p w:rsidR="00000000" w:rsidP="00B93FE2">
            <w:pPr>
              <w:pStyle w:val="ListBullet"/>
              <w:rPr>
                <w:lang w:val="en-NZ"/>
              </w:rPr>
            </w:pPr>
            <w:r w:rsidRPr="00B93FE2">
              <w:t>specific details requested by others.</w:t>
            </w:r>
          </w:p>
        </w:tc>
      </w:tr>
      <w:tr w:rsidTr="00170EAD">
        <w:tblPrEx>
          <w:tblW w:w="0" w:type="auto"/>
          <w:tblLayout w:type="fixed"/>
          <w:tblCellMar>
            <w:left w:w="62" w:type="dxa"/>
            <w:right w:w="62" w:type="dxa"/>
          </w:tblCellMar>
          <w:tblLook w:val="0000"/>
        </w:tblPrEx>
        <w:tc>
          <w:tcPr>
            <w:tcW w:w="3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BoldandItalics"/>
              </w:rPr>
              <w:t>Escalation</w:t>
            </w:r>
            <w:r w:rsidRPr="00B93FE2">
              <w:t xml:space="preserve"> may relat</w:t>
            </w:r>
            <w:r w:rsidRPr="00B93FE2">
              <w:t>e to:</w:t>
            </w:r>
          </w:p>
        </w:tc>
        <w:tc>
          <w:tcPr>
            <w:tcW w:w="50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ListBullet"/>
            </w:pPr>
            <w:r w:rsidRPr="00B93FE2">
              <w:t>failure to resolve a complaint</w:t>
            </w:r>
          </w:p>
          <w:p w:rsidR="00000000" w:rsidRPr="00B93FE2" w:rsidP="00B93FE2">
            <w:pPr>
              <w:pStyle w:val="ListBullet"/>
            </w:pPr>
            <w:r w:rsidRPr="00B93FE2">
              <w:t>further circumstances that need to be explored</w:t>
            </w:r>
          </w:p>
          <w:p w:rsidR="00000000" w:rsidRPr="00B93FE2" w:rsidP="00B93FE2">
            <w:pPr>
              <w:pStyle w:val="ListBullet"/>
            </w:pPr>
            <w:r w:rsidRPr="00B93FE2">
              <w:t>lack of response to a complaint in given timeframe</w:t>
            </w:r>
          </w:p>
          <w:p w:rsidR="00000000" w:rsidRPr="00B93FE2" w:rsidP="00B93FE2">
            <w:pPr>
              <w:pStyle w:val="ListBullet"/>
            </w:pPr>
            <w:r w:rsidRPr="00B93FE2">
              <w:t>previous investigation failed to bring resolution satisfactory to all parties.</w:t>
            </w:r>
          </w:p>
        </w:tc>
      </w:tr>
    </w:tbl>
    <w:p w:rsidR="00170EAD" w:rsidP="00B93FE2">
      <w:pPr>
        <w:pStyle w:val="BodyText"/>
      </w:pPr>
    </w:p>
    <w:p w:rsidR="00170EAD" w:rsidP="00B93FE2">
      <w:pPr>
        <w:pStyle w:val="BodyText"/>
      </w:pPr>
    </w:p>
    <w:p w:rsidR="00000000" w:rsidRPr="00B93FE2" w:rsidP="00B93FE2">
      <w:pPr>
        <w:pStyle w:val="Heading1"/>
      </w:pPr>
      <w:bookmarkStart w:id="12" w:name="O_210185"/>
      <w:bookmarkEnd w:id="12"/>
      <w:r w:rsidRPr="00B93FE2">
        <w:t>Unit Sector(s)</w:t>
      </w:r>
    </w:p>
    <w:tbl>
      <w:tblPr>
        <w:tblW w:w="0" w:type="auto"/>
        <w:tblLayout w:type="fixed"/>
        <w:tblCellMar>
          <w:left w:w="62" w:type="dxa"/>
          <w:right w:w="62" w:type="dxa"/>
        </w:tblCellMar>
        <w:tblLook w:val="0000"/>
      </w:tblPr>
      <w:tblGrid>
        <w:gridCol w:w="2575"/>
        <w:gridCol w:w="5947"/>
      </w:tblGrid>
      <w:tr w:rsidTr="00170EAD">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Unit sector</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Telecommunication</w:t>
            </w:r>
          </w:p>
        </w:tc>
      </w:tr>
    </w:tbl>
    <w:p w:rsidR="00170EAD" w:rsidP="00B93FE2">
      <w:pPr>
        <w:pStyle w:val="BodyText"/>
      </w:pPr>
    </w:p>
    <w:p w:rsidR="00170EAD" w:rsidP="00B93FE2">
      <w:pPr>
        <w:pStyle w:val="BodyText"/>
      </w:pPr>
    </w:p>
    <w:p w:rsidR="00000000" w:rsidRPr="00B93FE2" w:rsidP="00B93FE2">
      <w:pPr>
        <w:pStyle w:val="Heading1"/>
      </w:pPr>
      <w:bookmarkStart w:id="13" w:name="O_210182"/>
      <w:bookmarkEnd w:id="13"/>
      <w:r w:rsidRPr="00B93FE2">
        <w:t>Co-requisite units</w:t>
      </w:r>
    </w:p>
    <w:tbl>
      <w:tblPr>
        <w:tblW w:w="0" w:type="auto"/>
        <w:tblLayout w:type="fixed"/>
        <w:tblCellMar>
          <w:left w:w="62" w:type="dxa"/>
          <w:right w:w="62" w:type="dxa"/>
        </w:tblCellMar>
        <w:tblLook w:val="0000"/>
      </w:tblPr>
      <w:tblGrid>
        <w:gridCol w:w="2641"/>
        <w:gridCol w:w="1322"/>
        <w:gridCol w:w="4559"/>
      </w:tblGrid>
      <w:tr w:rsidTr="00170EA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p>
        </w:tc>
      </w:tr>
      <w:tr w:rsidTr="00170E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p>
        </w:tc>
      </w:tr>
      <w:tr w:rsidTr="00170EA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p>
        </w:tc>
      </w:tr>
    </w:tbl>
    <w:p w:rsidR="00170EAD" w:rsidP="00B93FE2">
      <w:pPr>
        <w:pStyle w:val="BodyText"/>
      </w:pPr>
    </w:p>
    <w:p w:rsidR="00170EAD" w:rsidP="00B93FE2">
      <w:pPr>
        <w:pStyle w:val="BodyText"/>
      </w:pPr>
    </w:p>
    <w:p w:rsidR="00000000" w:rsidRPr="00B93FE2" w:rsidP="00B93FE2">
      <w:pPr>
        <w:pStyle w:val="Heading1"/>
      </w:pPr>
      <w:bookmarkStart w:id="14" w:name="O_210184"/>
      <w:bookmarkEnd w:id="14"/>
      <w:r w:rsidRPr="00B93FE2">
        <w:t>Competency field</w:t>
      </w:r>
    </w:p>
    <w:tbl>
      <w:tblPr>
        <w:tblW w:w="0" w:type="auto"/>
        <w:tblLayout w:type="fixed"/>
        <w:tblCellMar>
          <w:left w:w="62" w:type="dxa"/>
          <w:right w:w="62" w:type="dxa"/>
        </w:tblCellMar>
        <w:tblLook w:val="0000"/>
      </w:tblPr>
      <w:tblGrid>
        <w:gridCol w:w="2776"/>
        <w:gridCol w:w="5746"/>
      </w:tblGrid>
      <w:tr w:rsidTr="00170EAD">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3FE2">
            <w:pPr>
              <w:pStyle w:val="BodyText"/>
              <w:rPr>
                <w:lang w:val="en-NZ"/>
              </w:rPr>
            </w:pPr>
            <w:r w:rsidRPr="00B93FE2">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3FE2" w:rsidP="00B93FE2">
            <w:pPr>
              <w:pStyle w:val="BodyText"/>
            </w:pPr>
            <w:r w:rsidRPr="00B93FE2">
              <w:t>Workplace effectiveness</w:t>
            </w:r>
          </w:p>
        </w:tc>
      </w:tr>
    </w:tbl>
    <w:p w:rsidR="00170EAD" w:rsidP="00B93FE2">
      <w:pPr>
        <w:pStyle w:val="BodyText"/>
      </w:pPr>
    </w:p>
    <w:p w:rsidR="00170EAD" w:rsidP="00B93FE2">
      <w:pPr>
        <w:pStyle w:val="BodyText"/>
      </w:pPr>
    </w:p>
    <w:p w:rsidR="00000000" w:rsidRPr="00B93FE2" w:rsidP="00B93FE2"/>
    <w:sectPr w:rsidSect="00B93F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0EAD" w:rsidP="00170EA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AD" w:rsidP="00B93FE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70EAD" w:rsidP="00B93F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0EAD" w:rsidP="00B93F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2" w:rsidRPr="00170EAD" w:rsidP="00170EA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3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EAD" w:rsidRPr="002D2AF8" w:rsidP="00B93FE2">
    <w:pPr>
      <w:pStyle w:val="Header"/>
      <w:framePr w:wrap="around"/>
    </w:pPr>
    <w:r>
      <w:fldChar w:fldCharType="begin"/>
    </w:r>
    <w:r>
      <w:instrText xml:space="preserve"> TITLE   \* MERGEFORMAT </w:instrText>
    </w:r>
    <w:r>
      <w:fldChar w:fldCharType="separate"/>
    </w:r>
    <w:r>
      <w:t>ICTWOR3231A Resolve technical enquiries using multiple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170EAD" w:rsidP="00B93F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22D1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7B41F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966F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F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3FE2"/>
    <w:pPr>
      <w:spacing w:before="360" w:after="60"/>
      <w:outlineLvl w:val="0"/>
    </w:pPr>
    <w:rPr>
      <w:sz w:val="32"/>
    </w:rPr>
  </w:style>
  <w:style w:type="paragraph" w:styleId="Heading2">
    <w:name w:val="heading 2"/>
    <w:basedOn w:val="HeadingBase"/>
    <w:next w:val="BodyText"/>
    <w:link w:val="Heading2Char"/>
    <w:qFormat/>
    <w:rsid w:val="00B93FE2"/>
    <w:pPr>
      <w:keepLines/>
      <w:spacing w:before="240" w:after="120"/>
      <w:outlineLvl w:val="1"/>
    </w:pPr>
    <w:rPr>
      <w:sz w:val="28"/>
      <w:szCs w:val="40"/>
    </w:rPr>
  </w:style>
  <w:style w:type="paragraph" w:styleId="Heading3">
    <w:name w:val="heading 3"/>
    <w:basedOn w:val="HeadingBase"/>
    <w:next w:val="BodyText"/>
    <w:link w:val="Heading3Char"/>
    <w:qFormat/>
    <w:rsid w:val="00B93FE2"/>
    <w:pPr>
      <w:spacing w:before="180" w:after="120"/>
      <w:outlineLvl w:val="2"/>
    </w:pPr>
    <w:rPr>
      <w:spacing w:val="-10"/>
      <w:kern w:val="32"/>
    </w:rPr>
  </w:style>
  <w:style w:type="paragraph" w:styleId="Heading4">
    <w:name w:val="heading 4"/>
    <w:basedOn w:val="HeadingBase"/>
    <w:next w:val="BodyText"/>
    <w:link w:val="Heading4Char"/>
    <w:qFormat/>
    <w:rsid w:val="00B93FE2"/>
    <w:pPr>
      <w:spacing w:before="160" w:after="120"/>
      <w:outlineLvl w:val="3"/>
    </w:pPr>
    <w:rPr>
      <w:sz w:val="22"/>
    </w:rPr>
  </w:style>
  <w:style w:type="paragraph" w:styleId="Heading5">
    <w:name w:val="heading 5"/>
    <w:basedOn w:val="HeadingBase"/>
    <w:next w:val="Normal"/>
    <w:link w:val="Heading5Char"/>
    <w:qFormat/>
    <w:rsid w:val="00B93FE2"/>
    <w:pPr>
      <w:spacing w:before="80"/>
      <w:outlineLvl w:val="4"/>
    </w:pPr>
    <w:rPr>
      <w:color w:val="918585"/>
      <w:sz w:val="20"/>
    </w:rPr>
  </w:style>
  <w:style w:type="paragraph" w:styleId="Heading6">
    <w:name w:val="heading 6"/>
    <w:basedOn w:val="HeadingBase"/>
    <w:next w:val="Normal"/>
    <w:link w:val="Heading6Char"/>
    <w:qFormat/>
    <w:rsid w:val="00B93FE2"/>
    <w:pPr>
      <w:spacing w:before="60"/>
      <w:outlineLvl w:val="5"/>
    </w:pPr>
    <w:rPr>
      <w:color w:val="918585"/>
      <w:sz w:val="20"/>
    </w:rPr>
  </w:style>
  <w:style w:type="paragraph" w:styleId="Heading7">
    <w:name w:val="heading 7"/>
    <w:basedOn w:val="Normal"/>
    <w:next w:val="Normal"/>
    <w:link w:val="Heading7Char"/>
    <w:qFormat/>
    <w:rsid w:val="00B93FE2"/>
    <w:pPr>
      <w:ind w:left="720"/>
      <w:outlineLvl w:val="6"/>
    </w:pPr>
    <w:rPr>
      <w:i/>
    </w:rPr>
  </w:style>
  <w:style w:type="paragraph" w:styleId="Heading8">
    <w:name w:val="heading 8"/>
    <w:basedOn w:val="Normal"/>
    <w:next w:val="Normal"/>
    <w:link w:val="Heading8Char"/>
    <w:qFormat/>
    <w:rsid w:val="00B93FE2"/>
    <w:pPr>
      <w:ind w:left="720"/>
      <w:outlineLvl w:val="7"/>
    </w:pPr>
    <w:rPr>
      <w:i/>
    </w:rPr>
  </w:style>
  <w:style w:type="paragraph" w:styleId="Heading9">
    <w:name w:val="heading 9"/>
    <w:basedOn w:val="Normal"/>
    <w:next w:val="Normal"/>
    <w:link w:val="Heading9Char"/>
    <w:qFormat/>
    <w:rsid w:val="00B93FE2"/>
    <w:pPr>
      <w:ind w:left="720"/>
      <w:outlineLvl w:val="8"/>
    </w:pPr>
    <w:rPr>
      <w:i/>
    </w:rPr>
  </w:style>
  <w:style w:type="character" w:default="1" w:styleId="DefaultParagraphFont">
    <w:name w:val="Default Paragraph Font"/>
    <w:uiPriority w:val="1"/>
    <w:unhideWhenUsed/>
    <w:rsid w:val="00B93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3FE2"/>
  </w:style>
  <w:style w:type="character" w:customStyle="1" w:styleId="Heading1Char">
    <w:name w:val="Heading 1 Char"/>
    <w:basedOn w:val="DefaultParagraphFont"/>
    <w:link w:val="Heading1"/>
    <w:rsid w:val="00B93FE2"/>
    <w:rPr>
      <w:rFonts w:ascii="Times New Roman" w:eastAsia="Times New Roman" w:hAnsi="Times New Roman" w:cs="Times New Roman"/>
      <w:b/>
      <w:sz w:val="32"/>
      <w:szCs w:val="20"/>
      <w:lang w:eastAsia="en-US"/>
    </w:rPr>
  </w:style>
  <w:style w:type="paragraph" w:styleId="BodyText">
    <w:name w:val="Body Text"/>
    <w:basedOn w:val="Normal"/>
    <w:link w:val="BodyTextChar"/>
    <w:rsid w:val="00B93F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3FE2"/>
    <w:rPr>
      <w:rFonts w:ascii="Times New Roman" w:eastAsia="Times New Roman" w:hAnsi="Times New Roman" w:cs="Times New Roman"/>
      <w:sz w:val="24"/>
      <w:lang w:eastAsia="en-US"/>
    </w:rPr>
  </w:style>
  <w:style w:type="paragraph" w:styleId="Footer">
    <w:name w:val="footer"/>
    <w:basedOn w:val="Normal"/>
    <w:link w:val="FooterChar"/>
    <w:rsid w:val="00B93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3FE2"/>
    <w:rPr>
      <w:rFonts w:ascii="Times New Roman" w:eastAsia="Times New Roman" w:hAnsi="Times New Roman" w:cs="Times New Roman"/>
      <w:sz w:val="16"/>
      <w:lang w:eastAsia="en-US"/>
    </w:rPr>
  </w:style>
  <w:style w:type="paragraph" w:styleId="List">
    <w:name w:val="List"/>
    <w:basedOn w:val="BodyText"/>
    <w:next w:val="BodyText"/>
    <w:rsid w:val="00B93FE2"/>
    <w:pPr>
      <w:tabs>
        <w:tab w:val="left" w:pos="340"/>
      </w:tabs>
      <w:spacing w:before="60" w:after="60"/>
      <w:ind w:left="340" w:hanging="340"/>
    </w:pPr>
  </w:style>
  <w:style w:type="paragraph" w:styleId="ListBullet">
    <w:name w:val="List Bullet"/>
    <w:basedOn w:val="List"/>
    <w:rsid w:val="00B93FE2"/>
    <w:pPr>
      <w:numPr>
        <w:numId w:val="13"/>
      </w:numPr>
      <w:tabs>
        <w:tab w:val="clear" w:pos="340"/>
      </w:tabs>
      <w:spacing w:before="40" w:after="40"/>
    </w:pPr>
  </w:style>
  <w:style w:type="character" w:customStyle="1" w:styleId="SpecialBold">
    <w:name w:val="Special Bold"/>
    <w:basedOn w:val="DefaultParagraphFont"/>
    <w:rsid w:val="00B93FE2"/>
    <w:rPr>
      <w:b/>
      <w:spacing w:val="0"/>
    </w:rPr>
  </w:style>
  <w:style w:type="paragraph" w:styleId="ListBullet2">
    <w:name w:val="List Bullet 2"/>
    <w:basedOn w:val="List2"/>
    <w:rsid w:val="00B93FE2"/>
    <w:pPr>
      <w:numPr>
        <w:numId w:val="14"/>
      </w:numPr>
      <w:tabs>
        <w:tab w:val="clear" w:pos="680"/>
      </w:tabs>
    </w:pPr>
  </w:style>
  <w:style w:type="paragraph" w:customStyle="1" w:styleId="SuperHeading">
    <w:name w:val="SuperHeading"/>
    <w:basedOn w:val="Normal"/>
    <w:rsid w:val="00B93FE2"/>
    <w:pPr>
      <w:spacing w:before="240" w:after="120"/>
      <w:outlineLvl w:val="0"/>
    </w:pPr>
    <w:rPr>
      <w:rFonts w:ascii="Times New Roman" w:hAnsi="Times New Roman"/>
      <w:b/>
      <w:sz w:val="28"/>
    </w:rPr>
  </w:style>
  <w:style w:type="paragraph" w:customStyle="1" w:styleId="AllowPageBreak">
    <w:name w:val="AllowPageBreak"/>
    <w:rsid w:val="00B93FE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3FE2"/>
    <w:pPr>
      <w:tabs>
        <w:tab w:val="left" w:pos="680"/>
      </w:tabs>
      <w:spacing w:before="60" w:after="60"/>
      <w:ind w:left="680" w:hanging="340"/>
    </w:pPr>
  </w:style>
  <w:style w:type="character" w:customStyle="1" w:styleId="BoldandItalics">
    <w:name w:val="Bold and Italics"/>
    <w:qFormat/>
    <w:rsid w:val="00B93FE2"/>
    <w:rPr>
      <w:b/>
      <w:i/>
      <w:u w:val="none"/>
    </w:rPr>
  </w:style>
  <w:style w:type="character" w:customStyle="1" w:styleId="Heading2Char">
    <w:name w:val="Heading 2 Char"/>
    <w:basedOn w:val="DefaultParagraphFont"/>
    <w:link w:val="Heading2"/>
    <w:rsid w:val="00B93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3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3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3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3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3F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3F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3FE2"/>
    <w:rPr>
      <w:rFonts w:ascii="Courier New" w:eastAsia="Times New Roman" w:hAnsi="Courier New" w:cs="Times New Roman"/>
      <w:i/>
      <w:szCs w:val="20"/>
      <w:lang w:eastAsia="en-US"/>
    </w:rPr>
  </w:style>
  <w:style w:type="paragraph" w:customStyle="1" w:styleId="HeadingBase">
    <w:name w:val="Heading Base"/>
    <w:rsid w:val="00B93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3FE2"/>
    <w:pPr>
      <w:tabs>
        <w:tab w:val="right" w:leader="dot" w:pos="9072"/>
      </w:tabs>
      <w:ind w:left="567"/>
    </w:pPr>
    <w:rPr>
      <w:szCs w:val="22"/>
    </w:rPr>
  </w:style>
  <w:style w:type="paragraph" w:customStyle="1" w:styleId="TOCBase">
    <w:name w:val="TOC Base"/>
    <w:rsid w:val="00B93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3FE2"/>
    <w:pPr>
      <w:tabs>
        <w:tab w:val="right" w:leader="dot" w:pos="9072"/>
      </w:tabs>
      <w:spacing w:before="40" w:after="40"/>
      <w:ind w:left="284"/>
    </w:pPr>
    <w:rPr>
      <w:rFonts w:ascii="Times New Roman" w:hAnsi="Times New Roman"/>
    </w:rPr>
  </w:style>
  <w:style w:type="paragraph" w:styleId="TOC1">
    <w:name w:val="toc 1"/>
    <w:basedOn w:val="TOCBase"/>
    <w:next w:val="Normal"/>
    <w:rsid w:val="00B93F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3FE2"/>
    <w:pPr>
      <w:spacing w:before="5040"/>
      <w:jc w:val="center"/>
    </w:pPr>
    <w:rPr>
      <w:sz w:val="48"/>
      <w:szCs w:val="72"/>
      <w:lang w:val="en-US"/>
    </w:rPr>
  </w:style>
  <w:style w:type="character" w:customStyle="1" w:styleId="TitleChar">
    <w:name w:val="Title Char"/>
    <w:basedOn w:val="DefaultParagraphFont"/>
    <w:link w:val="Title"/>
    <w:rsid w:val="00B93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3FE2"/>
    <w:pPr>
      <w:tabs>
        <w:tab w:val="left" w:pos="3600"/>
        <w:tab w:val="left" w:pos="3958"/>
      </w:tabs>
    </w:pPr>
  </w:style>
  <w:style w:type="paragraph" w:customStyle="1" w:styleId="Note">
    <w:name w:val="Note"/>
    <w:basedOn w:val="BodyText"/>
    <w:rsid w:val="00B93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3FE2"/>
    <w:pPr>
      <w:framePr w:wrap="auto" w:hAnchor="text" w:y="6049"/>
    </w:pPr>
    <w:rPr>
      <w:color w:val="000000"/>
      <w:sz w:val="40"/>
    </w:rPr>
  </w:style>
  <w:style w:type="paragraph" w:customStyle="1" w:styleId="TOCTitle">
    <w:name w:val="TOCTitle"/>
    <w:basedOn w:val="Heading1"/>
    <w:rsid w:val="00B93FE2"/>
    <w:pPr>
      <w:spacing w:after="240"/>
      <w:jc w:val="center"/>
      <w:outlineLvl w:val="9"/>
    </w:pPr>
    <w:rPr>
      <w:caps/>
    </w:rPr>
  </w:style>
  <w:style w:type="paragraph" w:customStyle="1" w:styleId="Version">
    <w:name w:val="Version"/>
    <w:rsid w:val="00B93F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3FE2"/>
    <w:pPr>
      <w:keepNext w:val="0"/>
      <w:tabs>
        <w:tab w:val="right" w:pos="4176"/>
      </w:tabs>
      <w:ind w:left="198" w:hanging="198"/>
    </w:pPr>
    <w:rPr>
      <w:rFonts w:ascii="Garamond" w:hAnsi="Garamond"/>
    </w:rPr>
  </w:style>
  <w:style w:type="paragraph" w:styleId="IndexHeading">
    <w:name w:val="index heading"/>
    <w:basedOn w:val="Normal"/>
    <w:next w:val="Index1"/>
    <w:semiHidden/>
    <w:rsid w:val="00B93FE2"/>
    <w:pPr>
      <w:spacing w:before="120" w:after="120"/>
    </w:pPr>
    <w:rPr>
      <w:rFonts w:ascii="Arial" w:hAnsi="Arial"/>
      <w:b/>
      <w:color w:val="918585"/>
      <w:sz w:val="24"/>
    </w:rPr>
  </w:style>
  <w:style w:type="paragraph" w:styleId="Header">
    <w:name w:val="header"/>
    <w:basedOn w:val="Normal"/>
    <w:link w:val="HeaderChar"/>
    <w:rsid w:val="00B93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3FE2"/>
    <w:rPr>
      <w:rFonts w:ascii="Times New Roman" w:eastAsia="Times New Roman" w:hAnsi="Times New Roman" w:cs="Times New Roman"/>
      <w:sz w:val="16"/>
      <w:szCs w:val="20"/>
      <w:lang w:val="en-GB" w:eastAsia="en-US"/>
    </w:rPr>
  </w:style>
  <w:style w:type="paragraph" w:customStyle="1" w:styleId="Chapter">
    <w:name w:val="Chapter"/>
    <w:basedOn w:val="Normal"/>
    <w:rsid w:val="00B93FE2"/>
    <w:pPr>
      <w:spacing w:before="240"/>
    </w:pPr>
    <w:rPr>
      <w:rFonts w:ascii="Times New Roman" w:hAnsi="Times New Roman"/>
      <w:smallCaps/>
      <w:spacing w:val="80"/>
      <w:sz w:val="28"/>
    </w:rPr>
  </w:style>
  <w:style w:type="paragraph" w:customStyle="1" w:styleId="InChapter">
    <w:name w:val="InChapter"/>
    <w:basedOn w:val="Heading3"/>
    <w:rsid w:val="00B93FE2"/>
    <w:pPr>
      <w:spacing w:after="240"/>
      <w:outlineLvl w:val="9"/>
    </w:pPr>
    <w:rPr>
      <w:noProof/>
    </w:rPr>
  </w:style>
  <w:style w:type="paragraph" w:styleId="Index2">
    <w:name w:val="index 2"/>
    <w:basedOn w:val="Normal"/>
    <w:next w:val="Normal"/>
    <w:semiHidden/>
    <w:rsid w:val="00B93FE2"/>
    <w:pPr>
      <w:tabs>
        <w:tab w:val="right" w:pos="4176"/>
      </w:tabs>
      <w:ind w:left="568" w:hanging="284"/>
    </w:pPr>
    <w:rPr>
      <w:rFonts w:ascii="Garamond" w:hAnsi="Garamond"/>
    </w:rPr>
  </w:style>
  <w:style w:type="paragraph" w:customStyle="1" w:styleId="Byline">
    <w:name w:val="Byline"/>
    <w:rsid w:val="00B93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3FE2"/>
    <w:pPr>
      <w:tabs>
        <w:tab w:val="clear" w:pos="3600"/>
        <w:tab w:val="clear" w:pos="3958"/>
      </w:tabs>
      <w:jc w:val="right"/>
    </w:pPr>
  </w:style>
  <w:style w:type="character" w:styleId="Emphasis">
    <w:name w:val="Emphasis"/>
    <w:basedOn w:val="DefaultParagraphFont"/>
    <w:qFormat/>
    <w:rsid w:val="00B93FE2"/>
    <w:rPr>
      <w:i/>
    </w:rPr>
  </w:style>
  <w:style w:type="paragraph" w:styleId="Caption">
    <w:name w:val="caption"/>
    <w:basedOn w:val="BodyText"/>
    <w:next w:val="Normal"/>
    <w:qFormat/>
    <w:rsid w:val="00B93FE2"/>
    <w:pPr>
      <w:framePr w:w="2268" w:hSpace="181" w:vSpace="181" w:wrap="around" w:vAnchor="text" w:hAnchor="page" w:x="1135" w:y="285" w:anchorLock="1"/>
    </w:pPr>
    <w:rPr>
      <w:i/>
    </w:rPr>
  </w:style>
  <w:style w:type="paragraph" w:customStyle="1" w:styleId="MiniTOCTitle">
    <w:name w:val="MiniTOCTitle"/>
    <w:basedOn w:val="Heading4"/>
    <w:rsid w:val="00B93FE2"/>
    <w:pPr>
      <w:spacing w:before="240"/>
      <w:outlineLvl w:val="9"/>
    </w:pPr>
    <w:rPr>
      <w:noProof/>
      <w:sz w:val="24"/>
    </w:rPr>
  </w:style>
  <w:style w:type="paragraph" w:customStyle="1" w:styleId="MiniTOCItem">
    <w:name w:val="MiniTOCItem"/>
    <w:basedOn w:val="ListBullet"/>
    <w:rsid w:val="00B93FE2"/>
    <w:pPr>
      <w:numPr>
        <w:numId w:val="0"/>
      </w:numPr>
      <w:tabs>
        <w:tab w:val="right" w:leader="dot" w:pos="6521"/>
      </w:tabs>
      <w:spacing w:before="0" w:after="0"/>
    </w:pPr>
  </w:style>
  <w:style w:type="paragraph" w:customStyle="1" w:styleId="TOFTitle">
    <w:name w:val="TOFTitle"/>
    <w:basedOn w:val="TOCTitle"/>
    <w:rsid w:val="00B93FE2"/>
  </w:style>
  <w:style w:type="paragraph" w:styleId="TableofFigures">
    <w:name w:val="table of figures"/>
    <w:basedOn w:val="Normal"/>
    <w:next w:val="Normal"/>
    <w:semiHidden/>
    <w:rsid w:val="00B93FE2"/>
    <w:pPr>
      <w:tabs>
        <w:tab w:val="right" w:leader="dot" w:pos="9072"/>
      </w:tabs>
      <w:ind w:left="970" w:hanging="403"/>
    </w:pPr>
    <w:rPr>
      <w:rFonts w:ascii="Times New Roman" w:hAnsi="Times New Roman"/>
      <w:b/>
    </w:rPr>
  </w:style>
  <w:style w:type="paragraph" w:styleId="ListNumber">
    <w:name w:val="List Number"/>
    <w:basedOn w:val="List"/>
    <w:rsid w:val="00B93FE2"/>
    <w:pPr>
      <w:numPr>
        <w:numId w:val="11"/>
      </w:numPr>
    </w:pPr>
  </w:style>
  <w:style w:type="character" w:customStyle="1" w:styleId="WingdingSymbols">
    <w:name w:val="Wingding Symbols"/>
    <w:rsid w:val="00B93FE2"/>
    <w:rPr>
      <w:rFonts w:ascii="Wingdings" w:hAnsi="Wingdings"/>
    </w:rPr>
  </w:style>
  <w:style w:type="paragraph" w:customStyle="1" w:styleId="TableHeading">
    <w:name w:val="Table Heading"/>
    <w:basedOn w:val="HeadingBase"/>
    <w:rsid w:val="00B93FE2"/>
    <w:pPr>
      <w:keepLines/>
      <w:pBdr>
        <w:bottom w:val="single" w:sz="6" w:space="1" w:color="918585"/>
      </w:pBdr>
      <w:spacing w:before="240"/>
    </w:pPr>
  </w:style>
  <w:style w:type="character" w:customStyle="1" w:styleId="HotSpot">
    <w:name w:val="HotSpot"/>
    <w:rsid w:val="00B93FE2"/>
    <w:rPr>
      <w:color w:val="0033CC"/>
      <w:u w:val="none"/>
    </w:rPr>
  </w:style>
  <w:style w:type="paragraph" w:customStyle="1" w:styleId="BodyTextRight">
    <w:name w:val="Body Text Right"/>
    <w:basedOn w:val="BodyText"/>
    <w:rsid w:val="00B93FE2"/>
    <w:pPr>
      <w:spacing w:before="0" w:after="0"/>
      <w:jc w:val="right"/>
    </w:pPr>
  </w:style>
  <w:style w:type="paragraph" w:styleId="Index3">
    <w:name w:val="index 3"/>
    <w:basedOn w:val="ListNumber2"/>
    <w:next w:val="Normal"/>
    <w:semiHidden/>
    <w:rsid w:val="00B93FE2"/>
    <w:pPr>
      <w:numPr>
        <w:numId w:val="0"/>
      </w:numPr>
      <w:tabs>
        <w:tab w:val="right" w:leader="dot" w:pos="4176"/>
      </w:tabs>
    </w:pPr>
  </w:style>
  <w:style w:type="paragraph" w:styleId="ListNumber2">
    <w:name w:val="List Number 2"/>
    <w:basedOn w:val="List2"/>
    <w:rsid w:val="00B93FE2"/>
    <w:pPr>
      <w:numPr>
        <w:numId w:val="10"/>
      </w:numPr>
      <w:tabs>
        <w:tab w:val="clear" w:pos="1060"/>
      </w:tabs>
    </w:pPr>
  </w:style>
  <w:style w:type="paragraph" w:customStyle="1" w:styleId="MarginNote">
    <w:name w:val="Margin Note"/>
    <w:basedOn w:val="BodyText"/>
    <w:rsid w:val="00B93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3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3F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3FE2"/>
    <w:rPr>
      <w:sz w:val="32"/>
    </w:rPr>
  </w:style>
  <w:style w:type="paragraph" w:customStyle="1" w:styleId="HeadingProcedure">
    <w:name w:val="Heading Procedure"/>
    <w:basedOn w:val="HeadingBase"/>
    <w:next w:val="Normal"/>
    <w:rsid w:val="00B93FE2"/>
    <w:pPr>
      <w:tabs>
        <w:tab w:val="left" w:pos="0"/>
      </w:tabs>
      <w:spacing w:before="120" w:after="60"/>
    </w:pPr>
    <w:rPr>
      <w:i/>
      <w:color w:val="918585"/>
      <w:sz w:val="22"/>
    </w:rPr>
  </w:style>
  <w:style w:type="paragraph" w:customStyle="1" w:styleId="TableBodyText">
    <w:name w:val="Table Body Text"/>
    <w:basedOn w:val="BodyText"/>
    <w:rsid w:val="00B93FE2"/>
    <w:pPr>
      <w:spacing w:before="60" w:after="60"/>
    </w:pPr>
  </w:style>
  <w:style w:type="paragraph" w:styleId="ListContinue">
    <w:name w:val="List Continue"/>
    <w:basedOn w:val="List"/>
    <w:rsid w:val="00B93FE2"/>
    <w:pPr>
      <w:ind w:firstLine="0"/>
    </w:pPr>
  </w:style>
  <w:style w:type="paragraph" w:customStyle="1" w:styleId="ListNote">
    <w:name w:val="List Note"/>
    <w:basedOn w:val="List"/>
    <w:rsid w:val="00B93FE2"/>
    <w:pPr>
      <w:pBdr>
        <w:top w:val="single" w:sz="6" w:space="2" w:color="918585"/>
        <w:bottom w:val="single" w:sz="6" w:space="2" w:color="918585"/>
      </w:pBdr>
      <w:tabs>
        <w:tab w:val="left" w:pos="1021"/>
      </w:tabs>
      <w:ind w:firstLine="0"/>
    </w:pPr>
  </w:style>
  <w:style w:type="paragraph" w:customStyle="1" w:styleId="Warning">
    <w:name w:val="Warning"/>
    <w:basedOn w:val="BodyText"/>
    <w:rsid w:val="00B93FE2"/>
    <w:pPr>
      <w:shd w:val="clear" w:color="auto" w:fill="D9D9D9"/>
      <w:tabs>
        <w:tab w:val="left" w:pos="992"/>
      </w:tabs>
      <w:ind w:left="119" w:right="119"/>
    </w:pPr>
    <w:rPr>
      <w:sz w:val="20"/>
    </w:rPr>
  </w:style>
  <w:style w:type="paragraph" w:customStyle="1" w:styleId="MarginIcons">
    <w:name w:val="Margin Icons"/>
    <w:basedOn w:val="BodyText"/>
    <w:rsid w:val="00B93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3FE2"/>
    <w:rPr>
      <w:rFonts w:ascii="Courier New" w:hAnsi="Courier New"/>
    </w:rPr>
  </w:style>
  <w:style w:type="paragraph" w:customStyle="1" w:styleId="NoteBullet">
    <w:name w:val="Note Bullet"/>
    <w:basedOn w:val="Note"/>
    <w:rsid w:val="00B93FE2"/>
    <w:pPr>
      <w:tabs>
        <w:tab w:val="clear" w:pos="680"/>
      </w:tabs>
      <w:spacing w:before="60" w:after="60"/>
    </w:pPr>
  </w:style>
  <w:style w:type="paragraph" w:customStyle="1" w:styleId="SubHeading2">
    <w:name w:val="SubHeading2"/>
    <w:basedOn w:val="HeadingBase"/>
    <w:rsid w:val="00B93FE2"/>
    <w:pPr>
      <w:spacing w:before="240" w:after="60"/>
    </w:pPr>
    <w:rPr>
      <w:sz w:val="20"/>
    </w:rPr>
  </w:style>
  <w:style w:type="paragraph" w:customStyle="1" w:styleId="SubHeading1">
    <w:name w:val="SubHeading1"/>
    <w:basedOn w:val="HeadingBase"/>
    <w:rsid w:val="00B93FE2"/>
    <w:pPr>
      <w:spacing w:before="240" w:after="60"/>
    </w:pPr>
    <w:rPr>
      <w:color w:val="918585"/>
      <w:sz w:val="22"/>
    </w:rPr>
  </w:style>
  <w:style w:type="paragraph" w:customStyle="1" w:styleId="SideHeading">
    <w:name w:val="Side Heading"/>
    <w:basedOn w:val="HeadingBase"/>
    <w:rsid w:val="00B93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3FE2"/>
    <w:pPr>
      <w:numPr>
        <w:numId w:val="12"/>
      </w:numPr>
    </w:pPr>
  </w:style>
  <w:style w:type="paragraph" w:styleId="PlainText">
    <w:name w:val="Plain Text"/>
    <w:basedOn w:val="Normal"/>
    <w:link w:val="PlainTextChar"/>
    <w:rsid w:val="00B93FE2"/>
    <w:rPr>
      <w:sz w:val="20"/>
    </w:rPr>
  </w:style>
  <w:style w:type="character" w:customStyle="1" w:styleId="PlainTextChar">
    <w:name w:val="Plain Text Char"/>
    <w:basedOn w:val="DefaultParagraphFont"/>
    <w:link w:val="PlainText"/>
    <w:rsid w:val="00B93FE2"/>
    <w:rPr>
      <w:rFonts w:ascii="Courier New" w:eastAsia="Times New Roman" w:hAnsi="Courier New" w:cs="Times New Roman"/>
      <w:sz w:val="20"/>
      <w:szCs w:val="20"/>
      <w:lang w:eastAsia="en-US"/>
    </w:rPr>
  </w:style>
  <w:style w:type="character" w:customStyle="1" w:styleId="MenuOption">
    <w:name w:val="Menu Option"/>
    <w:basedOn w:val="DefaultParagraphFont"/>
    <w:rsid w:val="00B93FE2"/>
    <w:rPr>
      <w:b/>
      <w:smallCaps/>
    </w:rPr>
  </w:style>
  <w:style w:type="paragraph" w:customStyle="1" w:styleId="TableListNumber">
    <w:name w:val="Table List Number"/>
    <w:basedOn w:val="ListNumber"/>
    <w:rsid w:val="00B93FE2"/>
    <w:pPr>
      <w:numPr>
        <w:numId w:val="0"/>
      </w:numPr>
    </w:pPr>
  </w:style>
  <w:style w:type="paragraph" w:styleId="TOC4">
    <w:name w:val="toc 4"/>
    <w:basedOn w:val="TOCBase"/>
    <w:next w:val="Normal"/>
    <w:semiHidden/>
    <w:rsid w:val="00B93FE2"/>
    <w:pPr>
      <w:tabs>
        <w:tab w:val="right" w:leader="dot" w:pos="9071"/>
      </w:tabs>
      <w:ind w:left="1701"/>
    </w:pPr>
  </w:style>
  <w:style w:type="paragraph" w:customStyle="1" w:styleId="ListAlpha">
    <w:name w:val="List Alpha"/>
    <w:basedOn w:val="List"/>
    <w:rsid w:val="00B93FE2"/>
    <w:pPr>
      <w:numPr>
        <w:numId w:val="9"/>
      </w:numPr>
    </w:pPr>
  </w:style>
  <w:style w:type="paragraph" w:customStyle="1" w:styleId="ListAlpha2">
    <w:name w:val="List Alpha 2"/>
    <w:basedOn w:val="List2"/>
    <w:rsid w:val="00B93FE2"/>
    <w:pPr>
      <w:numPr>
        <w:numId w:val="8"/>
      </w:numPr>
    </w:pPr>
  </w:style>
  <w:style w:type="paragraph" w:styleId="List3">
    <w:name w:val="List 3"/>
    <w:basedOn w:val="BodyText"/>
    <w:rsid w:val="00B93FE2"/>
    <w:pPr>
      <w:tabs>
        <w:tab w:val="left" w:pos="1021"/>
      </w:tabs>
      <w:spacing w:before="60" w:after="60"/>
      <w:ind w:left="1020" w:hanging="340"/>
    </w:pPr>
  </w:style>
  <w:style w:type="paragraph" w:styleId="List4">
    <w:name w:val="List 4"/>
    <w:basedOn w:val="BodyText"/>
    <w:rsid w:val="00B93FE2"/>
    <w:pPr>
      <w:tabs>
        <w:tab w:val="left" w:pos="1361"/>
      </w:tabs>
      <w:spacing w:before="60" w:after="60"/>
      <w:ind w:left="1361" w:hanging="340"/>
    </w:pPr>
  </w:style>
  <w:style w:type="paragraph" w:styleId="List5">
    <w:name w:val="List 5"/>
    <w:basedOn w:val="BodyText"/>
    <w:rsid w:val="00B93FE2"/>
    <w:pPr>
      <w:tabs>
        <w:tab w:val="left" w:pos="1701"/>
      </w:tabs>
      <w:spacing w:before="60" w:after="60"/>
      <w:ind w:left="1701" w:hanging="340"/>
    </w:pPr>
  </w:style>
  <w:style w:type="paragraph" w:styleId="ListBullet3">
    <w:name w:val="List Bullet 3"/>
    <w:basedOn w:val="List3"/>
    <w:rsid w:val="00B93FE2"/>
    <w:pPr>
      <w:numPr>
        <w:numId w:val="15"/>
      </w:numPr>
      <w:tabs>
        <w:tab w:val="clear" w:pos="1021"/>
      </w:tabs>
      <w:ind w:left="1037" w:hanging="357"/>
    </w:pPr>
  </w:style>
  <w:style w:type="paragraph" w:styleId="ListBullet4">
    <w:name w:val="List Bullet 4"/>
    <w:basedOn w:val="List4"/>
    <w:rsid w:val="00B93FE2"/>
    <w:pPr>
      <w:numPr>
        <w:numId w:val="3"/>
      </w:numPr>
    </w:pPr>
  </w:style>
  <w:style w:type="paragraph" w:styleId="ListBullet5">
    <w:name w:val="List Bullet 5"/>
    <w:basedOn w:val="List5"/>
    <w:rsid w:val="00B93FE2"/>
    <w:pPr>
      <w:numPr>
        <w:numId w:val="4"/>
      </w:numPr>
    </w:pPr>
  </w:style>
  <w:style w:type="paragraph" w:styleId="ListContinue2">
    <w:name w:val="List Continue 2"/>
    <w:basedOn w:val="List2"/>
    <w:rsid w:val="00B93FE2"/>
    <w:pPr>
      <w:ind w:firstLine="0"/>
    </w:pPr>
  </w:style>
  <w:style w:type="paragraph" w:styleId="ListContinue3">
    <w:name w:val="List Continue 3"/>
    <w:basedOn w:val="List3"/>
    <w:rsid w:val="00B93FE2"/>
    <w:pPr>
      <w:ind w:left="1021" w:firstLine="0"/>
    </w:pPr>
  </w:style>
  <w:style w:type="paragraph" w:styleId="ListContinue4">
    <w:name w:val="List Continue 4"/>
    <w:basedOn w:val="List4"/>
    <w:rsid w:val="00B93FE2"/>
    <w:pPr>
      <w:ind w:firstLine="0"/>
    </w:pPr>
  </w:style>
  <w:style w:type="paragraph" w:styleId="ListContinue5">
    <w:name w:val="List Continue 5"/>
    <w:basedOn w:val="List5"/>
    <w:rsid w:val="00B93FE2"/>
    <w:pPr>
      <w:ind w:firstLine="0"/>
    </w:pPr>
  </w:style>
  <w:style w:type="paragraph" w:styleId="ListNumber3">
    <w:name w:val="List Number 3"/>
    <w:basedOn w:val="List3"/>
    <w:rsid w:val="00B93FE2"/>
    <w:pPr>
      <w:numPr>
        <w:numId w:val="5"/>
      </w:numPr>
    </w:pPr>
  </w:style>
  <w:style w:type="paragraph" w:styleId="ListNumber4">
    <w:name w:val="List Number 4"/>
    <w:basedOn w:val="List4"/>
    <w:rsid w:val="00B93FE2"/>
    <w:pPr>
      <w:numPr>
        <w:numId w:val="6"/>
      </w:numPr>
    </w:pPr>
  </w:style>
  <w:style w:type="paragraph" w:styleId="ListNumber5">
    <w:name w:val="List Number 5"/>
    <w:basedOn w:val="List5"/>
    <w:rsid w:val="00B93FE2"/>
    <w:pPr>
      <w:numPr>
        <w:numId w:val="7"/>
      </w:numPr>
    </w:pPr>
  </w:style>
  <w:style w:type="paragraph" w:styleId="BlockText">
    <w:name w:val="Block Text"/>
    <w:basedOn w:val="Normal"/>
    <w:rsid w:val="00B93FE2"/>
    <w:pPr>
      <w:spacing w:after="120"/>
      <w:ind w:left="1440" w:right="1440"/>
    </w:pPr>
  </w:style>
  <w:style w:type="character" w:customStyle="1" w:styleId="Subscript">
    <w:name w:val="Subscript"/>
    <w:basedOn w:val="DefaultParagraphFont"/>
    <w:rsid w:val="00B93FE2"/>
    <w:rPr>
      <w:sz w:val="16"/>
      <w:vertAlign w:val="subscript"/>
    </w:rPr>
  </w:style>
  <w:style w:type="character" w:customStyle="1" w:styleId="Superscript">
    <w:name w:val="Superscript"/>
    <w:basedOn w:val="DefaultParagraphFont"/>
    <w:rsid w:val="00B93FE2"/>
    <w:rPr>
      <w:sz w:val="16"/>
      <w:vertAlign w:val="superscript"/>
    </w:rPr>
  </w:style>
  <w:style w:type="character" w:customStyle="1" w:styleId="Symbols">
    <w:name w:val="Symbols"/>
    <w:basedOn w:val="DefaultParagraphFont"/>
    <w:rsid w:val="00B93FE2"/>
    <w:rPr>
      <w:rFonts w:ascii="Symbol" w:hAnsi="Symbol"/>
    </w:rPr>
  </w:style>
  <w:style w:type="character" w:customStyle="1" w:styleId="MenuOptions">
    <w:name w:val="Menu Options"/>
    <w:basedOn w:val="DefaultParagraphFont"/>
    <w:rsid w:val="00B93FE2"/>
    <w:rPr>
      <w:rFonts w:ascii="Arial Narrow" w:hAnsi="Arial Narrow"/>
      <w:smallCaps/>
    </w:rPr>
  </w:style>
  <w:style w:type="character" w:customStyle="1" w:styleId="Buttons">
    <w:name w:val="Buttons"/>
    <w:basedOn w:val="DefaultParagraphFont"/>
    <w:rsid w:val="00B93FE2"/>
    <w:rPr>
      <w:b/>
    </w:rPr>
  </w:style>
  <w:style w:type="character" w:customStyle="1" w:styleId="Underlined">
    <w:name w:val="Underlined"/>
    <w:basedOn w:val="DefaultParagraphFont"/>
    <w:rsid w:val="00B93FE2"/>
    <w:rPr>
      <w:u w:val="single"/>
    </w:rPr>
  </w:style>
  <w:style w:type="paragraph" w:customStyle="1" w:styleId="TableBodyTextRight">
    <w:name w:val="Table Body Text Right"/>
    <w:basedOn w:val="TableBodyText"/>
    <w:rsid w:val="00B93FE2"/>
    <w:pPr>
      <w:widowControl w:val="0"/>
      <w:autoSpaceDE w:val="0"/>
      <w:autoSpaceDN w:val="0"/>
      <w:adjustRightInd w:val="0"/>
      <w:jc w:val="right"/>
    </w:pPr>
    <w:rPr>
      <w:rFonts w:cs="Arial"/>
      <w:szCs w:val="18"/>
    </w:rPr>
  </w:style>
  <w:style w:type="paragraph" w:customStyle="1" w:styleId="CopyrightText">
    <w:name w:val="Copyright Text"/>
    <w:basedOn w:val="BodyText"/>
    <w:rsid w:val="00B93FE2"/>
    <w:rPr>
      <w:sz w:val="18"/>
    </w:rPr>
  </w:style>
  <w:style w:type="paragraph" w:customStyle="1" w:styleId="BodySmallRight">
    <w:name w:val="Body Small Right"/>
    <w:basedOn w:val="BodyTextRight"/>
    <w:rsid w:val="00B93FE2"/>
    <w:rPr>
      <w:sz w:val="18"/>
      <w:szCs w:val="18"/>
    </w:rPr>
  </w:style>
  <w:style w:type="paragraph" w:customStyle="1" w:styleId="MarginEdition">
    <w:name w:val="Margin Edition"/>
    <w:basedOn w:val="MarginNote"/>
    <w:rsid w:val="00B93FE2"/>
    <w:pPr>
      <w:spacing w:before="0" w:after="0"/>
    </w:pPr>
    <w:rPr>
      <w:rFonts w:ascii="Times New Roman" w:hAnsi="Times New Roman"/>
      <w:color w:val="999999"/>
    </w:rPr>
  </w:style>
  <w:style w:type="paragraph" w:customStyle="1" w:styleId="Spacer">
    <w:name w:val="Spacer"/>
    <w:basedOn w:val="Normal"/>
    <w:rsid w:val="00B93FE2"/>
    <w:rPr>
      <w:sz w:val="2"/>
      <w:szCs w:val="2"/>
    </w:rPr>
  </w:style>
  <w:style w:type="character" w:customStyle="1" w:styleId="Small">
    <w:name w:val="Small"/>
    <w:basedOn w:val="DefaultParagraphFont"/>
    <w:rsid w:val="00B93FE2"/>
    <w:rPr>
      <w:sz w:val="16"/>
    </w:rPr>
  </w:style>
  <w:style w:type="paragraph" w:customStyle="1" w:styleId="WideTable">
    <w:name w:val="Wide Table"/>
    <w:basedOn w:val="Normal"/>
    <w:rsid w:val="00B93FE2"/>
    <w:pPr>
      <w:ind w:left="-1418"/>
    </w:pPr>
    <w:rPr>
      <w:sz w:val="2"/>
      <w:szCs w:val="2"/>
    </w:rPr>
  </w:style>
  <w:style w:type="character" w:styleId="PageNumber">
    <w:name w:val="page number"/>
    <w:basedOn w:val="DefaultParagraphFont"/>
    <w:rsid w:val="00B93FE2"/>
  </w:style>
  <w:style w:type="paragraph" w:styleId="Quote">
    <w:name w:val="Quote"/>
    <w:basedOn w:val="Heading1"/>
    <w:link w:val="QuoteChar"/>
    <w:qFormat/>
    <w:rsid w:val="00B93FE2"/>
    <w:rPr>
      <w:b w:val="0"/>
      <w:sz w:val="72"/>
      <w:szCs w:val="72"/>
      <w:lang w:val="en-NZ"/>
    </w:rPr>
  </w:style>
  <w:style w:type="character" w:customStyle="1" w:styleId="QuoteChar">
    <w:name w:val="Quote Char"/>
    <w:basedOn w:val="DefaultParagraphFont"/>
    <w:link w:val="Quote"/>
    <w:rsid w:val="00B93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3FE2"/>
    <w:pPr>
      <w:pageBreakBefore/>
    </w:pPr>
  </w:style>
  <w:style w:type="paragraph" w:customStyle="1" w:styleId="Border">
    <w:name w:val="Border"/>
    <w:basedOn w:val="Normal"/>
    <w:qFormat/>
    <w:rsid w:val="00B93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3FE2"/>
    <w:rPr>
      <w:b/>
      <w:bCs/>
      <w:i/>
      <w:iCs/>
      <w:color w:val="auto"/>
    </w:rPr>
  </w:style>
  <w:style w:type="paragraph" w:styleId="IntenseQuote">
    <w:name w:val="Intense Quote"/>
    <w:basedOn w:val="Normal"/>
    <w:next w:val="Normal"/>
    <w:link w:val="IntenseQuoteChar"/>
    <w:uiPriority w:val="30"/>
    <w:qFormat/>
    <w:rsid w:val="00B93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3F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3FE2"/>
    <w:rPr>
      <w:smallCaps/>
      <w:color w:val="auto"/>
      <w:u w:val="single"/>
    </w:rPr>
  </w:style>
  <w:style w:type="character" w:styleId="IntenseReference">
    <w:name w:val="Intense Reference"/>
    <w:basedOn w:val="DefaultParagraphFont"/>
    <w:uiPriority w:val="32"/>
    <w:qFormat/>
    <w:rsid w:val="00B93FE2"/>
    <w:rPr>
      <w:b/>
      <w:bCs/>
      <w:smallCaps/>
      <w:color w:val="auto"/>
      <w:spacing w:val="5"/>
      <w:u w:val="single"/>
    </w:rPr>
  </w:style>
  <w:style w:type="paragraph" w:customStyle="1" w:styleId="2ColumnHeading">
    <w:name w:val="2Column Heading"/>
    <w:basedOn w:val="BodyText"/>
    <w:qFormat/>
    <w:rsid w:val="00B93FE2"/>
    <w:pPr>
      <w:spacing w:after="60"/>
      <w:ind w:left="-2268"/>
    </w:pPr>
    <w:rPr>
      <w:b/>
    </w:rPr>
  </w:style>
  <w:style w:type="paragraph" w:customStyle="1" w:styleId="Heading1TOC">
    <w:name w:val="Heading1 TOC"/>
    <w:basedOn w:val="Normal"/>
    <w:qFormat/>
    <w:rsid w:val="00B93FE2"/>
    <w:pPr>
      <w:spacing w:before="240" w:after="120"/>
    </w:pPr>
    <w:rPr>
      <w:rFonts w:ascii="Times New Roman" w:hAnsi="Times New Roman"/>
      <w:b/>
      <w:sz w:val="32"/>
    </w:rPr>
  </w:style>
  <w:style w:type="paragraph" w:customStyle="1" w:styleId="Heading2TOC">
    <w:name w:val="Heading2 TOC"/>
    <w:basedOn w:val="Normal"/>
    <w:qFormat/>
    <w:rsid w:val="00B93FE2"/>
    <w:pPr>
      <w:spacing w:before="240" w:after="60"/>
    </w:pPr>
    <w:rPr>
      <w:rFonts w:ascii="Times New Roman" w:hAnsi="Times New Roman"/>
      <w:b/>
      <w:sz w:val="28"/>
    </w:rPr>
  </w:style>
  <w:style w:type="character" w:customStyle="1" w:styleId="Underline">
    <w:name w:val="Underline"/>
    <w:basedOn w:val="DefaultParagraphFont"/>
    <w:qFormat/>
    <w:rsid w:val="00B93FE2"/>
    <w:rPr>
      <w:u w:val="single"/>
    </w:rPr>
  </w:style>
  <w:style w:type="paragraph" w:styleId="BalloonText">
    <w:name w:val="Balloon Text"/>
    <w:basedOn w:val="Normal"/>
    <w:link w:val="BalloonTextChar"/>
    <w:rsid w:val="00B93FE2"/>
    <w:rPr>
      <w:rFonts w:ascii="Tahoma" w:hAnsi="Tahoma" w:cs="Tahoma"/>
      <w:sz w:val="16"/>
      <w:szCs w:val="16"/>
    </w:rPr>
  </w:style>
  <w:style w:type="character" w:customStyle="1" w:styleId="BalloonTextChar">
    <w:name w:val="Balloon Text Char"/>
    <w:basedOn w:val="DefaultParagraphFont"/>
    <w:link w:val="BalloonText"/>
    <w:rsid w:val="00B93F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3F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3F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3FE2"/>
    <w:rPr>
      <w:b/>
      <w:color w:val="660033"/>
      <w:spacing w:val="0"/>
    </w:rPr>
  </w:style>
  <w:style w:type="paragraph" w:customStyle="1" w:styleId="Nameditemlist">
    <w:name w:val="Named item list"/>
    <w:basedOn w:val="BodyText"/>
    <w:qFormat/>
    <w:rsid w:val="00B93FE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1328</Words>
  <Characters>8237</Characters>
  <Application>Microsoft Office Word</Application>
  <DocSecurity>0</DocSecurity>
  <Lines>307</Lines>
  <Paragraphs>158</Paragraphs>
  <ScaleCrop>false</ScaleCrop>
  <Company>Author-it Software Corporation Ltd.</Company>
  <LinksUpToDate>false</LinksUpToDate>
  <CharactersWithSpaces>9490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ICTWOR3231A Resolve technical enquiries using multiple information systems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2012-10-05T10:12:00Z</dcterms:created>
  <dcterms:modified xsi:type="dcterms:W3CDTF">2012-10-05T10:12:00Z</dcterms:modified>
</cp:coreProperties>
</file>