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67B" w:rsidP="0093767B">
      <w:pPr>
        <w:pStyle w:val="Title"/>
      </w:pPr>
      <w:r>
        <w:fldChar w:fldCharType="begin"/>
      </w:r>
      <w:r>
        <w:instrText xml:space="preserve"> TITLE   \* MERGEFORMAT </w:instrText>
      </w:r>
      <w:r>
        <w:fldChar w:fldCharType="separate"/>
      </w:r>
      <w:r>
        <w:t>ICTTEN5084A Provide expert advice and support on complex faults</w:t>
      </w:r>
      <w:r>
        <w:fldChar w:fldCharType="end"/>
      </w:r>
    </w:p>
    <w:p w:rsidR="0093767B" w:rsidP="0093767B">
      <w:pPr>
        <w:pStyle w:val="Version"/>
        <w:sectPr w:rsidSect="00152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A21" w:rsidP="00152A21">
      <w:pPr>
        <w:pStyle w:val="SuperHeading"/>
      </w:pPr>
      <w:r w:rsidRPr="00152A21">
        <w:t>ICTTEN5084A Provide expert advice and support on complex faults</w:t>
      </w:r>
    </w:p>
    <w:p w:rsidR="00000000" w:rsidRPr="00152A21" w:rsidP="00152A21">
      <w:pPr>
        <w:pStyle w:val="Heading1"/>
      </w:pPr>
      <w:bookmarkStart w:id="1" w:name="O_271920"/>
      <w:bookmarkEnd w:id="1"/>
      <w:r w:rsidRPr="00152A21">
        <w:t>Modification History</w:t>
      </w:r>
    </w:p>
    <w:p w:rsidR="00000000" w:rsidRPr="00152A21" w:rsidP="00152A21">
      <w:pPr>
        <w:pStyle w:val="BodyText"/>
      </w:pPr>
      <w:r w:rsidRPr="00152A21">
        <w:t>Not Applicable</w:t>
      </w:r>
    </w:p>
    <w:p w:rsidR="00000000" w:rsidRPr="00152A21" w:rsidP="00152A21">
      <w:pPr>
        <w:pStyle w:val="AllowPageBreak"/>
      </w:pPr>
    </w:p>
    <w:p w:rsidR="00000000" w:rsidRPr="00152A21" w:rsidP="00152A21">
      <w:pPr>
        <w:pStyle w:val="Heading1"/>
      </w:pPr>
      <w:bookmarkStart w:id="2" w:name="O_209879"/>
      <w:bookmarkEnd w:id="2"/>
      <w:r w:rsidRPr="00152A21">
        <w:t>Unit Descriptor</w:t>
      </w:r>
    </w:p>
    <w:tbl>
      <w:tblPr>
        <w:tblW w:w="0" w:type="auto"/>
        <w:tblLayout w:type="fixed"/>
        <w:tblCellMar>
          <w:left w:w="62" w:type="dxa"/>
          <w:right w:w="62" w:type="dxa"/>
        </w:tblCellMar>
        <w:tblLook w:val="0000"/>
      </w:tblPr>
      <w:tblGrid>
        <w:gridCol w:w="2663"/>
        <w:gridCol w:w="5859"/>
      </w:tblGrid>
      <w:tr w:rsidTr="0093767B">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 xml:space="preserve">This unit describes the performance outcomes, skills and knowledge required to provide </w:t>
            </w:r>
            <w:r w:rsidRPr="00152A21">
              <w:t>expert advice and support on complex faults on cabling and customer premises equipment (CPE).</w:t>
            </w:r>
          </w:p>
          <w:p w:rsidR="00000000" w:rsidRPr="00152A21" w:rsidP="00152A21">
            <w:pPr>
              <w:pStyle w:val="BodyText"/>
            </w:pPr>
          </w:p>
          <w:p w:rsidR="00000000" w:rsidRPr="00152A21" w:rsidP="00152A21">
            <w:pPr>
              <w:pStyle w:val="BodyText"/>
            </w:pPr>
            <w:r w:rsidRPr="00152A21">
              <w:t>It involves a methodical approach to the diagnosis of complex faults and organising repair or replacement of defective parts or equipment.</w:t>
            </w:r>
          </w:p>
          <w:p w:rsidR="00000000" w:rsidRPr="00152A21" w:rsidP="00152A21">
            <w:pPr>
              <w:pStyle w:val="BodyText"/>
            </w:pPr>
          </w:p>
          <w:p w:rsidR="00000000" w:rsidRPr="00152A21" w:rsidP="00152A21">
            <w:pPr>
              <w:pStyle w:val="BodyText"/>
            </w:pPr>
            <w:r w:rsidRPr="00152A21">
              <w:t>No licensing, legislative, regulatory or certification requirements apply to this unit at the time of endorsement but users should confirm requirements with the relevant federal, state or territory authority.</w:t>
            </w:r>
          </w:p>
        </w:tc>
      </w:tr>
    </w:tbl>
    <w:p w:rsidR="0093767B" w:rsidP="00152A21">
      <w:pPr>
        <w:pStyle w:val="BodyText"/>
      </w:pPr>
    </w:p>
    <w:p w:rsidR="0093767B" w:rsidP="00152A21">
      <w:pPr>
        <w:pStyle w:val="BodyText"/>
      </w:pPr>
    </w:p>
    <w:p w:rsidR="00000000" w:rsidRPr="00152A21" w:rsidP="00152A21">
      <w:pPr>
        <w:pStyle w:val="Heading1"/>
      </w:pPr>
      <w:bookmarkStart w:id="3" w:name="O_209883"/>
      <w:bookmarkEnd w:id="3"/>
      <w:r w:rsidRPr="00152A21">
        <w:t>Application of the Unit</w:t>
      </w:r>
    </w:p>
    <w:tbl>
      <w:tblPr>
        <w:tblW w:w="0" w:type="auto"/>
        <w:tblLayout w:type="fixed"/>
        <w:tblCellMar>
          <w:left w:w="62" w:type="dxa"/>
          <w:right w:w="62" w:type="dxa"/>
        </w:tblCellMar>
        <w:tblLook w:val="0000"/>
      </w:tblPr>
      <w:tblGrid>
        <w:gridCol w:w="2735"/>
        <w:gridCol w:w="5787"/>
      </w:tblGrid>
      <w:tr w:rsidTr="0093767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App</w:t>
            </w:r>
            <w:r w:rsidRPr="00152A21">
              <w:rPr>
                <w:rStyle w:val="SpecialBold"/>
              </w:rPr>
              <w:t>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Telecommunications officers, installers, maintenance staff and manufacturer or equipment specialists apply the skills and knowledge in this unit. This unit may be applied by those in advisory roles and technical rectification roles.</w:t>
            </w:r>
          </w:p>
          <w:p w:rsidR="00000000" w:rsidRPr="00152A21" w:rsidP="00152A21">
            <w:pPr>
              <w:pStyle w:val="BodyText"/>
            </w:pPr>
          </w:p>
          <w:p w:rsidR="00000000" w:rsidRPr="00152A21" w:rsidP="00152A21">
            <w:pPr>
              <w:pStyle w:val="BodyText"/>
            </w:pPr>
            <w:r w:rsidRPr="00152A21">
              <w:t>N</w:t>
            </w:r>
            <w:r w:rsidRPr="00152A21">
              <w:t>etworks include cabling, CPE, Access, telephony, broadband deployment, local area networks (LAN), wide area networks (WAN) and internet protocol (IP) networks for enterprise and customer systems and installations.</w:t>
            </w:r>
          </w:p>
          <w:p w:rsidR="00000000" w:rsidRPr="00152A21" w:rsidP="00152A21">
            <w:pPr>
              <w:pStyle w:val="BodyText"/>
            </w:pPr>
          </w:p>
          <w:p w:rsidR="00000000" w:rsidRPr="00152A21" w:rsidP="00152A21">
            <w:pPr>
              <w:pStyle w:val="BodyText"/>
            </w:pPr>
            <w:r w:rsidRPr="00152A21">
              <w:t>This unit may be applied to domestic, com</w:t>
            </w:r>
            <w:r w:rsidRPr="00152A21">
              <w:t>mercial or industrial installations.</w:t>
            </w:r>
          </w:p>
        </w:tc>
      </w:tr>
    </w:tbl>
    <w:p w:rsidR="0093767B" w:rsidP="00152A21">
      <w:pPr>
        <w:pStyle w:val="BodyText"/>
      </w:pPr>
    </w:p>
    <w:p w:rsidR="0093767B" w:rsidP="00152A21">
      <w:pPr>
        <w:pStyle w:val="BodyText"/>
      </w:pPr>
    </w:p>
    <w:p w:rsidR="00000000" w:rsidRPr="00152A21" w:rsidP="00152A21">
      <w:pPr>
        <w:pStyle w:val="Heading1"/>
      </w:pPr>
      <w:bookmarkStart w:id="4" w:name="O_280180"/>
      <w:bookmarkEnd w:id="4"/>
      <w:r w:rsidRPr="00152A21">
        <w:t>Licensing/Regulatory Information</w:t>
      </w:r>
    </w:p>
    <w:p w:rsidR="00000000" w:rsidRPr="00152A21" w:rsidP="00152A21">
      <w:pPr>
        <w:pStyle w:val="BodyText"/>
      </w:pPr>
      <w:r w:rsidRPr="00152A21">
        <w:t>Refer to Unit Descriptor</w:t>
      </w:r>
    </w:p>
    <w:p w:rsidR="00000000" w:rsidRPr="00152A21" w:rsidP="00152A21">
      <w:pPr>
        <w:pStyle w:val="AllowPageBreak"/>
      </w:pPr>
    </w:p>
    <w:p w:rsidR="00000000" w:rsidRPr="00152A21" w:rsidP="00152A21">
      <w:pPr>
        <w:pStyle w:val="Heading1"/>
      </w:pPr>
      <w:bookmarkStart w:id="5" w:name="O_209881"/>
      <w:bookmarkEnd w:id="5"/>
      <w:r w:rsidRPr="00152A21">
        <w:t>Pre-Requisites</w:t>
      </w:r>
    </w:p>
    <w:tbl>
      <w:tblPr>
        <w:tblW w:w="0" w:type="auto"/>
        <w:tblLayout w:type="fixed"/>
        <w:tblCellMar>
          <w:left w:w="62" w:type="dxa"/>
          <w:right w:w="62" w:type="dxa"/>
        </w:tblCellMar>
        <w:tblLook w:val="0000"/>
      </w:tblPr>
      <w:tblGrid>
        <w:gridCol w:w="2775"/>
        <w:gridCol w:w="1295"/>
        <w:gridCol w:w="4452"/>
      </w:tblGrid>
      <w:tr w:rsidTr="009376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p>
        </w:tc>
      </w:tr>
      <w:tr w:rsidTr="00937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p>
        </w:tc>
      </w:tr>
      <w:tr w:rsidTr="00937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p>
        </w:tc>
      </w:tr>
    </w:tbl>
    <w:p w:rsidR="0093767B" w:rsidP="00152A21">
      <w:pPr>
        <w:pStyle w:val="BodyText"/>
      </w:pPr>
    </w:p>
    <w:p w:rsidR="0093767B" w:rsidP="00152A21">
      <w:pPr>
        <w:pStyle w:val="BodyText"/>
      </w:pPr>
    </w:p>
    <w:p w:rsidR="00000000" w:rsidRPr="00152A21" w:rsidP="00152A21">
      <w:pPr>
        <w:pStyle w:val="Heading1"/>
      </w:pPr>
      <w:bookmarkStart w:id="6" w:name="O_209880"/>
      <w:bookmarkEnd w:id="6"/>
      <w:r w:rsidRPr="00152A21">
        <w:t>Employability Skills Information</w:t>
      </w:r>
    </w:p>
    <w:tbl>
      <w:tblPr>
        <w:tblW w:w="0" w:type="auto"/>
        <w:tblLayout w:type="fixed"/>
        <w:tblCellMar>
          <w:left w:w="62" w:type="dxa"/>
          <w:right w:w="62" w:type="dxa"/>
        </w:tblCellMar>
        <w:tblLook w:val="0000"/>
      </w:tblPr>
      <w:tblGrid>
        <w:gridCol w:w="2802"/>
        <w:gridCol w:w="5720"/>
      </w:tblGrid>
      <w:tr w:rsidTr="009376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T</w:t>
            </w:r>
            <w:r w:rsidRPr="00152A21">
              <w:t>his unit contains employability skills.</w:t>
            </w:r>
          </w:p>
        </w:tc>
      </w:tr>
    </w:tbl>
    <w:p w:rsidR="0093767B" w:rsidP="00152A21">
      <w:pPr>
        <w:pStyle w:val="BodyText"/>
      </w:pPr>
    </w:p>
    <w:p w:rsidR="0093767B" w:rsidP="00152A21">
      <w:pPr>
        <w:pStyle w:val="BodyText"/>
      </w:pPr>
    </w:p>
    <w:p w:rsidR="00000000" w:rsidRPr="00152A21" w:rsidP="00152A21">
      <w:pPr>
        <w:pStyle w:val="Heading1"/>
      </w:pPr>
      <w:bookmarkStart w:id="7" w:name="O_289966"/>
      <w:bookmarkEnd w:id="7"/>
      <w:r w:rsidRPr="00152A21">
        <w:t>Elements and Performance Criteria Pre-Content</w:t>
      </w:r>
    </w:p>
    <w:tbl>
      <w:tblPr>
        <w:tblW w:w="0" w:type="auto"/>
        <w:tblLayout w:type="fixed"/>
        <w:tblCellMar>
          <w:left w:w="62" w:type="dxa"/>
          <w:right w:w="62" w:type="dxa"/>
        </w:tblCellMar>
        <w:tblLook w:val="0000"/>
      </w:tblPr>
      <w:tblGrid>
        <w:gridCol w:w="2570"/>
        <w:gridCol w:w="5952"/>
      </w:tblGrid>
      <w:tr w:rsidTr="00937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Performance criteria describe the performance needed to demonstrate achievement of t</w:t>
            </w:r>
            <w:r w:rsidRPr="00152A21">
              <w:t>he element. Where bold italicised text is used, further information is detailed in the required skills and knowledge section and the range statement. Assessment of performance is to be consistent with the evidence guide.</w:t>
            </w:r>
          </w:p>
        </w:tc>
      </w:tr>
    </w:tbl>
    <w:p w:rsidR="00000000" w:rsidRPr="00152A21" w:rsidP="00152A21">
      <w:pPr>
        <w:pStyle w:val="BodyText"/>
      </w:pPr>
    </w:p>
    <w:p w:rsidR="00000000" w:rsidRPr="00152A21" w:rsidP="00152A21">
      <w:pPr>
        <w:pStyle w:val="AllowPageBreak"/>
      </w:pPr>
    </w:p>
    <w:p w:rsidR="00000000" w:rsidRPr="00152A21" w:rsidP="00152A21">
      <w:pPr>
        <w:pStyle w:val="Heading1"/>
      </w:pPr>
      <w:bookmarkStart w:id="8" w:name="O_236633"/>
      <w:bookmarkEnd w:id="8"/>
      <w:r w:rsidRPr="00152A21">
        <w:t>Elements and Performance Criteria</w:t>
      </w:r>
    </w:p>
    <w:tbl>
      <w:tblPr>
        <w:tblW w:w="0" w:type="auto"/>
        <w:tblLayout w:type="fixed"/>
        <w:tblCellMar>
          <w:left w:w="62" w:type="dxa"/>
          <w:right w:w="62" w:type="dxa"/>
        </w:tblCellMar>
        <w:tblLook w:val="0000"/>
      </w:tblPr>
      <w:tblGrid>
        <w:gridCol w:w="2570"/>
        <w:gridCol w:w="5952"/>
      </w:tblGrid>
      <w:tr w:rsidTr="0093767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PERFORMANCE CRITERIA</w:t>
            </w:r>
          </w:p>
        </w:tc>
      </w:tr>
      <w:tr w:rsidTr="00937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List"/>
              <w:rPr>
                <w:lang w:val="en-NZ"/>
              </w:rPr>
            </w:pPr>
            <w:r w:rsidRPr="00152A21">
              <w:t>1.</w:t>
            </w:r>
            <w:r w:rsidRPr="00152A21">
              <w:tab/>
              <w:t>Establish background information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2"/>
            </w:pPr>
            <w:r w:rsidRPr="00152A21">
              <w:t>1.1.</w:t>
            </w:r>
            <w:r w:rsidRPr="00152A21">
              <w:tab/>
              <w:t xml:space="preserve">Notify </w:t>
            </w:r>
            <w:r w:rsidRPr="00152A21">
              <w:rPr>
                <w:rStyle w:val="BoldandItalics"/>
              </w:rPr>
              <w:t>client</w:t>
            </w:r>
            <w:r w:rsidRPr="00152A21">
              <w:t xml:space="preserve"> to identify </w:t>
            </w:r>
            <w:r w:rsidRPr="00152A21">
              <w:rPr>
                <w:rStyle w:val="BoldandItalics"/>
              </w:rPr>
              <w:t>type of fault</w:t>
            </w:r>
            <w:r w:rsidRPr="00152A21">
              <w:t xml:space="preserve"> and occurrence</w:t>
            </w:r>
          </w:p>
          <w:p w:rsidR="00000000" w:rsidRPr="00152A21" w:rsidP="00152A21">
            <w:pPr>
              <w:pStyle w:val="List2"/>
            </w:pPr>
            <w:r w:rsidRPr="00152A21">
              <w:t>1.2.</w:t>
            </w:r>
            <w:r w:rsidRPr="00152A21">
              <w:tab/>
              <w:t>Obtain report of any action taken by first fault repairer and subsequent result</w:t>
            </w:r>
          </w:p>
          <w:p w:rsidR="00000000" w:rsidRPr="00152A21" w:rsidP="00152A21">
            <w:pPr>
              <w:pStyle w:val="List2"/>
            </w:pPr>
            <w:r w:rsidRPr="00152A21">
              <w:t>1.3.</w:t>
            </w:r>
            <w:r w:rsidRPr="00152A21">
              <w:tab/>
              <w:t>Analys</w:t>
            </w:r>
            <w:r w:rsidRPr="00152A21">
              <w:t xml:space="preserve">e fault history in order to establish any </w:t>
            </w:r>
            <w:r w:rsidRPr="00152A21">
              <w:rPr>
                <w:rStyle w:val="BoldandItalics"/>
              </w:rPr>
              <w:t>fault patterns</w:t>
            </w:r>
            <w:r w:rsidRPr="00152A21">
              <w:t xml:space="preserve"> including questioning personnel involved in </w:t>
            </w:r>
            <w:r w:rsidRPr="00152A21">
              <w:rPr>
                <w:rStyle w:val="BoldandItalics"/>
              </w:rPr>
              <w:t>previous fault repair</w:t>
            </w:r>
            <w:r w:rsidRPr="00152A21">
              <w:t xml:space="preserve"> if relevant</w:t>
            </w:r>
          </w:p>
          <w:p w:rsidR="00000000" w:rsidRPr="00152A21" w:rsidP="00152A21">
            <w:pPr>
              <w:pStyle w:val="List2"/>
            </w:pPr>
            <w:r w:rsidRPr="00152A21">
              <w:t>1.4.</w:t>
            </w:r>
            <w:r w:rsidRPr="00152A21">
              <w:tab/>
              <w:t xml:space="preserve">Develop strategies for identification and repair using advice from </w:t>
            </w:r>
            <w:r w:rsidRPr="00152A21">
              <w:rPr>
                <w:rStyle w:val="BoldandItalics"/>
              </w:rPr>
              <w:t>other engineering and technical personnel</w:t>
            </w:r>
          </w:p>
          <w:p w:rsidR="00000000" w:rsidRPr="00152A21" w:rsidP="00152A21">
            <w:pPr>
              <w:pStyle w:val="List2"/>
            </w:pPr>
            <w:r w:rsidRPr="00152A21">
              <w:t>1.5.</w:t>
            </w:r>
            <w:r w:rsidRPr="00152A21">
              <w:tab/>
            </w:r>
            <w:r w:rsidRPr="00152A21">
              <w:t xml:space="preserve">Refer to </w:t>
            </w:r>
            <w:r w:rsidRPr="00152A21">
              <w:rPr>
                <w:rStyle w:val="BoldandItalics"/>
              </w:rPr>
              <w:t>relevant legislation</w:t>
            </w:r>
            <w:r w:rsidRPr="00152A21">
              <w:t xml:space="preserve">, </w:t>
            </w:r>
            <w:r w:rsidRPr="00152A21">
              <w:rPr>
                <w:rStyle w:val="BoldandItalics"/>
              </w:rPr>
              <w:t>codes</w:t>
            </w:r>
            <w:r w:rsidRPr="00152A21">
              <w:t xml:space="preserve">, </w:t>
            </w:r>
            <w:r w:rsidRPr="00152A21">
              <w:rPr>
                <w:rStyle w:val="BoldandItalics"/>
              </w:rPr>
              <w:t>regulations and standards</w:t>
            </w:r>
            <w:r w:rsidRPr="00152A21">
              <w:t xml:space="preserve"> relating to repair</w:t>
            </w:r>
          </w:p>
          <w:p w:rsidR="00000000" w:rsidP="00152A21">
            <w:pPr>
              <w:pStyle w:val="List2"/>
              <w:rPr>
                <w:lang w:val="en-NZ"/>
              </w:rPr>
            </w:pPr>
            <w:r w:rsidRPr="00152A21">
              <w:t>1.6.</w:t>
            </w:r>
            <w:r w:rsidRPr="00152A21">
              <w:tab/>
              <w:t>Inform customer of issues and possible solutions</w:t>
            </w:r>
          </w:p>
        </w:tc>
      </w:tr>
      <w:tr w:rsidTr="00937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List"/>
              <w:rPr>
                <w:lang w:val="en-NZ"/>
              </w:rPr>
            </w:pPr>
            <w:r w:rsidRPr="00152A21">
              <w:t>2.</w:t>
            </w:r>
            <w:r w:rsidRPr="00152A21">
              <w:tab/>
              <w:t>Undertake fault diagnostic</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2"/>
            </w:pPr>
            <w:r w:rsidRPr="00152A21">
              <w:t>2.1.</w:t>
            </w:r>
            <w:r w:rsidRPr="00152A21">
              <w:tab/>
              <w:t xml:space="preserve">Isolate fault progressively using a </w:t>
            </w:r>
            <w:r w:rsidRPr="00152A21">
              <w:rPr>
                <w:rStyle w:val="BoldandItalics"/>
              </w:rPr>
              <w:t>fault identification</w:t>
            </w:r>
            <w:r w:rsidRPr="00152A21">
              <w:t xml:space="preserve"> </w:t>
            </w:r>
            <w:r w:rsidRPr="00152A21">
              <w:rPr>
                <w:rStyle w:val="BoldandItalics"/>
              </w:rPr>
              <w:t>approach</w:t>
            </w:r>
            <w:r w:rsidRPr="00152A21">
              <w:t xml:space="preserve"> to remove likely </w:t>
            </w:r>
            <w:r w:rsidRPr="00152A21">
              <w:t>variables from assessment</w:t>
            </w:r>
          </w:p>
          <w:p w:rsidR="00000000" w:rsidRPr="00152A21" w:rsidP="00152A21">
            <w:pPr>
              <w:pStyle w:val="List2"/>
            </w:pPr>
            <w:r w:rsidRPr="00152A21">
              <w:t>2.2.</w:t>
            </w:r>
            <w:r w:rsidRPr="00152A21">
              <w:tab/>
            </w:r>
            <w:r w:rsidRPr="00152A21">
              <w:rPr>
                <w:rStyle w:val="BoldandItalics"/>
              </w:rPr>
              <w:t>Identify fault</w:t>
            </w:r>
            <w:r w:rsidRPr="00152A21">
              <w:t xml:space="preserve"> in the shortest time possible or escalate to appropriate level</w:t>
            </w:r>
          </w:p>
          <w:p w:rsidR="00000000" w:rsidP="00152A21">
            <w:pPr>
              <w:pStyle w:val="List2"/>
              <w:rPr>
                <w:lang w:val="en-NZ"/>
              </w:rPr>
            </w:pPr>
            <w:r w:rsidRPr="00152A21">
              <w:t>2.3.</w:t>
            </w:r>
            <w:r w:rsidRPr="00152A21">
              <w:tab/>
              <w:t>Seek back up support from the product manufacturer when required</w:t>
            </w:r>
          </w:p>
        </w:tc>
      </w:tr>
      <w:tr w:rsidTr="00937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List"/>
              <w:rPr>
                <w:lang w:val="en-NZ"/>
              </w:rPr>
            </w:pPr>
            <w:r w:rsidRPr="00152A21">
              <w:t>3.</w:t>
            </w:r>
            <w:r w:rsidRPr="00152A21">
              <w:tab/>
              <w:t>Organise fault rectification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2"/>
            </w:pPr>
            <w:r w:rsidRPr="00152A21">
              <w:t>3.1.</w:t>
            </w:r>
            <w:r w:rsidRPr="00152A21">
              <w:tab/>
              <w:t xml:space="preserve">Determine options to </w:t>
            </w:r>
            <w:r w:rsidRPr="00152A21">
              <w:rPr>
                <w:rStyle w:val="BoldandItalics"/>
              </w:rPr>
              <w:t>rectify fault</w:t>
            </w:r>
            <w:r w:rsidRPr="00152A21">
              <w:t>, inc</w:t>
            </w:r>
            <w:r w:rsidRPr="00152A21">
              <w:t>luding any downtime and present to customer for decision</w:t>
            </w:r>
          </w:p>
          <w:p w:rsidR="00000000" w:rsidRPr="00152A21" w:rsidP="00152A21">
            <w:pPr>
              <w:pStyle w:val="List2"/>
            </w:pPr>
            <w:r w:rsidRPr="00152A21">
              <w:t>3.2.</w:t>
            </w:r>
            <w:r w:rsidRPr="00152A21">
              <w:tab/>
              <w:t>Replace or repair defective parts or equipment according to service agreement</w:t>
            </w:r>
          </w:p>
          <w:p w:rsidR="00000000" w:rsidRPr="00152A21" w:rsidP="00152A21">
            <w:pPr>
              <w:pStyle w:val="List2"/>
            </w:pPr>
            <w:r w:rsidRPr="00152A21">
              <w:t>3.3.</w:t>
            </w:r>
            <w:r w:rsidRPr="00152A21">
              <w:tab/>
              <w:t>Reprogram equipment as required</w:t>
            </w:r>
          </w:p>
          <w:p w:rsidR="00000000" w:rsidRPr="00152A21" w:rsidP="00152A21">
            <w:pPr>
              <w:pStyle w:val="List2"/>
            </w:pPr>
            <w:r w:rsidRPr="00152A21">
              <w:t>3.4.</w:t>
            </w:r>
            <w:r w:rsidRPr="00152A21">
              <w:tab/>
              <w:t>Complete work in a manner which is safe both to the repairer and to the cu</w:t>
            </w:r>
            <w:r w:rsidRPr="00152A21">
              <w:t>stomer</w:t>
            </w:r>
          </w:p>
          <w:p w:rsidR="00000000" w:rsidRPr="00152A21" w:rsidP="00152A21">
            <w:pPr>
              <w:pStyle w:val="List2"/>
            </w:pPr>
            <w:r w:rsidRPr="00152A21">
              <w:t>3.5.</w:t>
            </w:r>
            <w:r w:rsidRPr="00152A21">
              <w:tab/>
              <w:t>Dismantle and remove temporary service in a safe and efficient manner where appropriate</w:t>
            </w:r>
          </w:p>
          <w:p w:rsidR="00000000" w:rsidP="00152A21">
            <w:pPr>
              <w:pStyle w:val="List2"/>
              <w:rPr>
                <w:lang w:val="en-NZ"/>
              </w:rPr>
            </w:pPr>
            <w:r w:rsidRPr="00152A21">
              <w:t>3.6.</w:t>
            </w:r>
            <w:r w:rsidRPr="00152A21">
              <w:tab/>
              <w:t>Provide on site repair staff with clear and precise instructions on fault rectification where appropriate</w:t>
            </w:r>
          </w:p>
        </w:tc>
      </w:tr>
      <w:tr w:rsidTr="00937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List"/>
              <w:rPr>
                <w:lang w:val="en-NZ"/>
              </w:rPr>
            </w:pPr>
            <w:r w:rsidRPr="00152A21">
              <w:t>4.</w:t>
            </w:r>
            <w:r w:rsidRPr="00152A21">
              <w:tab/>
              <w:t>Document fault details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2"/>
            </w:pPr>
            <w:r w:rsidRPr="00152A21">
              <w:t>4.1.</w:t>
            </w:r>
            <w:r w:rsidRPr="00152A21">
              <w:tab/>
              <w:t>Record detail</w:t>
            </w:r>
            <w:r w:rsidRPr="00152A21">
              <w:t>s of fault and actions taken to both find and repair and store for future reference</w:t>
            </w:r>
          </w:p>
          <w:p w:rsidR="00000000" w:rsidRPr="00152A21" w:rsidP="00152A21">
            <w:pPr>
              <w:pStyle w:val="List2"/>
            </w:pPr>
            <w:r w:rsidRPr="00152A21">
              <w:t>4.2.</w:t>
            </w:r>
            <w:r w:rsidRPr="00152A21">
              <w:tab/>
              <w:t>Advise product manufacturer of fault and repair details if applicable</w:t>
            </w:r>
          </w:p>
          <w:p w:rsidR="00000000" w:rsidRPr="00152A21" w:rsidP="00152A21">
            <w:pPr>
              <w:pStyle w:val="List2"/>
            </w:pPr>
            <w:r w:rsidRPr="00152A21">
              <w:t>4.3.</w:t>
            </w:r>
            <w:r w:rsidRPr="00152A21">
              <w:tab/>
              <w:t>Recommend changes to product/product model design where appropriate</w:t>
            </w:r>
          </w:p>
          <w:p w:rsidR="00000000" w:rsidRPr="00152A21" w:rsidP="00152A21">
            <w:pPr>
              <w:pStyle w:val="List2"/>
            </w:pPr>
            <w:r w:rsidRPr="00152A21">
              <w:t>4.4.</w:t>
            </w:r>
            <w:r w:rsidRPr="00152A21">
              <w:tab/>
            </w:r>
            <w:r w:rsidRPr="00152A21">
              <w:t>Advise client and obtain sign off</w:t>
            </w:r>
          </w:p>
        </w:tc>
      </w:tr>
    </w:tbl>
    <w:p w:rsidR="0093767B" w:rsidP="00152A21">
      <w:pPr>
        <w:pStyle w:val="BodyText"/>
      </w:pPr>
    </w:p>
    <w:p w:rsidR="0093767B" w:rsidP="00152A21">
      <w:pPr>
        <w:pStyle w:val="BodyText"/>
      </w:pPr>
    </w:p>
    <w:p w:rsidR="00000000" w:rsidRPr="00152A21" w:rsidP="00152A21">
      <w:pPr>
        <w:pStyle w:val="Heading1"/>
      </w:pPr>
      <w:bookmarkStart w:id="9" w:name="O_260583"/>
      <w:bookmarkEnd w:id="9"/>
      <w:r w:rsidRPr="00152A21">
        <w:t>Required Skills and Knowledge</w:t>
      </w:r>
    </w:p>
    <w:tbl>
      <w:tblPr>
        <w:tblW w:w="0" w:type="auto"/>
        <w:tblLayout w:type="fixed"/>
        <w:tblCellMar>
          <w:left w:w="62" w:type="dxa"/>
          <w:right w:w="62" w:type="dxa"/>
        </w:tblCellMar>
        <w:tblLook w:val="0000"/>
      </w:tblPr>
      <w:tblGrid>
        <w:gridCol w:w="8522"/>
      </w:tblGrid>
      <w:tr w:rsidTr="009376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REQUIRED SKILLS AND KNOWLEDGE</w:t>
            </w:r>
          </w:p>
        </w:tc>
      </w:tr>
      <w:tr w:rsidTr="009376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t>This section describes the skills and knowledge required for this unit.</w:t>
            </w:r>
          </w:p>
        </w:tc>
      </w:tr>
      <w:tr w:rsidTr="0093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Required skills</w:t>
            </w:r>
          </w:p>
        </w:tc>
      </w:tr>
      <w:tr w:rsidTr="0093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communication skills to liaise with internal and external personnel on technical and operational matters</w:t>
            </w:r>
          </w:p>
          <w:p w:rsidR="00000000" w:rsidRPr="00152A21" w:rsidP="00152A21">
            <w:pPr>
              <w:pStyle w:val="ListBullet"/>
            </w:pPr>
            <w:r w:rsidRPr="00152A21">
              <w:t>literacy skills to interpret technical documentation, equipment manuals and specifications</w:t>
            </w:r>
          </w:p>
          <w:p w:rsidR="00000000" w:rsidRPr="00152A21" w:rsidP="00152A21">
            <w:pPr>
              <w:pStyle w:val="ListBullet"/>
            </w:pPr>
            <w:r w:rsidRPr="00152A21">
              <w:t>numeracy skills to take and analyse measurements</w:t>
            </w:r>
          </w:p>
          <w:p w:rsidR="00000000" w:rsidRPr="00152A21" w:rsidP="00152A21">
            <w:pPr>
              <w:pStyle w:val="ListBullet"/>
            </w:pPr>
            <w:r w:rsidRPr="00152A21">
              <w:t>planning and organisational skills to organise and maintain equipment</w:t>
            </w:r>
          </w:p>
          <w:p w:rsidR="00000000" w:rsidRPr="00152A21" w:rsidP="00152A21">
            <w:pPr>
              <w:pStyle w:val="ListBullet"/>
            </w:pPr>
            <w:r w:rsidRPr="00152A21">
              <w:t>problem solving skills to solve equipment and logistics problems</w:t>
            </w:r>
          </w:p>
          <w:p w:rsidR="00000000" w:rsidRPr="00152A21" w:rsidP="00152A21">
            <w:pPr>
              <w:pStyle w:val="ListBullet"/>
            </w:pPr>
            <w:r w:rsidRPr="00152A21">
              <w:t>task management skills to work systematically with required attention to detail and adherence to all safety requirements</w:t>
            </w:r>
          </w:p>
          <w:p w:rsidR="00000000" w:rsidRPr="00152A21" w:rsidP="00152A21">
            <w:pPr>
              <w:pStyle w:val="ListBullet"/>
            </w:pPr>
            <w:r w:rsidRPr="00152A21">
              <w:t>technical skills to:</w:t>
            </w:r>
          </w:p>
          <w:p w:rsidR="00000000" w:rsidRPr="00152A21" w:rsidP="00152A21">
            <w:pPr>
              <w:pStyle w:val="ListBullet2"/>
            </w:pPr>
            <w:r w:rsidRPr="00152A21">
              <w:t>interpret drawings related to customer's telecommunications equipment</w:t>
            </w:r>
          </w:p>
          <w:p w:rsidR="00000000" w:rsidRPr="00152A21" w:rsidP="00152A21">
            <w:pPr>
              <w:pStyle w:val="ListBullet2"/>
            </w:pPr>
            <w:r w:rsidRPr="00152A21">
              <w:t>provide expert advice on fault clearance</w:t>
            </w:r>
          </w:p>
          <w:p w:rsidR="00000000" w:rsidRPr="00152A21" w:rsidP="00152A21">
            <w:pPr>
              <w:pStyle w:val="ListBullet2"/>
            </w:pPr>
            <w:r w:rsidRPr="00152A21">
              <w:t>use databases</w:t>
            </w:r>
          </w:p>
          <w:p w:rsidR="00000000" w:rsidP="00152A21">
            <w:pPr>
              <w:pStyle w:val="ListBullet2"/>
              <w:rPr>
                <w:lang w:val="en-NZ"/>
              </w:rPr>
            </w:pPr>
            <w:r w:rsidRPr="00152A21">
              <w:t xml:space="preserve">use diagnostic equipment </w:t>
            </w:r>
          </w:p>
        </w:tc>
      </w:tr>
      <w:tr w:rsidTr="0093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Required knowledge</w:t>
            </w:r>
          </w:p>
        </w:tc>
      </w:tr>
      <w:tr w:rsidTr="00937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features and operating requirements of test equipment</w:t>
            </w:r>
          </w:p>
          <w:p w:rsidR="00000000" w:rsidRPr="00152A21" w:rsidP="00152A21">
            <w:pPr>
              <w:pStyle w:val="ListBullet"/>
            </w:pPr>
            <w:r w:rsidRPr="00152A21">
              <w:t>information required to operate remote diagnostic equipment according to a test specification</w:t>
            </w:r>
          </w:p>
          <w:p w:rsidR="00000000" w:rsidRPr="00152A21" w:rsidP="00152A21">
            <w:pPr>
              <w:pStyle w:val="ListBullet"/>
            </w:pPr>
            <w:r w:rsidRPr="00152A21">
              <w:t>legislation, codes of practice and other formal agreements that impact on the work activity</w:t>
            </w:r>
          </w:p>
          <w:p w:rsidR="00000000" w:rsidRPr="00152A21" w:rsidP="00152A21">
            <w:pPr>
              <w:pStyle w:val="ListBullet"/>
            </w:pPr>
            <w:r w:rsidRPr="00152A21">
              <w:t>manufacturer's requirements for effective operation of equipment</w:t>
            </w:r>
          </w:p>
          <w:p w:rsidR="00000000" w:rsidRPr="00152A21" w:rsidP="00152A21">
            <w:pPr>
              <w:pStyle w:val="ListBullet"/>
            </w:pPr>
            <w:r w:rsidRPr="00152A21">
              <w:t>speci</w:t>
            </w:r>
            <w:r w:rsidRPr="00152A21">
              <w:t>fic occupational health and safety (OHS) requirements relating to the activity and site conditions</w:t>
            </w:r>
          </w:p>
          <w:p w:rsidR="00000000" w:rsidRPr="00152A21" w:rsidP="00152A21">
            <w:pPr>
              <w:pStyle w:val="ListBullet"/>
            </w:pPr>
            <w:r w:rsidRPr="00152A21">
              <w:t>test methods and performance requirements</w:t>
            </w:r>
          </w:p>
          <w:p w:rsidR="00000000" w:rsidRPr="00152A21" w:rsidP="00152A21">
            <w:pPr>
              <w:pStyle w:val="ListBullet"/>
            </w:pPr>
            <w:r w:rsidRPr="00152A21">
              <w:t>typical issues and challenges that occur on site</w:t>
            </w:r>
          </w:p>
        </w:tc>
      </w:tr>
    </w:tbl>
    <w:p w:rsidR="0093767B" w:rsidP="00152A21">
      <w:pPr>
        <w:pStyle w:val="BodyText"/>
      </w:pPr>
    </w:p>
    <w:p w:rsidR="0093767B" w:rsidP="00152A21">
      <w:pPr>
        <w:pStyle w:val="BodyText"/>
      </w:pPr>
    </w:p>
    <w:p w:rsidR="00000000" w:rsidRPr="00152A21" w:rsidP="00152A21">
      <w:pPr>
        <w:pStyle w:val="AllowPageBreak"/>
      </w:pPr>
    </w:p>
    <w:p w:rsidR="00000000" w:rsidRPr="00152A21" w:rsidP="00152A21">
      <w:pPr>
        <w:pStyle w:val="Heading1"/>
      </w:pPr>
      <w:bookmarkStart w:id="10" w:name="O_244617"/>
      <w:bookmarkEnd w:id="10"/>
      <w:r w:rsidRPr="00152A21">
        <w:t>Evidence Guide</w:t>
      </w:r>
    </w:p>
    <w:tbl>
      <w:tblPr>
        <w:tblW w:w="9570" w:type="dxa"/>
        <w:tblLayout w:type="fixed"/>
        <w:tblCellMar>
          <w:left w:w="62" w:type="dxa"/>
          <w:right w:w="62" w:type="dxa"/>
        </w:tblCellMar>
        <w:tblLook w:val="0000"/>
      </w:tblPr>
      <w:tblGrid>
        <w:gridCol w:w="3908"/>
        <w:gridCol w:w="5662"/>
      </w:tblGrid>
      <w:tr w:rsidTr="00937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EVIDENCE GUIDE</w:t>
            </w:r>
          </w:p>
        </w:tc>
      </w:tr>
      <w:tr w:rsidTr="00937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t>The evidence guide provides advice on assessment and must be read in conjunction with the performance criteria, required skills and knowledge, range statement and the Assessment Guidelines for the Training Package.</w:t>
            </w:r>
          </w:p>
        </w:tc>
      </w:tr>
      <w:tr w:rsidTr="0093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p>
        </w:tc>
      </w:tr>
      <w:tr w:rsidTr="0093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Evidence of the ability to:</w:t>
            </w:r>
          </w:p>
          <w:p w:rsidR="00000000" w:rsidRPr="00152A21" w:rsidP="00152A21">
            <w:pPr>
              <w:pStyle w:val="ListBullet"/>
            </w:pPr>
            <w:r w:rsidRPr="00152A21">
              <w:t>methodically identify and rank likely causes of faults</w:t>
            </w:r>
          </w:p>
          <w:p w:rsidR="00000000" w:rsidRPr="00152A21" w:rsidP="00152A21">
            <w:pPr>
              <w:pStyle w:val="ListBullet"/>
            </w:pPr>
            <w:r w:rsidRPr="00152A21">
              <w:t>analyse and interpret test results</w:t>
            </w:r>
          </w:p>
          <w:p w:rsidR="00000000" w:rsidRPr="00152A21" w:rsidP="00152A21">
            <w:pPr>
              <w:pStyle w:val="ListBullet"/>
            </w:pPr>
            <w:r w:rsidRPr="00152A21">
              <w:t>apply enterprise escalation and outage procedures</w:t>
            </w:r>
          </w:p>
          <w:p w:rsidR="00000000" w:rsidRPr="00152A21" w:rsidP="00152A21">
            <w:pPr>
              <w:pStyle w:val="ListBullet"/>
            </w:pPr>
            <w:r w:rsidRPr="00152A21">
              <w:t>prioritise fault rectification in a timely manner and report progress</w:t>
            </w:r>
          </w:p>
          <w:p w:rsidR="00000000" w:rsidRPr="00152A21" w:rsidP="00152A21">
            <w:pPr>
              <w:pStyle w:val="ListBullet"/>
            </w:pPr>
            <w:r w:rsidRPr="00152A21">
              <w:t>organise repair of fault and conduct of tests to verify outcomes</w:t>
            </w:r>
          </w:p>
          <w:p w:rsidR="00000000" w:rsidRPr="00152A21" w:rsidP="00152A21">
            <w:pPr>
              <w:pStyle w:val="ListBullet"/>
            </w:pPr>
            <w:r w:rsidRPr="00152A21">
              <w:t>prepare documentation of fault:</w:t>
            </w:r>
          </w:p>
          <w:p w:rsidR="00000000" w:rsidRPr="00152A21" w:rsidP="00152A21">
            <w:pPr>
              <w:pStyle w:val="ListBullet2"/>
            </w:pPr>
            <w:r w:rsidRPr="00152A21">
              <w:t>nature</w:t>
            </w:r>
          </w:p>
          <w:p w:rsidR="00000000" w:rsidRPr="00152A21" w:rsidP="00152A21">
            <w:pPr>
              <w:pStyle w:val="ListBullet2"/>
            </w:pPr>
            <w:r w:rsidRPr="00152A21">
              <w:t>location</w:t>
            </w:r>
          </w:p>
          <w:p w:rsidR="00000000" w:rsidRPr="00152A21" w:rsidP="00152A21">
            <w:pPr>
              <w:pStyle w:val="ListBullet2"/>
            </w:pPr>
            <w:r w:rsidRPr="00152A21">
              <w:t>likely causes</w:t>
            </w:r>
          </w:p>
          <w:p w:rsidR="00000000" w:rsidRPr="00152A21" w:rsidP="00152A21">
            <w:pPr>
              <w:pStyle w:val="ListBullet2"/>
            </w:pPr>
            <w:r w:rsidRPr="00152A21">
              <w:t>repair m</w:t>
            </w:r>
            <w:r w:rsidRPr="00152A21">
              <w:t xml:space="preserve">ethodology </w:t>
            </w:r>
          </w:p>
          <w:p w:rsidR="00000000" w:rsidP="00152A21">
            <w:pPr>
              <w:pStyle w:val="ListBullet2"/>
              <w:rPr>
                <w:lang w:val="en-NZ"/>
              </w:rPr>
            </w:pPr>
            <w:r w:rsidRPr="00152A21">
              <w:t>recommendations relating to system redesign or specification.</w:t>
            </w:r>
          </w:p>
        </w:tc>
      </w:tr>
      <w:tr w:rsidTr="0093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Context of</w:t>
            </w:r>
            <w:r w:rsidRPr="00152A21">
              <w:t xml:space="preserve">, </w:t>
            </w:r>
            <w:r w:rsidRPr="00152A2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Assessment must ensure:</w:t>
            </w:r>
          </w:p>
          <w:p w:rsidR="00000000" w:rsidRPr="00152A21" w:rsidP="00152A21">
            <w:pPr>
              <w:pStyle w:val="ListBullet"/>
            </w:pPr>
            <w:r w:rsidRPr="00152A21">
              <w:t>sites on which fault diagnostics may be conducted</w:t>
            </w:r>
          </w:p>
          <w:p w:rsidR="00000000" w:rsidRPr="00152A21" w:rsidP="00152A21">
            <w:pPr>
              <w:pStyle w:val="ListBullet"/>
            </w:pPr>
            <w:r w:rsidRPr="00152A21">
              <w:t>use of testing equipment currently used in industry</w:t>
            </w:r>
          </w:p>
          <w:p w:rsidR="00000000" w:rsidP="00152A21">
            <w:pPr>
              <w:pStyle w:val="ListBullet"/>
              <w:rPr>
                <w:lang w:val="en-NZ"/>
              </w:rPr>
            </w:pPr>
            <w:r w:rsidRPr="00152A21">
              <w:t>relevant regulatory and equipment documentation that impact on complex fault repairs.</w:t>
            </w:r>
          </w:p>
        </w:tc>
      </w:tr>
      <w:tr w:rsidTr="0093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A range of assessment methods should be used to assess practical skills and knowledge. The following examples are appropriate for this unit:</w:t>
            </w:r>
          </w:p>
          <w:p w:rsidR="00000000" w:rsidRPr="00152A21" w:rsidP="00152A21">
            <w:pPr>
              <w:pStyle w:val="ListBullet"/>
            </w:pPr>
            <w:r w:rsidRPr="00152A21">
              <w:t>revie</w:t>
            </w:r>
            <w:r w:rsidRPr="00152A21">
              <w:t xml:space="preserve">w of a complex CPE fault project completed by the candidate </w:t>
            </w:r>
          </w:p>
          <w:p w:rsidR="00000000" w:rsidRPr="00152A21" w:rsidP="00152A21">
            <w:pPr>
              <w:pStyle w:val="ListBullet"/>
            </w:pPr>
            <w:r w:rsidRPr="00152A21">
              <w:t>review of an oral and written report with completed documentation</w:t>
            </w:r>
          </w:p>
          <w:p w:rsidR="00000000" w:rsidP="00152A21">
            <w:pPr>
              <w:pStyle w:val="ListBullet"/>
              <w:rPr>
                <w:lang w:val="en-NZ"/>
              </w:rPr>
            </w:pPr>
            <w:r w:rsidRPr="00152A21">
              <w:t>direct observation of the candidate providing expert advice and support on complex CPE faults.</w:t>
            </w:r>
          </w:p>
        </w:tc>
      </w:tr>
      <w:tr w:rsidTr="00937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Guidance information for assessme</w:t>
            </w:r>
            <w:r w:rsidRPr="00152A21">
              <w:rPr>
                <w:rStyle w:val="SpecialBold"/>
              </w:rPr>
              <w:t>nt</w:t>
            </w:r>
            <w:r w:rsidRPr="00152A2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Holistic assessment with other units relevant to the industry sector, workplace and job role is recommended, for example:</w:t>
            </w:r>
          </w:p>
          <w:p w:rsidR="00000000" w:rsidRPr="00152A21" w:rsidP="00152A21">
            <w:pPr>
              <w:pStyle w:val="ListBullet"/>
            </w:pPr>
            <w:r w:rsidRPr="00152A21">
              <w:t>ICTTEN5083A Locate, diagnose and rectify complex faults.</w:t>
            </w:r>
          </w:p>
          <w:p w:rsidR="00000000" w:rsidRPr="00152A21" w:rsidP="00152A21">
            <w:pPr>
              <w:pStyle w:val="BodyText"/>
            </w:pPr>
          </w:p>
          <w:p w:rsidR="00000000" w:rsidRPr="00152A21" w:rsidP="00152A21">
            <w:pPr>
              <w:pStyle w:val="BodyText"/>
            </w:pPr>
            <w:r w:rsidRPr="00152A21">
              <w:t>Aboriginal people and other people from a non-English speaking background may have second language issues.</w:t>
            </w:r>
          </w:p>
          <w:p w:rsidR="00000000" w:rsidRPr="00152A21" w:rsidP="00152A21">
            <w:pPr>
              <w:pStyle w:val="BodyText"/>
            </w:pPr>
          </w:p>
          <w:p w:rsidR="00000000" w:rsidRPr="00152A21" w:rsidP="00152A21">
            <w:pPr>
              <w:pStyle w:val="BodyText"/>
            </w:pPr>
            <w:r w:rsidRPr="00152A21">
              <w:t xml:space="preserve">Access must be provided to appropriate learning and assessment support when required. </w:t>
            </w:r>
          </w:p>
          <w:p w:rsidR="00000000" w:rsidRPr="00152A21" w:rsidP="00152A21">
            <w:pPr>
              <w:pStyle w:val="BodyText"/>
            </w:pPr>
          </w:p>
          <w:p w:rsidR="00000000" w:rsidRPr="00152A21" w:rsidP="00152A21">
            <w:pPr>
              <w:pStyle w:val="BodyText"/>
            </w:pPr>
            <w:r w:rsidRPr="00152A21">
              <w:t>Assessment processes and techniques must be culturally appro</w:t>
            </w:r>
            <w:r w:rsidRPr="00152A21">
              <w:t>priate, and appropriate to the oral communication skill level, and language and literacy capacity of the candidate and the work being performed.</w:t>
            </w:r>
          </w:p>
          <w:p w:rsidR="00000000" w:rsidRPr="00152A21" w:rsidP="00152A21">
            <w:pPr>
              <w:pStyle w:val="BodyText"/>
            </w:pPr>
          </w:p>
          <w:p w:rsidR="00000000" w:rsidRPr="00152A21" w:rsidP="00152A21">
            <w:pPr>
              <w:pStyle w:val="BodyText"/>
            </w:pPr>
            <w:r w:rsidRPr="00152A21">
              <w:t>In all cases where practical assessment is used it will be combined with targeted questioning to assess requir</w:t>
            </w:r>
            <w:r w:rsidRPr="00152A21">
              <w:t xml:space="preserve">ed knowledge. Questioning techniques should not require language, literacy and numeracy skills beyond those required in this unit of competency. </w:t>
            </w:r>
          </w:p>
          <w:p w:rsidR="00000000" w:rsidRPr="00152A21" w:rsidP="00152A21">
            <w:pPr>
              <w:pStyle w:val="BodyText"/>
            </w:pPr>
          </w:p>
          <w:p w:rsidR="00000000" w:rsidRPr="00152A21" w:rsidP="00152A21">
            <w:pPr>
              <w:pStyle w:val="BodyText"/>
            </w:pPr>
            <w:r w:rsidRPr="00152A21">
              <w:t>Where applicable, physical resources should include equipment modified for people with special needs.</w:t>
            </w:r>
          </w:p>
        </w:tc>
      </w:tr>
    </w:tbl>
    <w:p w:rsidR="0093767B" w:rsidP="00152A21">
      <w:pPr>
        <w:pStyle w:val="BodyText"/>
      </w:pPr>
    </w:p>
    <w:p w:rsidR="0093767B" w:rsidP="00152A21">
      <w:pPr>
        <w:pStyle w:val="BodyText"/>
      </w:pPr>
    </w:p>
    <w:p w:rsidR="00000000" w:rsidRPr="00152A21" w:rsidP="00152A21">
      <w:pPr>
        <w:pStyle w:val="Heading1"/>
      </w:pPr>
      <w:bookmarkStart w:id="11" w:name="O_252600"/>
      <w:bookmarkEnd w:id="11"/>
      <w:r w:rsidRPr="00152A21">
        <w:t>Range Statement</w:t>
      </w:r>
    </w:p>
    <w:tbl>
      <w:tblPr>
        <w:tblW w:w="0" w:type="auto"/>
        <w:tblLayout w:type="fixed"/>
        <w:tblCellMar>
          <w:left w:w="62" w:type="dxa"/>
          <w:right w:w="62" w:type="dxa"/>
        </w:tblCellMar>
        <w:tblLook w:val="0000"/>
      </w:tblPr>
      <w:tblGrid>
        <w:gridCol w:w="3396"/>
        <w:gridCol w:w="5126"/>
      </w:tblGrid>
      <w:tr w:rsidTr="009376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RANGE STATEMENT</w:t>
            </w:r>
          </w:p>
        </w:tc>
      </w:tr>
      <w:tr w:rsidTr="009376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t>The range statement relates to the unit of competency as a whole. It allows for different work environments and situations that may affect performance. Bold italicised wording, if used in the performance cr</w:t>
            </w:r>
            <w:r w:rsidRPr="00152A2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Client</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asset owner</w:t>
            </w:r>
          </w:p>
          <w:p w:rsidR="00000000" w:rsidRPr="00152A21" w:rsidP="00152A21">
            <w:pPr>
              <w:pStyle w:val="ListBullet"/>
            </w:pPr>
            <w:r w:rsidRPr="00152A21">
              <w:t>government department</w:t>
            </w:r>
          </w:p>
          <w:p w:rsidR="00000000" w:rsidRPr="00152A21" w:rsidP="00152A21">
            <w:pPr>
              <w:pStyle w:val="ListBullet"/>
            </w:pPr>
            <w:r w:rsidRPr="00152A21">
              <w:t>private organisation</w:t>
            </w:r>
          </w:p>
          <w:p w:rsidR="00000000" w:rsidP="00152A21">
            <w:pPr>
              <w:pStyle w:val="ListBullet"/>
              <w:rPr>
                <w:lang w:val="en-NZ"/>
              </w:rPr>
            </w:pPr>
            <w:r w:rsidRPr="00152A21">
              <w:t>small or medium enterprise (SME).</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Type of fault</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 xml:space="preserve">compatibility </w:t>
            </w:r>
          </w:p>
          <w:p w:rsidR="00000000" w:rsidRPr="00152A21" w:rsidP="00152A21">
            <w:pPr>
              <w:pStyle w:val="ListBullet"/>
            </w:pPr>
            <w:r w:rsidRPr="00152A21">
              <w:t xml:space="preserve">equipment </w:t>
            </w:r>
          </w:p>
          <w:p w:rsidR="00000000" w:rsidRPr="00152A21" w:rsidP="00152A21">
            <w:pPr>
              <w:pStyle w:val="ListBullet"/>
            </w:pPr>
            <w:r w:rsidRPr="00152A21">
              <w:t xml:space="preserve">level 2 or level 3 </w:t>
            </w:r>
          </w:p>
          <w:p w:rsidR="00000000" w:rsidRPr="00152A21" w:rsidP="00152A21">
            <w:pPr>
              <w:pStyle w:val="ListBullet"/>
            </w:pPr>
            <w:r w:rsidRPr="00152A21">
              <w:t xml:space="preserve">network </w:t>
            </w:r>
          </w:p>
          <w:p w:rsidR="00000000" w:rsidRPr="00152A21" w:rsidP="00152A21">
            <w:pPr>
              <w:pStyle w:val="ListBullet"/>
            </w:pPr>
            <w:r w:rsidRPr="00152A21">
              <w:t xml:space="preserve">software </w:t>
            </w:r>
          </w:p>
          <w:p w:rsidR="00000000" w:rsidP="00152A21">
            <w:pPr>
              <w:pStyle w:val="ListBullet"/>
              <w:rPr>
                <w:lang w:val="en-NZ"/>
              </w:rPr>
            </w:pPr>
            <w:r w:rsidRPr="00152A21">
              <w:t>system.</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Fault patterns</w:t>
            </w:r>
            <w:r w:rsidRPr="00152A21">
              <w:t xml:space="preserve"> are either:</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of a spurious nature and have failed to be fixed or detected either remotely or on site</w:t>
            </w:r>
          </w:p>
          <w:p w:rsidR="00000000" w:rsidP="00152A21">
            <w:pPr>
              <w:pStyle w:val="ListBullet"/>
              <w:rPr>
                <w:lang w:val="en-NZ"/>
              </w:rPr>
            </w:pPr>
            <w:r w:rsidRPr="00152A21">
              <w:t>of a recurring nature and previous efforts to repair have failed.</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Previous fault repair</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atmospheric conditions</w:t>
            </w:r>
          </w:p>
          <w:p w:rsidR="00000000" w:rsidRPr="00152A21" w:rsidP="00152A21">
            <w:pPr>
              <w:pStyle w:val="ListBullet"/>
            </w:pPr>
            <w:r w:rsidRPr="00152A21">
              <w:t>bad connections</w:t>
            </w:r>
          </w:p>
          <w:p w:rsidR="00000000" w:rsidRPr="00152A21" w:rsidP="00152A21">
            <w:pPr>
              <w:pStyle w:val="ListBullet"/>
            </w:pPr>
            <w:r w:rsidRPr="00152A21">
              <w:t>building works</w:t>
            </w:r>
          </w:p>
          <w:p w:rsidR="00000000" w:rsidRPr="00152A21" w:rsidP="00152A21">
            <w:pPr>
              <w:pStyle w:val="ListBullet"/>
            </w:pPr>
            <w:r w:rsidRPr="00152A21">
              <w:t>equipment failure</w:t>
            </w:r>
          </w:p>
          <w:p w:rsidR="00000000" w:rsidRPr="00152A21" w:rsidP="00152A21">
            <w:pPr>
              <w:pStyle w:val="ListBullet"/>
            </w:pPr>
            <w:r w:rsidRPr="00152A21">
              <w:t>faulty circuit board</w:t>
            </w:r>
          </w:p>
          <w:p w:rsidR="00000000" w:rsidRPr="00152A21" w:rsidP="00152A21">
            <w:pPr>
              <w:pStyle w:val="ListBullet"/>
            </w:pPr>
            <w:r w:rsidRPr="00152A21">
              <w:t>faulty parts</w:t>
            </w:r>
          </w:p>
          <w:p w:rsidR="00000000" w:rsidRPr="00152A21" w:rsidP="00152A21">
            <w:pPr>
              <w:pStyle w:val="ListBullet"/>
            </w:pPr>
            <w:r w:rsidRPr="00152A21">
              <w:t>incorrect terminations</w:t>
            </w:r>
          </w:p>
          <w:p w:rsidR="00000000" w:rsidRPr="00152A21" w:rsidP="00152A21">
            <w:pPr>
              <w:pStyle w:val="ListBullet"/>
            </w:pPr>
            <w:r w:rsidRPr="00152A21">
              <w:t>jumpering</w:t>
            </w:r>
          </w:p>
          <w:p w:rsidR="00000000" w:rsidRPr="00152A21" w:rsidP="00152A21">
            <w:pPr>
              <w:pStyle w:val="ListBullet"/>
            </w:pPr>
            <w:r w:rsidRPr="00152A21">
              <w:t>near end crosstalk</w:t>
            </w:r>
          </w:p>
          <w:p w:rsidR="00000000" w:rsidRPr="00152A21" w:rsidP="00152A21">
            <w:pPr>
              <w:pStyle w:val="ListBullet"/>
            </w:pPr>
            <w:r w:rsidRPr="00152A21">
              <w:t>operator error</w:t>
            </w:r>
          </w:p>
          <w:p w:rsidR="00000000" w:rsidRPr="00152A21" w:rsidP="00152A21">
            <w:pPr>
              <w:pStyle w:val="ListBullet"/>
            </w:pPr>
            <w:r w:rsidRPr="00152A21">
              <w:t xml:space="preserve">other likely fault areas: </w:t>
            </w:r>
          </w:p>
          <w:p w:rsidR="00000000" w:rsidRPr="00152A21" w:rsidP="00152A21">
            <w:pPr>
              <w:pStyle w:val="ListBullet2"/>
            </w:pPr>
            <w:r w:rsidRPr="00152A21">
              <w:t>building cabling (including main distribution frame (MDF))</w:t>
            </w:r>
          </w:p>
          <w:p w:rsidR="00000000" w:rsidRPr="00152A21" w:rsidP="00152A21">
            <w:pPr>
              <w:pStyle w:val="ListBullet2"/>
            </w:pPr>
            <w:r w:rsidRPr="00152A21">
              <w:t>carriers</w:t>
            </w:r>
          </w:p>
          <w:p w:rsidR="00000000" w:rsidRPr="00152A21" w:rsidP="00152A21">
            <w:pPr>
              <w:pStyle w:val="ListBullet2"/>
            </w:pPr>
            <w:r w:rsidRPr="00152A21">
              <w:t>external cable</w:t>
            </w:r>
          </w:p>
          <w:p w:rsidR="00000000" w:rsidRPr="00152A21" w:rsidP="00152A21">
            <w:pPr>
              <w:pStyle w:val="ListBullet2"/>
            </w:pPr>
            <w:r w:rsidRPr="00152A21">
              <w:t>MDF jumpers</w:t>
            </w:r>
          </w:p>
          <w:p w:rsidR="00000000" w:rsidRPr="00152A21" w:rsidP="00152A21">
            <w:pPr>
              <w:pStyle w:val="ListBullet"/>
            </w:pPr>
            <w:r w:rsidRPr="00152A21">
              <w:t>power supply</w:t>
            </w:r>
          </w:p>
          <w:p w:rsidR="00000000" w:rsidRPr="00152A21" w:rsidP="00152A21">
            <w:pPr>
              <w:pStyle w:val="ListBullet"/>
            </w:pPr>
            <w:r w:rsidRPr="00152A21">
              <w:t>program errors</w:t>
            </w:r>
          </w:p>
          <w:p w:rsidR="00000000" w:rsidRPr="00152A21" w:rsidP="00152A21">
            <w:pPr>
              <w:pStyle w:val="ListBullet"/>
            </w:pPr>
            <w:r w:rsidRPr="00152A21">
              <w:t>recent additions to system</w:t>
            </w:r>
          </w:p>
          <w:p w:rsidR="00000000" w:rsidRPr="00152A21" w:rsidP="00152A21">
            <w:pPr>
              <w:pStyle w:val="ListBullet"/>
            </w:pPr>
            <w:r w:rsidRPr="00152A21">
              <w:t>software problems</w:t>
            </w:r>
          </w:p>
          <w:p w:rsidR="00000000" w:rsidP="00152A21">
            <w:pPr>
              <w:pStyle w:val="ListBullet"/>
              <w:rPr>
                <w:lang w:val="en-NZ"/>
              </w:rPr>
            </w:pPr>
            <w:r w:rsidRPr="00152A21">
              <w:t>time of fault.</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Other engineering or technical personnel</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carrier or service provider staff</w:t>
            </w:r>
          </w:p>
          <w:p w:rsidR="00000000" w:rsidRPr="00152A21" w:rsidP="00152A21">
            <w:pPr>
              <w:pStyle w:val="ListBullet"/>
            </w:pPr>
            <w:r w:rsidRPr="00152A21">
              <w:t xml:space="preserve">electrical contractor </w:t>
            </w:r>
          </w:p>
          <w:p w:rsidR="00000000" w:rsidRPr="00152A21" w:rsidP="00152A21">
            <w:pPr>
              <w:pStyle w:val="ListBullet"/>
            </w:pPr>
            <w:r w:rsidRPr="00152A21">
              <w:t>equipment manufacturer</w:t>
            </w:r>
          </w:p>
          <w:p w:rsidR="00000000" w:rsidRPr="00152A21" w:rsidP="00152A21">
            <w:pPr>
              <w:pStyle w:val="ListBullet"/>
            </w:pPr>
            <w:r w:rsidRPr="00152A21">
              <w:t>equipment supplier</w:t>
            </w:r>
          </w:p>
          <w:p w:rsidR="00000000" w:rsidRPr="00152A21" w:rsidP="00152A21">
            <w:pPr>
              <w:pStyle w:val="ListBullet"/>
            </w:pPr>
            <w:r w:rsidRPr="00152A21">
              <w:t xml:space="preserve">external customer </w:t>
            </w:r>
          </w:p>
          <w:p w:rsidR="00000000" w:rsidP="00152A21">
            <w:pPr>
              <w:pStyle w:val="ListBullet"/>
              <w:rPr>
                <w:lang w:val="en-NZ"/>
              </w:rPr>
            </w:pPr>
            <w:r w:rsidRPr="00152A21">
              <w:t>on site operation staff.</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Relevant legislation</w:t>
            </w:r>
            <w:r w:rsidRPr="00152A21">
              <w:t xml:space="preserve">, </w:t>
            </w:r>
            <w:r w:rsidRPr="00152A21">
              <w:rPr>
                <w:rStyle w:val="BoldandItalics"/>
              </w:rPr>
              <w:t>codes</w:t>
            </w:r>
            <w:r w:rsidRPr="00152A21">
              <w:t xml:space="preserve">, </w:t>
            </w:r>
            <w:r w:rsidRPr="00152A21">
              <w:rPr>
                <w:rStyle w:val="BoldandItalics"/>
              </w:rPr>
              <w:t>regulations and standards</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Australian Communications Industry Forum (ACIF) standards and codes</w:t>
            </w:r>
          </w:p>
          <w:p w:rsidR="00000000" w:rsidRPr="00152A21" w:rsidP="00152A21">
            <w:pPr>
              <w:pStyle w:val="ListBullet"/>
            </w:pPr>
            <w:r w:rsidRPr="00152A21">
              <w:t>Australian Communications and Media Authority (ACMA) technical standards</w:t>
            </w:r>
          </w:p>
          <w:p w:rsidR="00000000" w:rsidRPr="00152A21" w:rsidP="00152A21">
            <w:pPr>
              <w:pStyle w:val="ListBullet"/>
            </w:pPr>
            <w:r w:rsidRPr="00152A21">
              <w:t>Australian Radiation</w:t>
            </w:r>
            <w:r w:rsidRPr="00152A21">
              <w:t xml:space="preserve"> Protection and Nuclear Safety Agency (ARPANSA) electromagnetic radiation (EMR) standard</w:t>
            </w:r>
          </w:p>
          <w:p w:rsidR="00000000" w:rsidRPr="00152A21" w:rsidP="00152A21">
            <w:pPr>
              <w:pStyle w:val="ListBullet"/>
            </w:pPr>
            <w:r w:rsidRPr="00152A21">
              <w:t>Australian building codes and regulations</w:t>
            </w:r>
          </w:p>
          <w:p w:rsidR="00000000" w:rsidRPr="00152A21" w:rsidP="00152A21">
            <w:pPr>
              <w:pStyle w:val="ListBullet"/>
            </w:pPr>
            <w:r w:rsidRPr="00152A21">
              <w:t>Australian standards</w:t>
            </w:r>
          </w:p>
          <w:p w:rsidR="00000000" w:rsidRPr="00152A21" w:rsidP="00152A21">
            <w:pPr>
              <w:pStyle w:val="ListBullet"/>
            </w:pPr>
            <w:r w:rsidRPr="00152A21">
              <w:t>enterprise standards</w:t>
            </w:r>
          </w:p>
          <w:p w:rsidR="00000000" w:rsidRPr="00152A21" w:rsidP="00152A21">
            <w:pPr>
              <w:pStyle w:val="ListBullet"/>
            </w:pPr>
            <w:r w:rsidRPr="00152A21">
              <w:t>environmental protection</w:t>
            </w:r>
          </w:p>
          <w:p w:rsidR="00000000" w:rsidRPr="00152A21" w:rsidP="00152A21">
            <w:pPr>
              <w:pStyle w:val="ListBullet"/>
            </w:pPr>
            <w:r w:rsidRPr="00152A21">
              <w:t>equipment standards</w:t>
            </w:r>
          </w:p>
          <w:p w:rsidR="00000000" w:rsidRPr="00152A21" w:rsidP="00152A21">
            <w:pPr>
              <w:pStyle w:val="ListBullet"/>
            </w:pPr>
            <w:r w:rsidRPr="00152A21">
              <w:t>fire regulations</w:t>
            </w:r>
          </w:p>
          <w:p w:rsidR="00000000" w:rsidRPr="00152A21" w:rsidP="00152A21">
            <w:pPr>
              <w:pStyle w:val="ListBullet"/>
            </w:pPr>
            <w:r w:rsidRPr="00152A21">
              <w:t>heritage legislation</w:t>
            </w:r>
          </w:p>
          <w:p w:rsidR="00000000" w:rsidRPr="00152A21" w:rsidP="00152A21">
            <w:pPr>
              <w:pStyle w:val="ListBullet"/>
            </w:pPr>
            <w:r w:rsidRPr="00152A21">
              <w:t>international standards</w:t>
            </w:r>
          </w:p>
          <w:p w:rsidR="00000000" w:rsidRPr="00152A21" w:rsidP="00152A21">
            <w:pPr>
              <w:pStyle w:val="ListBullet"/>
            </w:pPr>
            <w:r w:rsidRPr="00152A21">
              <w:t>intrinsically safe lightning protection</w:t>
            </w:r>
          </w:p>
          <w:p w:rsidR="00000000" w:rsidRPr="00152A21" w:rsidP="00152A21">
            <w:pPr>
              <w:pStyle w:val="ListBullet"/>
            </w:pPr>
            <w:r w:rsidRPr="00152A21">
              <w:t>local government</w:t>
            </w:r>
          </w:p>
          <w:p w:rsidR="00000000" w:rsidRPr="00152A21" w:rsidP="00152A21">
            <w:pPr>
              <w:pStyle w:val="ListBullet"/>
            </w:pPr>
            <w:r w:rsidRPr="00152A21">
              <w:t>OHS</w:t>
            </w:r>
          </w:p>
          <w:p w:rsidR="00000000" w:rsidRPr="00152A21" w:rsidP="00152A21">
            <w:pPr>
              <w:pStyle w:val="ListBullet"/>
            </w:pPr>
            <w:r w:rsidRPr="00152A21">
              <w:t>Radcoms Act</w:t>
            </w:r>
          </w:p>
          <w:p w:rsidR="00000000" w:rsidRPr="00152A21" w:rsidP="00152A21">
            <w:pPr>
              <w:pStyle w:val="ListBullet"/>
            </w:pPr>
            <w:r w:rsidRPr="00152A21">
              <w:t>site engineering standard</w:t>
            </w:r>
          </w:p>
          <w:p w:rsidR="00000000" w:rsidRPr="00152A21" w:rsidP="00152A21">
            <w:pPr>
              <w:pStyle w:val="ListBullet"/>
            </w:pPr>
            <w:r w:rsidRPr="00152A21">
              <w:t xml:space="preserve">Telecoms Act </w:t>
            </w:r>
          </w:p>
          <w:p w:rsidR="00000000" w:rsidP="00152A21">
            <w:pPr>
              <w:pStyle w:val="ListBullet"/>
              <w:rPr>
                <w:lang w:val="en-NZ"/>
              </w:rPr>
            </w:pPr>
            <w:r w:rsidRPr="00152A21">
              <w:t>WIs, CIs, business operating procedures (BOPs), radiocommunications assignment and licensing instructions (Ralis), assi</w:t>
            </w:r>
            <w:r w:rsidRPr="00152A21">
              <w:t>gnment guidelines, spectrum planning reports.</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Fault identification</w:t>
            </w:r>
            <w:r w:rsidRPr="00152A21">
              <w:t xml:space="preserve"> </w:t>
            </w:r>
            <w:r w:rsidRPr="00152A21">
              <w:rPr>
                <w:rStyle w:val="BoldandItalics"/>
              </w:rPr>
              <w:t>approach</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level 1:</w:t>
            </w:r>
          </w:p>
          <w:p w:rsidR="00000000" w:rsidRPr="00152A21" w:rsidP="00152A21">
            <w:pPr>
              <w:pStyle w:val="ListBullet2"/>
            </w:pPr>
            <w:r w:rsidRPr="00152A21">
              <w:t xml:space="preserve">first in network maintenance </w:t>
            </w:r>
          </w:p>
          <w:p w:rsidR="00000000" w:rsidRPr="00152A21" w:rsidP="00152A21">
            <w:pPr>
              <w:pStyle w:val="ListBullet2"/>
            </w:pPr>
            <w:r w:rsidRPr="00152A21">
              <w:t>has a time specification for fault identification (approx 1 hour)</w:t>
            </w:r>
          </w:p>
          <w:p w:rsidR="00000000" w:rsidRPr="00152A21" w:rsidP="00152A21">
            <w:pPr>
              <w:pStyle w:val="ListBullet"/>
            </w:pPr>
            <w:r w:rsidRPr="00152A21">
              <w:t>level 2 maintenance or repair:</w:t>
            </w:r>
          </w:p>
          <w:p w:rsidR="00000000" w:rsidRPr="00152A21" w:rsidP="00152A21">
            <w:pPr>
              <w:pStyle w:val="ListBullet2"/>
            </w:pPr>
            <w:r w:rsidRPr="00152A21">
              <w:t>usually involves a higher skilled operator</w:t>
            </w:r>
          </w:p>
          <w:p w:rsidR="00000000" w:rsidRPr="00152A21" w:rsidP="00152A21">
            <w:pPr>
              <w:pStyle w:val="ListBullet2"/>
            </w:pPr>
            <w:r w:rsidRPr="00152A21">
              <w:t>level of maintenance or repair applies when the fault cannot be located within the specified first in maintenance timeframe or where the fault is intermittent or recurring</w:t>
            </w:r>
          </w:p>
          <w:p w:rsidR="00000000" w:rsidRPr="00152A21" w:rsidP="00152A21">
            <w:pPr>
              <w:pStyle w:val="ListBullet"/>
            </w:pPr>
            <w:r w:rsidRPr="00152A21">
              <w:t>level 3:</w:t>
            </w:r>
          </w:p>
          <w:p w:rsidR="00000000" w:rsidRPr="00152A21" w:rsidP="00152A21">
            <w:pPr>
              <w:pStyle w:val="ListBullet2"/>
            </w:pPr>
            <w:r w:rsidRPr="00152A21">
              <w:t xml:space="preserve">usually located at a national </w:t>
            </w:r>
            <w:r w:rsidRPr="00152A21">
              <w:t>level within a company</w:t>
            </w:r>
          </w:p>
          <w:p w:rsidR="00000000" w:rsidRPr="00152A21" w:rsidP="00152A21">
            <w:pPr>
              <w:pStyle w:val="ListBullet2"/>
            </w:pPr>
            <w:r w:rsidRPr="00152A21">
              <w:t>very highest level of skill is required at this level</w:t>
            </w:r>
          </w:p>
          <w:p w:rsidR="00000000" w:rsidRPr="00152A21" w:rsidP="00152A21">
            <w:pPr>
              <w:pStyle w:val="ListBullet2"/>
            </w:pPr>
            <w:r w:rsidRPr="00152A21">
              <w:t>work on faults that cannot be located or fixed at the first two levels - spurious faults</w:t>
            </w:r>
          </w:p>
          <w:p w:rsidR="00000000" w:rsidRPr="00152A21" w:rsidP="00152A21">
            <w:pPr>
              <w:pStyle w:val="ListBullet2"/>
            </w:pPr>
            <w:r w:rsidRPr="00152A21">
              <w:t>fault location and identification is usually undertaken remotely from the site using the o</w:t>
            </w:r>
            <w:r w:rsidRPr="00152A21">
              <w:t>n site repair person to undertake the work</w:t>
            </w:r>
          </w:p>
          <w:p w:rsidR="00000000" w:rsidRPr="00152A21" w:rsidP="00152A21">
            <w:pPr>
              <w:pStyle w:val="ListBullet"/>
            </w:pPr>
            <w:r w:rsidRPr="00152A21">
              <w:t xml:space="preserve">using fault finding methodology </w:t>
            </w:r>
          </w:p>
          <w:p w:rsidR="00000000" w:rsidRPr="00152A21" w:rsidP="00152A21">
            <w:pPr>
              <w:pStyle w:val="ListBullet"/>
            </w:pPr>
            <w:r w:rsidRPr="00152A21">
              <w:t>using available data:</w:t>
            </w:r>
            <w:r w:rsidRPr="00152A21">
              <w:tab/>
            </w:r>
          </w:p>
          <w:p w:rsidR="00000000" w:rsidRPr="00152A21" w:rsidP="00152A21">
            <w:pPr>
              <w:pStyle w:val="ListBullet2"/>
            </w:pPr>
            <w:r w:rsidRPr="00152A21">
              <w:t>customer and repairer questioning details</w:t>
            </w:r>
          </w:p>
          <w:p w:rsidR="00000000" w:rsidRPr="00152A21" w:rsidP="00152A21">
            <w:pPr>
              <w:pStyle w:val="ListBullet2"/>
            </w:pPr>
            <w:r w:rsidRPr="00152A21">
              <w:t>customer records</w:t>
            </w:r>
          </w:p>
          <w:p w:rsidR="00000000" w:rsidRPr="00152A21" w:rsidP="00152A21">
            <w:pPr>
              <w:pStyle w:val="ListBullet2"/>
            </w:pPr>
            <w:r w:rsidRPr="00152A21">
              <w:t>details of system checks</w:t>
            </w:r>
          </w:p>
          <w:p w:rsidR="00000000" w:rsidRPr="00152A21" w:rsidP="00152A21">
            <w:pPr>
              <w:pStyle w:val="ListBullet2"/>
            </w:pPr>
            <w:r w:rsidRPr="00152A21">
              <w:t>equipment/product manuals</w:t>
            </w:r>
          </w:p>
          <w:p w:rsidR="00000000" w:rsidRPr="00152A21" w:rsidP="00152A21">
            <w:pPr>
              <w:pStyle w:val="ListBullet2"/>
            </w:pPr>
            <w:r w:rsidRPr="00152A21">
              <w:t>log books</w:t>
            </w:r>
          </w:p>
          <w:p w:rsidR="00000000" w:rsidRPr="00152A21" w:rsidP="00152A21">
            <w:pPr>
              <w:pStyle w:val="ListBullet2"/>
            </w:pPr>
            <w:r w:rsidRPr="00152A21">
              <w:t>software program</w:t>
            </w:r>
          </w:p>
          <w:p w:rsidR="00000000" w:rsidRPr="00152A21" w:rsidP="00152A21">
            <w:pPr>
              <w:pStyle w:val="ListBullet2"/>
            </w:pPr>
            <w:r w:rsidRPr="00152A21">
              <w:t>test data</w:t>
            </w:r>
          </w:p>
          <w:p w:rsidR="00000000" w:rsidRPr="00152A21" w:rsidP="00152A21">
            <w:pPr>
              <w:pStyle w:val="ListBullet"/>
            </w:pPr>
            <w:r w:rsidRPr="00152A21">
              <w:t>using customer's specifications and system documentation:</w:t>
            </w:r>
          </w:p>
          <w:p w:rsidR="00000000" w:rsidRPr="00152A21" w:rsidP="00152A21">
            <w:pPr>
              <w:pStyle w:val="ListBullet2"/>
            </w:pPr>
            <w:r w:rsidRPr="00152A21">
              <w:t>contract document</w:t>
            </w:r>
          </w:p>
          <w:p w:rsidR="00000000" w:rsidRPr="00152A21" w:rsidP="00152A21">
            <w:pPr>
              <w:pStyle w:val="ListBullet2"/>
            </w:pPr>
            <w:r w:rsidRPr="00152A21">
              <w:t>specification schedules</w:t>
            </w:r>
          </w:p>
          <w:p w:rsidR="00000000" w:rsidRPr="00152A21" w:rsidP="00152A21">
            <w:pPr>
              <w:pStyle w:val="ListBullet2"/>
            </w:pPr>
            <w:r w:rsidRPr="00152A21">
              <w:t>system configuration diagrams and site installation records</w:t>
            </w:r>
          </w:p>
          <w:p w:rsidR="00000000" w:rsidRPr="00152A21" w:rsidP="00152A21">
            <w:pPr>
              <w:pStyle w:val="ListBullet3"/>
            </w:pPr>
            <w:r w:rsidRPr="00152A21">
              <w:t xml:space="preserve">floor distributor panel (FDP) log book data </w:t>
            </w:r>
          </w:p>
          <w:p w:rsidR="00000000" w:rsidRPr="00152A21" w:rsidP="00152A21">
            <w:pPr>
              <w:pStyle w:val="ListBullet3"/>
            </w:pPr>
            <w:r w:rsidRPr="00152A21">
              <w:t>intermediate distribution frame (IDF)</w:t>
            </w:r>
          </w:p>
          <w:p w:rsidR="00000000" w:rsidRPr="00152A21" w:rsidP="00152A21">
            <w:pPr>
              <w:pStyle w:val="ListBullet3"/>
            </w:pPr>
            <w:r w:rsidRPr="00152A21">
              <w:t>MDF</w:t>
            </w:r>
          </w:p>
          <w:p w:rsidR="00000000" w:rsidP="00152A21">
            <w:pPr>
              <w:pStyle w:val="ListBullet3"/>
              <w:rPr>
                <w:lang w:val="en-NZ"/>
              </w:rPr>
            </w:pPr>
            <w:r w:rsidRPr="00152A21">
              <w:t>system program.</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Identify fault</w:t>
            </w:r>
            <w:r w:rsidRPr="00152A21">
              <w:t xml:space="preserve"> is most often undertaken:</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as part of a service agreement:</w:t>
            </w:r>
          </w:p>
          <w:p w:rsidR="00000000" w:rsidRPr="00152A21" w:rsidP="00152A21">
            <w:pPr>
              <w:pStyle w:val="ListBullet2"/>
            </w:pPr>
            <w:r w:rsidRPr="00152A21">
              <w:t>maintenance agreements between communication companies and their clients</w:t>
            </w:r>
          </w:p>
          <w:p w:rsidR="00000000" w:rsidRPr="00152A21" w:rsidP="00152A21">
            <w:pPr>
              <w:pStyle w:val="ListBullet"/>
            </w:pPr>
            <w:r w:rsidRPr="00152A21">
              <w:t>on a fee for service basis as agreed with a client:</w:t>
            </w:r>
          </w:p>
          <w:p w:rsidR="00000000" w:rsidRPr="00152A21" w:rsidP="00152A21">
            <w:pPr>
              <w:pStyle w:val="ListBullet2"/>
            </w:pPr>
            <w:r w:rsidRPr="00152A21">
              <w:t xml:space="preserve"> usually involve charges relating to labour and parts</w:t>
            </w:r>
          </w:p>
          <w:p w:rsidR="00000000" w:rsidRPr="00152A21" w:rsidP="00152A21">
            <w:pPr>
              <w:pStyle w:val="ListBullet"/>
            </w:pPr>
            <w:r w:rsidRPr="00152A21">
              <w:t>remotely from the customer premises using resident fault repairers to undertake the actual work</w:t>
            </w:r>
          </w:p>
          <w:p w:rsidR="00000000" w:rsidP="00152A21">
            <w:pPr>
              <w:pStyle w:val="ListBullet"/>
              <w:rPr>
                <w:lang w:val="en-NZ"/>
              </w:rPr>
            </w:pPr>
            <w:r w:rsidRPr="00152A21">
              <w:t>under warranty as specified by the equipment manufacturer or supplier.</w:t>
            </w:r>
          </w:p>
        </w:tc>
      </w:tr>
      <w:tr w:rsidTr="0093767B">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BoldandItalics"/>
              </w:rPr>
              <w:t>Rectify fault</w:t>
            </w:r>
            <w:r w:rsidRPr="00152A21">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ListBullet"/>
            </w:pPr>
            <w:r w:rsidRPr="00152A21">
              <w:t>component replacement</w:t>
            </w:r>
          </w:p>
          <w:p w:rsidR="00000000" w:rsidRPr="00152A21" w:rsidP="00152A21">
            <w:pPr>
              <w:pStyle w:val="ListBullet"/>
            </w:pPr>
            <w:r w:rsidRPr="00152A21">
              <w:t>equipment reprogram</w:t>
            </w:r>
          </w:p>
          <w:p w:rsidR="00000000" w:rsidRPr="00152A21" w:rsidP="00152A21">
            <w:pPr>
              <w:pStyle w:val="ListBullet"/>
            </w:pPr>
            <w:r w:rsidRPr="00152A21">
              <w:t>functionality tests</w:t>
            </w:r>
          </w:p>
          <w:p w:rsidR="00000000" w:rsidRPr="00152A21" w:rsidP="00152A21">
            <w:pPr>
              <w:pStyle w:val="ListBullet"/>
            </w:pPr>
            <w:r w:rsidRPr="00152A21">
              <w:t>repair</w:t>
            </w:r>
          </w:p>
          <w:p w:rsidR="00000000" w:rsidRPr="00152A21" w:rsidP="00152A21">
            <w:pPr>
              <w:pStyle w:val="ListBullet"/>
            </w:pPr>
            <w:r w:rsidRPr="00152A21">
              <w:t>replacement and/or modification</w:t>
            </w:r>
          </w:p>
          <w:p w:rsidR="00000000" w:rsidRPr="00152A21" w:rsidP="00152A21">
            <w:pPr>
              <w:pStyle w:val="ListBullet"/>
            </w:pPr>
            <w:r w:rsidRPr="00152A21">
              <w:t>software redesign</w:t>
            </w:r>
          </w:p>
          <w:p w:rsidR="00000000" w:rsidRPr="00152A21" w:rsidP="00152A21">
            <w:pPr>
              <w:pStyle w:val="ListBullet"/>
            </w:pPr>
            <w:r w:rsidRPr="00152A21">
              <w:t>visual inspections.</w:t>
            </w:r>
          </w:p>
        </w:tc>
      </w:tr>
    </w:tbl>
    <w:p w:rsidR="0093767B" w:rsidP="00152A21">
      <w:pPr>
        <w:pStyle w:val="BodyText"/>
      </w:pPr>
    </w:p>
    <w:p w:rsidR="0093767B" w:rsidP="00152A21">
      <w:pPr>
        <w:pStyle w:val="BodyText"/>
      </w:pPr>
    </w:p>
    <w:p w:rsidR="00000000" w:rsidRPr="00152A21" w:rsidP="00152A21">
      <w:pPr>
        <w:pStyle w:val="Heading1"/>
      </w:pPr>
      <w:bookmarkStart w:id="12" w:name="O_209885"/>
      <w:bookmarkEnd w:id="12"/>
      <w:r w:rsidRPr="00152A21">
        <w:t>Unit Sector(s)</w:t>
      </w:r>
    </w:p>
    <w:tbl>
      <w:tblPr>
        <w:tblW w:w="0" w:type="auto"/>
        <w:tblLayout w:type="fixed"/>
        <w:tblCellMar>
          <w:left w:w="62" w:type="dxa"/>
          <w:right w:w="62" w:type="dxa"/>
        </w:tblCellMar>
        <w:tblLook w:val="0000"/>
      </w:tblPr>
      <w:tblGrid>
        <w:gridCol w:w="2570"/>
        <w:gridCol w:w="5952"/>
      </w:tblGrid>
      <w:tr w:rsidTr="0093767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Telecommunications</w:t>
            </w:r>
          </w:p>
        </w:tc>
      </w:tr>
    </w:tbl>
    <w:p w:rsidR="0093767B" w:rsidP="00152A21">
      <w:pPr>
        <w:pStyle w:val="BodyText"/>
      </w:pPr>
    </w:p>
    <w:p w:rsidR="0093767B" w:rsidP="00152A21">
      <w:pPr>
        <w:pStyle w:val="BodyText"/>
      </w:pPr>
    </w:p>
    <w:p w:rsidR="00000000" w:rsidRPr="00152A21" w:rsidP="00152A21">
      <w:pPr>
        <w:pStyle w:val="Heading1"/>
      </w:pPr>
      <w:bookmarkStart w:id="13" w:name="O_209882"/>
      <w:bookmarkEnd w:id="13"/>
      <w:r w:rsidRPr="00152A21">
        <w:t>Co-requisite units</w:t>
      </w:r>
    </w:p>
    <w:tbl>
      <w:tblPr>
        <w:tblW w:w="0" w:type="auto"/>
        <w:tblLayout w:type="fixed"/>
        <w:tblCellMar>
          <w:left w:w="62" w:type="dxa"/>
          <w:right w:w="62" w:type="dxa"/>
        </w:tblCellMar>
        <w:tblLook w:val="0000"/>
      </w:tblPr>
      <w:tblGrid>
        <w:gridCol w:w="2641"/>
        <w:gridCol w:w="1322"/>
        <w:gridCol w:w="4559"/>
      </w:tblGrid>
      <w:tr w:rsidTr="009376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p>
        </w:tc>
      </w:tr>
      <w:tr w:rsidTr="00937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p>
        </w:tc>
      </w:tr>
      <w:tr w:rsidTr="00937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p>
        </w:tc>
      </w:tr>
    </w:tbl>
    <w:p w:rsidR="0093767B" w:rsidP="00152A21">
      <w:pPr>
        <w:pStyle w:val="BodyText"/>
      </w:pPr>
    </w:p>
    <w:p w:rsidR="0093767B" w:rsidP="00152A21">
      <w:pPr>
        <w:pStyle w:val="BodyText"/>
      </w:pPr>
    </w:p>
    <w:p w:rsidR="00000000" w:rsidRPr="00152A21" w:rsidP="00152A21">
      <w:pPr>
        <w:pStyle w:val="Heading1"/>
      </w:pPr>
      <w:bookmarkStart w:id="14" w:name="O_209884"/>
      <w:bookmarkEnd w:id="14"/>
      <w:r w:rsidRPr="00152A21">
        <w:t>Competency field</w:t>
      </w:r>
    </w:p>
    <w:tbl>
      <w:tblPr>
        <w:tblW w:w="0" w:type="auto"/>
        <w:tblLayout w:type="fixed"/>
        <w:tblCellMar>
          <w:left w:w="62" w:type="dxa"/>
          <w:right w:w="62" w:type="dxa"/>
        </w:tblCellMar>
        <w:tblLook w:val="0000"/>
      </w:tblPr>
      <w:tblGrid>
        <w:gridCol w:w="2768"/>
        <w:gridCol w:w="5754"/>
      </w:tblGrid>
      <w:tr w:rsidTr="0093767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A21">
            <w:pPr>
              <w:pStyle w:val="BodyText"/>
              <w:rPr>
                <w:lang w:val="en-NZ"/>
              </w:rPr>
            </w:pPr>
            <w:r w:rsidRPr="00152A21">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A21" w:rsidP="00152A21">
            <w:pPr>
              <w:pStyle w:val="BodyText"/>
            </w:pPr>
            <w:r w:rsidRPr="00152A21">
              <w:t>Telecommunications networks engineering</w:t>
            </w:r>
          </w:p>
        </w:tc>
      </w:tr>
    </w:tbl>
    <w:p w:rsidR="0093767B" w:rsidP="00152A21">
      <w:pPr>
        <w:pStyle w:val="BodyText"/>
      </w:pPr>
    </w:p>
    <w:p w:rsidR="0093767B" w:rsidP="00152A21">
      <w:pPr>
        <w:pStyle w:val="BodyText"/>
      </w:pPr>
    </w:p>
    <w:p w:rsidR="00000000" w:rsidRPr="00152A21" w:rsidP="00152A21"/>
    <w:sectPr w:rsidSect="00152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67B" w:rsidP="00937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7B" w:rsidP="00152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767B" w:rsidP="00152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67B" w:rsidP="00152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67B" w:rsidP="00937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7B" w:rsidP="00152A21">
    <w:pPr>
      <w:pStyle w:val="Header"/>
      <w:framePr w:wrap="around"/>
    </w:pPr>
    <w:r>
      <w:fldChar w:fldCharType="begin"/>
    </w:r>
    <w:r>
      <w:instrText xml:space="preserve"> TITLE   \* MERGEFORMAT </w:instrText>
    </w:r>
    <w:r>
      <w:fldChar w:fldCharType="separate"/>
    </w:r>
    <w:r>
      <w:t>ICTTEN5084A Provide expert advice and support on complex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767B" w:rsidP="00152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545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6C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E26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A21"/>
    <w:pPr>
      <w:spacing w:before="360" w:after="60"/>
      <w:outlineLvl w:val="0"/>
    </w:pPr>
    <w:rPr>
      <w:sz w:val="32"/>
    </w:rPr>
  </w:style>
  <w:style w:type="paragraph" w:styleId="Heading2">
    <w:name w:val="heading 2"/>
    <w:basedOn w:val="HeadingBase"/>
    <w:next w:val="BodyText"/>
    <w:link w:val="Heading2Char"/>
    <w:qFormat/>
    <w:rsid w:val="00152A21"/>
    <w:pPr>
      <w:keepLines/>
      <w:spacing w:before="240" w:after="120"/>
      <w:outlineLvl w:val="1"/>
    </w:pPr>
    <w:rPr>
      <w:sz w:val="28"/>
      <w:szCs w:val="40"/>
    </w:rPr>
  </w:style>
  <w:style w:type="paragraph" w:styleId="Heading3">
    <w:name w:val="heading 3"/>
    <w:basedOn w:val="HeadingBase"/>
    <w:next w:val="BodyText"/>
    <w:link w:val="Heading3Char"/>
    <w:qFormat/>
    <w:rsid w:val="00152A21"/>
    <w:pPr>
      <w:spacing w:before="180" w:after="120"/>
      <w:outlineLvl w:val="2"/>
    </w:pPr>
    <w:rPr>
      <w:spacing w:val="-10"/>
      <w:kern w:val="32"/>
    </w:rPr>
  </w:style>
  <w:style w:type="paragraph" w:styleId="Heading4">
    <w:name w:val="heading 4"/>
    <w:basedOn w:val="HeadingBase"/>
    <w:next w:val="BodyText"/>
    <w:link w:val="Heading4Char"/>
    <w:qFormat/>
    <w:rsid w:val="00152A21"/>
    <w:pPr>
      <w:spacing w:before="160" w:after="120"/>
      <w:outlineLvl w:val="3"/>
    </w:pPr>
    <w:rPr>
      <w:sz w:val="22"/>
    </w:rPr>
  </w:style>
  <w:style w:type="paragraph" w:styleId="Heading5">
    <w:name w:val="heading 5"/>
    <w:basedOn w:val="HeadingBase"/>
    <w:next w:val="Normal"/>
    <w:link w:val="Heading5Char"/>
    <w:qFormat/>
    <w:rsid w:val="00152A21"/>
    <w:pPr>
      <w:spacing w:before="80"/>
      <w:outlineLvl w:val="4"/>
    </w:pPr>
    <w:rPr>
      <w:color w:val="918585"/>
      <w:sz w:val="20"/>
    </w:rPr>
  </w:style>
  <w:style w:type="paragraph" w:styleId="Heading6">
    <w:name w:val="heading 6"/>
    <w:basedOn w:val="HeadingBase"/>
    <w:next w:val="Normal"/>
    <w:link w:val="Heading6Char"/>
    <w:qFormat/>
    <w:rsid w:val="00152A21"/>
    <w:pPr>
      <w:spacing w:before="60"/>
      <w:outlineLvl w:val="5"/>
    </w:pPr>
    <w:rPr>
      <w:color w:val="918585"/>
      <w:sz w:val="20"/>
    </w:rPr>
  </w:style>
  <w:style w:type="paragraph" w:styleId="Heading7">
    <w:name w:val="heading 7"/>
    <w:basedOn w:val="Normal"/>
    <w:next w:val="Normal"/>
    <w:link w:val="Heading7Char"/>
    <w:qFormat/>
    <w:rsid w:val="00152A21"/>
    <w:pPr>
      <w:ind w:left="720"/>
      <w:outlineLvl w:val="6"/>
    </w:pPr>
    <w:rPr>
      <w:i/>
    </w:rPr>
  </w:style>
  <w:style w:type="paragraph" w:styleId="Heading8">
    <w:name w:val="heading 8"/>
    <w:basedOn w:val="Normal"/>
    <w:next w:val="Normal"/>
    <w:link w:val="Heading8Char"/>
    <w:qFormat/>
    <w:rsid w:val="00152A21"/>
    <w:pPr>
      <w:ind w:left="720"/>
      <w:outlineLvl w:val="7"/>
    </w:pPr>
    <w:rPr>
      <w:i/>
    </w:rPr>
  </w:style>
  <w:style w:type="paragraph" w:styleId="Heading9">
    <w:name w:val="heading 9"/>
    <w:basedOn w:val="Normal"/>
    <w:next w:val="Normal"/>
    <w:link w:val="Heading9Char"/>
    <w:qFormat/>
    <w:rsid w:val="00152A21"/>
    <w:pPr>
      <w:ind w:left="720"/>
      <w:outlineLvl w:val="8"/>
    </w:pPr>
    <w:rPr>
      <w:i/>
    </w:rPr>
  </w:style>
  <w:style w:type="character" w:default="1" w:styleId="DefaultParagraphFont">
    <w:name w:val="Default Paragraph Font"/>
    <w:uiPriority w:val="1"/>
    <w:unhideWhenUsed/>
    <w:rsid w:val="00152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A21"/>
  </w:style>
  <w:style w:type="character" w:customStyle="1" w:styleId="Heading1Char">
    <w:name w:val="Heading 1 Char"/>
    <w:basedOn w:val="DefaultParagraphFont"/>
    <w:link w:val="Heading1"/>
    <w:rsid w:val="00152A21"/>
    <w:rPr>
      <w:rFonts w:ascii="Times New Roman" w:eastAsia="Times New Roman" w:hAnsi="Times New Roman" w:cs="Times New Roman"/>
      <w:b/>
      <w:sz w:val="32"/>
      <w:szCs w:val="20"/>
      <w:lang w:eastAsia="en-US"/>
    </w:rPr>
  </w:style>
  <w:style w:type="paragraph" w:styleId="BodyText">
    <w:name w:val="Body Text"/>
    <w:basedOn w:val="Normal"/>
    <w:link w:val="BodyTextChar"/>
    <w:rsid w:val="00152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A21"/>
    <w:rPr>
      <w:rFonts w:ascii="Times New Roman" w:eastAsia="Times New Roman" w:hAnsi="Times New Roman" w:cs="Times New Roman"/>
      <w:sz w:val="24"/>
      <w:lang w:val="en-US" w:eastAsia="en-US"/>
    </w:rPr>
  </w:style>
  <w:style w:type="paragraph" w:styleId="Footer">
    <w:name w:val="footer"/>
    <w:basedOn w:val="Normal"/>
    <w:link w:val="FooterChar"/>
    <w:rsid w:val="00152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A21"/>
    <w:rPr>
      <w:rFonts w:ascii="Times New Roman" w:eastAsia="Times New Roman" w:hAnsi="Times New Roman" w:cs="Times New Roman"/>
      <w:sz w:val="16"/>
      <w:lang w:val="en-US" w:eastAsia="en-US"/>
    </w:rPr>
  </w:style>
  <w:style w:type="paragraph" w:styleId="List">
    <w:name w:val="List"/>
    <w:basedOn w:val="BodyText"/>
    <w:next w:val="BodyText"/>
    <w:rsid w:val="00152A21"/>
    <w:pPr>
      <w:tabs>
        <w:tab w:val="left" w:pos="340"/>
      </w:tabs>
      <w:spacing w:before="60" w:after="60"/>
      <w:ind w:left="340" w:hanging="340"/>
    </w:pPr>
  </w:style>
  <w:style w:type="paragraph" w:styleId="ListBullet">
    <w:name w:val="List Bullet"/>
    <w:basedOn w:val="List"/>
    <w:rsid w:val="00152A21"/>
    <w:pPr>
      <w:numPr>
        <w:numId w:val="14"/>
      </w:numPr>
      <w:tabs>
        <w:tab w:val="clear" w:pos="340"/>
      </w:tabs>
      <w:spacing w:before="40" w:after="40"/>
    </w:pPr>
  </w:style>
  <w:style w:type="character" w:customStyle="1" w:styleId="SpecialBold">
    <w:name w:val="Special Bold"/>
    <w:basedOn w:val="DefaultParagraphFont"/>
    <w:rsid w:val="00152A21"/>
    <w:rPr>
      <w:b/>
      <w:spacing w:val="0"/>
    </w:rPr>
  </w:style>
  <w:style w:type="paragraph" w:styleId="ListBullet2">
    <w:name w:val="List Bullet 2"/>
    <w:basedOn w:val="List2"/>
    <w:rsid w:val="00152A21"/>
    <w:pPr>
      <w:numPr>
        <w:numId w:val="15"/>
      </w:numPr>
      <w:tabs>
        <w:tab w:val="clear" w:pos="680"/>
      </w:tabs>
    </w:pPr>
  </w:style>
  <w:style w:type="paragraph" w:styleId="Header">
    <w:name w:val="header"/>
    <w:basedOn w:val="Normal"/>
    <w:link w:val="HeaderChar"/>
    <w:rsid w:val="00152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A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A21"/>
    <w:pPr>
      <w:spacing w:before="240" w:after="120"/>
      <w:outlineLvl w:val="0"/>
    </w:pPr>
    <w:rPr>
      <w:rFonts w:ascii="Times New Roman" w:hAnsi="Times New Roman"/>
      <w:b/>
      <w:sz w:val="28"/>
    </w:rPr>
  </w:style>
  <w:style w:type="paragraph" w:customStyle="1" w:styleId="AllowPageBreak">
    <w:name w:val="AllowPageBreak"/>
    <w:rsid w:val="00152A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A21"/>
    <w:pPr>
      <w:tabs>
        <w:tab w:val="left" w:pos="680"/>
      </w:tabs>
      <w:spacing w:before="60" w:after="60"/>
      <w:ind w:left="680" w:hanging="340"/>
    </w:pPr>
  </w:style>
  <w:style w:type="paragraph" w:styleId="ListBullet3">
    <w:name w:val="List Bullet 3"/>
    <w:basedOn w:val="List3"/>
    <w:rsid w:val="00152A21"/>
    <w:pPr>
      <w:numPr>
        <w:numId w:val="3"/>
      </w:numPr>
      <w:tabs>
        <w:tab w:val="clear" w:pos="1021"/>
      </w:tabs>
      <w:ind w:left="1037" w:hanging="357"/>
    </w:pPr>
  </w:style>
  <w:style w:type="character" w:customStyle="1" w:styleId="BoldandItalics">
    <w:name w:val="Bold and Italics"/>
    <w:qFormat/>
    <w:rsid w:val="00152A21"/>
    <w:rPr>
      <w:b/>
      <w:i/>
      <w:u w:val="none"/>
    </w:rPr>
  </w:style>
  <w:style w:type="character" w:customStyle="1" w:styleId="Heading2Char">
    <w:name w:val="Heading 2 Char"/>
    <w:basedOn w:val="DefaultParagraphFont"/>
    <w:link w:val="Heading2"/>
    <w:rsid w:val="00152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A21"/>
    <w:rPr>
      <w:rFonts w:ascii="Courier New" w:eastAsia="Times New Roman" w:hAnsi="Courier New" w:cs="Times New Roman"/>
      <w:i/>
      <w:szCs w:val="20"/>
      <w:lang w:val="en-US" w:eastAsia="en-US"/>
    </w:rPr>
  </w:style>
  <w:style w:type="paragraph" w:customStyle="1" w:styleId="HeadingBase">
    <w:name w:val="Heading Base"/>
    <w:rsid w:val="00152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A21"/>
    <w:pPr>
      <w:tabs>
        <w:tab w:val="right" w:leader="dot" w:pos="9072"/>
      </w:tabs>
      <w:ind w:left="567"/>
    </w:pPr>
    <w:rPr>
      <w:szCs w:val="22"/>
    </w:rPr>
  </w:style>
  <w:style w:type="paragraph" w:customStyle="1" w:styleId="TOCBase">
    <w:name w:val="TOC Base"/>
    <w:rsid w:val="00152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A21"/>
    <w:pPr>
      <w:tabs>
        <w:tab w:val="right" w:leader="dot" w:pos="9072"/>
      </w:tabs>
      <w:spacing w:before="40" w:after="40"/>
      <w:ind w:left="284"/>
    </w:pPr>
    <w:rPr>
      <w:rFonts w:ascii="Times New Roman" w:hAnsi="Times New Roman"/>
    </w:rPr>
  </w:style>
  <w:style w:type="paragraph" w:styleId="TOC1">
    <w:name w:val="toc 1"/>
    <w:basedOn w:val="TOCBase"/>
    <w:next w:val="Normal"/>
    <w:rsid w:val="00152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A21"/>
    <w:pPr>
      <w:spacing w:before="5040"/>
      <w:jc w:val="center"/>
    </w:pPr>
    <w:rPr>
      <w:sz w:val="48"/>
      <w:szCs w:val="72"/>
      <w:lang w:val="en-US"/>
    </w:rPr>
  </w:style>
  <w:style w:type="character" w:customStyle="1" w:styleId="TitleChar">
    <w:name w:val="Title Char"/>
    <w:basedOn w:val="DefaultParagraphFont"/>
    <w:link w:val="Title"/>
    <w:rsid w:val="00152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A21"/>
    <w:pPr>
      <w:tabs>
        <w:tab w:val="left" w:pos="3600"/>
        <w:tab w:val="left" w:pos="3958"/>
      </w:tabs>
    </w:pPr>
  </w:style>
  <w:style w:type="paragraph" w:customStyle="1" w:styleId="Note">
    <w:name w:val="Note"/>
    <w:basedOn w:val="BodyText"/>
    <w:rsid w:val="00152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A21"/>
    <w:pPr>
      <w:framePr w:wrap="auto" w:hAnchor="text" w:y="6049"/>
    </w:pPr>
    <w:rPr>
      <w:color w:val="000000"/>
      <w:sz w:val="40"/>
    </w:rPr>
  </w:style>
  <w:style w:type="paragraph" w:customStyle="1" w:styleId="TOCTitle">
    <w:name w:val="TOCTitle"/>
    <w:basedOn w:val="Heading1"/>
    <w:rsid w:val="00152A21"/>
    <w:pPr>
      <w:spacing w:after="240"/>
      <w:jc w:val="center"/>
      <w:outlineLvl w:val="9"/>
    </w:pPr>
    <w:rPr>
      <w:caps/>
    </w:rPr>
  </w:style>
  <w:style w:type="paragraph" w:customStyle="1" w:styleId="Version">
    <w:name w:val="Version"/>
    <w:rsid w:val="00152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A21"/>
    <w:pPr>
      <w:keepNext w:val="0"/>
      <w:tabs>
        <w:tab w:val="right" w:pos="4176"/>
      </w:tabs>
      <w:ind w:left="198" w:hanging="198"/>
    </w:pPr>
    <w:rPr>
      <w:rFonts w:ascii="Garamond" w:hAnsi="Garamond"/>
    </w:rPr>
  </w:style>
  <w:style w:type="paragraph" w:styleId="IndexHeading">
    <w:name w:val="index heading"/>
    <w:basedOn w:val="Normal"/>
    <w:next w:val="Index1"/>
    <w:semiHidden/>
    <w:rsid w:val="00152A21"/>
    <w:pPr>
      <w:spacing w:before="120" w:after="120"/>
    </w:pPr>
    <w:rPr>
      <w:rFonts w:ascii="Arial" w:hAnsi="Arial"/>
      <w:b/>
      <w:color w:val="918585"/>
      <w:sz w:val="24"/>
    </w:rPr>
  </w:style>
  <w:style w:type="paragraph" w:customStyle="1" w:styleId="Chapter">
    <w:name w:val="Chapter"/>
    <w:basedOn w:val="Normal"/>
    <w:rsid w:val="00152A21"/>
    <w:pPr>
      <w:spacing w:before="240"/>
    </w:pPr>
    <w:rPr>
      <w:rFonts w:ascii="Times New Roman" w:hAnsi="Times New Roman"/>
      <w:smallCaps/>
      <w:spacing w:val="80"/>
      <w:sz w:val="28"/>
    </w:rPr>
  </w:style>
  <w:style w:type="paragraph" w:customStyle="1" w:styleId="InChapter">
    <w:name w:val="InChapter"/>
    <w:basedOn w:val="Heading3"/>
    <w:rsid w:val="00152A21"/>
    <w:pPr>
      <w:spacing w:after="240"/>
      <w:outlineLvl w:val="9"/>
    </w:pPr>
    <w:rPr>
      <w:noProof/>
    </w:rPr>
  </w:style>
  <w:style w:type="paragraph" w:styleId="Index2">
    <w:name w:val="index 2"/>
    <w:basedOn w:val="Normal"/>
    <w:next w:val="Normal"/>
    <w:semiHidden/>
    <w:rsid w:val="00152A21"/>
    <w:pPr>
      <w:tabs>
        <w:tab w:val="right" w:pos="4176"/>
      </w:tabs>
      <w:ind w:left="568" w:hanging="284"/>
    </w:pPr>
    <w:rPr>
      <w:rFonts w:ascii="Garamond" w:hAnsi="Garamond"/>
    </w:rPr>
  </w:style>
  <w:style w:type="paragraph" w:customStyle="1" w:styleId="Byline">
    <w:name w:val="Byline"/>
    <w:rsid w:val="00152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A21"/>
    <w:pPr>
      <w:tabs>
        <w:tab w:val="clear" w:pos="3600"/>
        <w:tab w:val="clear" w:pos="3958"/>
      </w:tabs>
      <w:jc w:val="right"/>
    </w:pPr>
  </w:style>
  <w:style w:type="character" w:styleId="Emphasis">
    <w:name w:val="Emphasis"/>
    <w:basedOn w:val="DefaultParagraphFont"/>
    <w:qFormat/>
    <w:rsid w:val="00152A21"/>
    <w:rPr>
      <w:i/>
    </w:rPr>
  </w:style>
  <w:style w:type="paragraph" w:styleId="Caption">
    <w:name w:val="caption"/>
    <w:basedOn w:val="BodyText"/>
    <w:next w:val="Normal"/>
    <w:qFormat/>
    <w:rsid w:val="00152A21"/>
    <w:pPr>
      <w:framePr w:w="2268" w:hSpace="181" w:vSpace="181" w:wrap="around" w:vAnchor="text" w:hAnchor="page" w:x="1135" w:y="285" w:anchorLock="1"/>
    </w:pPr>
    <w:rPr>
      <w:i/>
    </w:rPr>
  </w:style>
  <w:style w:type="paragraph" w:customStyle="1" w:styleId="MiniTOCTitle">
    <w:name w:val="MiniTOCTitle"/>
    <w:basedOn w:val="Heading4"/>
    <w:rsid w:val="00152A21"/>
    <w:pPr>
      <w:spacing w:before="240"/>
      <w:outlineLvl w:val="9"/>
    </w:pPr>
    <w:rPr>
      <w:noProof/>
      <w:sz w:val="24"/>
    </w:rPr>
  </w:style>
  <w:style w:type="paragraph" w:customStyle="1" w:styleId="MiniTOCItem">
    <w:name w:val="MiniTOCItem"/>
    <w:basedOn w:val="ListBullet"/>
    <w:rsid w:val="00152A21"/>
    <w:pPr>
      <w:numPr>
        <w:numId w:val="0"/>
      </w:numPr>
      <w:tabs>
        <w:tab w:val="right" w:leader="dot" w:pos="6521"/>
      </w:tabs>
      <w:spacing w:before="0" w:after="0"/>
    </w:pPr>
  </w:style>
  <w:style w:type="paragraph" w:customStyle="1" w:styleId="TOFTitle">
    <w:name w:val="TOFTitle"/>
    <w:basedOn w:val="TOCTitle"/>
    <w:rsid w:val="00152A21"/>
  </w:style>
  <w:style w:type="paragraph" w:styleId="TableofFigures">
    <w:name w:val="table of figures"/>
    <w:basedOn w:val="Normal"/>
    <w:next w:val="Normal"/>
    <w:semiHidden/>
    <w:rsid w:val="00152A21"/>
    <w:pPr>
      <w:tabs>
        <w:tab w:val="right" w:leader="dot" w:pos="9072"/>
      </w:tabs>
      <w:ind w:left="970" w:hanging="403"/>
    </w:pPr>
    <w:rPr>
      <w:rFonts w:ascii="Times New Roman" w:hAnsi="Times New Roman"/>
      <w:b/>
    </w:rPr>
  </w:style>
  <w:style w:type="paragraph" w:styleId="ListNumber">
    <w:name w:val="List Number"/>
    <w:basedOn w:val="List"/>
    <w:rsid w:val="00152A21"/>
    <w:pPr>
      <w:numPr>
        <w:numId w:val="12"/>
      </w:numPr>
    </w:pPr>
  </w:style>
  <w:style w:type="character" w:customStyle="1" w:styleId="WingdingSymbols">
    <w:name w:val="Wingding Symbols"/>
    <w:rsid w:val="00152A21"/>
    <w:rPr>
      <w:rFonts w:ascii="Wingdings" w:hAnsi="Wingdings"/>
    </w:rPr>
  </w:style>
  <w:style w:type="paragraph" w:customStyle="1" w:styleId="TableHeading">
    <w:name w:val="Table Heading"/>
    <w:basedOn w:val="HeadingBase"/>
    <w:rsid w:val="00152A21"/>
    <w:pPr>
      <w:keepLines/>
      <w:pBdr>
        <w:bottom w:val="single" w:sz="6" w:space="1" w:color="918585"/>
      </w:pBdr>
      <w:spacing w:before="240"/>
    </w:pPr>
  </w:style>
  <w:style w:type="character" w:customStyle="1" w:styleId="HotSpot">
    <w:name w:val="HotSpot"/>
    <w:rsid w:val="00152A21"/>
    <w:rPr>
      <w:color w:val="0033CC"/>
      <w:u w:val="none"/>
    </w:rPr>
  </w:style>
  <w:style w:type="paragraph" w:customStyle="1" w:styleId="BodyTextRight">
    <w:name w:val="Body Text Right"/>
    <w:basedOn w:val="BodyText"/>
    <w:rsid w:val="00152A21"/>
    <w:pPr>
      <w:spacing w:before="0" w:after="0"/>
      <w:jc w:val="right"/>
    </w:pPr>
  </w:style>
  <w:style w:type="paragraph" w:styleId="Index3">
    <w:name w:val="index 3"/>
    <w:basedOn w:val="ListNumber2"/>
    <w:next w:val="Normal"/>
    <w:semiHidden/>
    <w:rsid w:val="00152A21"/>
    <w:pPr>
      <w:numPr>
        <w:numId w:val="0"/>
      </w:numPr>
      <w:tabs>
        <w:tab w:val="right" w:leader="dot" w:pos="4176"/>
      </w:tabs>
    </w:pPr>
  </w:style>
  <w:style w:type="paragraph" w:styleId="ListNumber2">
    <w:name w:val="List Number 2"/>
    <w:basedOn w:val="List2"/>
    <w:rsid w:val="00152A21"/>
    <w:pPr>
      <w:numPr>
        <w:numId w:val="11"/>
      </w:numPr>
      <w:tabs>
        <w:tab w:val="clear" w:pos="1060"/>
      </w:tabs>
    </w:pPr>
  </w:style>
  <w:style w:type="paragraph" w:customStyle="1" w:styleId="MarginNote">
    <w:name w:val="Margin Note"/>
    <w:basedOn w:val="BodyText"/>
    <w:rsid w:val="00152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A21"/>
    <w:rPr>
      <w:sz w:val="32"/>
    </w:rPr>
  </w:style>
  <w:style w:type="paragraph" w:customStyle="1" w:styleId="HeadingProcedure">
    <w:name w:val="Heading Procedure"/>
    <w:basedOn w:val="HeadingBase"/>
    <w:next w:val="Normal"/>
    <w:rsid w:val="00152A21"/>
    <w:pPr>
      <w:tabs>
        <w:tab w:val="left" w:pos="0"/>
      </w:tabs>
      <w:spacing w:before="120" w:after="60"/>
    </w:pPr>
    <w:rPr>
      <w:i/>
      <w:color w:val="918585"/>
      <w:sz w:val="22"/>
    </w:rPr>
  </w:style>
  <w:style w:type="paragraph" w:customStyle="1" w:styleId="TableBodyText">
    <w:name w:val="Table Body Text"/>
    <w:basedOn w:val="BodyText"/>
    <w:rsid w:val="00152A21"/>
    <w:pPr>
      <w:spacing w:before="60" w:after="60"/>
    </w:pPr>
  </w:style>
  <w:style w:type="paragraph" w:styleId="ListContinue">
    <w:name w:val="List Continue"/>
    <w:basedOn w:val="List"/>
    <w:rsid w:val="00152A21"/>
    <w:pPr>
      <w:ind w:firstLine="0"/>
    </w:pPr>
  </w:style>
  <w:style w:type="paragraph" w:customStyle="1" w:styleId="ListNote">
    <w:name w:val="List Note"/>
    <w:basedOn w:val="List"/>
    <w:rsid w:val="00152A21"/>
    <w:pPr>
      <w:pBdr>
        <w:top w:val="single" w:sz="6" w:space="2" w:color="918585"/>
        <w:bottom w:val="single" w:sz="6" w:space="2" w:color="918585"/>
      </w:pBdr>
      <w:tabs>
        <w:tab w:val="left" w:pos="1021"/>
      </w:tabs>
      <w:ind w:firstLine="0"/>
    </w:pPr>
  </w:style>
  <w:style w:type="paragraph" w:customStyle="1" w:styleId="Warning">
    <w:name w:val="Warning"/>
    <w:basedOn w:val="BodyText"/>
    <w:rsid w:val="00152A21"/>
    <w:pPr>
      <w:shd w:val="clear" w:color="auto" w:fill="D9D9D9"/>
      <w:tabs>
        <w:tab w:val="left" w:pos="992"/>
      </w:tabs>
      <w:ind w:left="119" w:right="119"/>
    </w:pPr>
    <w:rPr>
      <w:sz w:val="20"/>
    </w:rPr>
  </w:style>
  <w:style w:type="paragraph" w:customStyle="1" w:styleId="MarginIcons">
    <w:name w:val="Margin Icons"/>
    <w:basedOn w:val="BodyText"/>
    <w:rsid w:val="00152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A21"/>
    <w:rPr>
      <w:rFonts w:ascii="Courier New" w:hAnsi="Courier New"/>
    </w:rPr>
  </w:style>
  <w:style w:type="paragraph" w:customStyle="1" w:styleId="NoteBullet">
    <w:name w:val="Note Bullet"/>
    <w:basedOn w:val="Note"/>
    <w:rsid w:val="00152A21"/>
    <w:pPr>
      <w:tabs>
        <w:tab w:val="clear" w:pos="680"/>
      </w:tabs>
      <w:spacing w:before="60" w:after="60"/>
    </w:pPr>
  </w:style>
  <w:style w:type="paragraph" w:customStyle="1" w:styleId="SubHeading2">
    <w:name w:val="SubHeading2"/>
    <w:basedOn w:val="HeadingBase"/>
    <w:rsid w:val="00152A21"/>
    <w:pPr>
      <w:spacing w:before="240" w:after="60"/>
    </w:pPr>
    <w:rPr>
      <w:sz w:val="20"/>
    </w:rPr>
  </w:style>
  <w:style w:type="paragraph" w:customStyle="1" w:styleId="SubHeading1">
    <w:name w:val="SubHeading1"/>
    <w:basedOn w:val="HeadingBase"/>
    <w:rsid w:val="00152A21"/>
    <w:pPr>
      <w:spacing w:before="240" w:after="60"/>
    </w:pPr>
    <w:rPr>
      <w:color w:val="918585"/>
      <w:sz w:val="22"/>
    </w:rPr>
  </w:style>
  <w:style w:type="paragraph" w:customStyle="1" w:styleId="SideHeading">
    <w:name w:val="Side Heading"/>
    <w:basedOn w:val="HeadingBase"/>
    <w:rsid w:val="00152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A21"/>
    <w:pPr>
      <w:numPr>
        <w:numId w:val="13"/>
      </w:numPr>
    </w:pPr>
  </w:style>
  <w:style w:type="paragraph" w:styleId="PlainText">
    <w:name w:val="Plain Text"/>
    <w:basedOn w:val="Normal"/>
    <w:link w:val="PlainTextChar"/>
    <w:rsid w:val="00152A21"/>
    <w:rPr>
      <w:sz w:val="20"/>
    </w:rPr>
  </w:style>
  <w:style w:type="character" w:customStyle="1" w:styleId="PlainTextChar">
    <w:name w:val="Plain Text Char"/>
    <w:basedOn w:val="DefaultParagraphFont"/>
    <w:link w:val="PlainText"/>
    <w:rsid w:val="00152A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A21"/>
    <w:rPr>
      <w:b/>
      <w:smallCaps/>
    </w:rPr>
  </w:style>
  <w:style w:type="paragraph" w:customStyle="1" w:styleId="TableListNumber">
    <w:name w:val="Table List Number"/>
    <w:basedOn w:val="ListNumber"/>
    <w:rsid w:val="00152A21"/>
    <w:pPr>
      <w:numPr>
        <w:numId w:val="0"/>
      </w:numPr>
    </w:pPr>
  </w:style>
  <w:style w:type="paragraph" w:styleId="TOC4">
    <w:name w:val="toc 4"/>
    <w:basedOn w:val="TOCBase"/>
    <w:next w:val="Normal"/>
    <w:semiHidden/>
    <w:rsid w:val="00152A21"/>
    <w:pPr>
      <w:tabs>
        <w:tab w:val="right" w:leader="dot" w:pos="9071"/>
      </w:tabs>
      <w:ind w:left="1701"/>
    </w:pPr>
  </w:style>
  <w:style w:type="paragraph" w:customStyle="1" w:styleId="ListAlpha">
    <w:name w:val="List Alpha"/>
    <w:basedOn w:val="List"/>
    <w:rsid w:val="00152A21"/>
    <w:pPr>
      <w:numPr>
        <w:numId w:val="10"/>
      </w:numPr>
    </w:pPr>
  </w:style>
  <w:style w:type="paragraph" w:customStyle="1" w:styleId="ListAlpha2">
    <w:name w:val="List Alpha 2"/>
    <w:basedOn w:val="List2"/>
    <w:rsid w:val="00152A21"/>
    <w:pPr>
      <w:numPr>
        <w:numId w:val="9"/>
      </w:numPr>
    </w:pPr>
  </w:style>
  <w:style w:type="paragraph" w:styleId="List3">
    <w:name w:val="List 3"/>
    <w:basedOn w:val="BodyText"/>
    <w:rsid w:val="00152A21"/>
    <w:pPr>
      <w:tabs>
        <w:tab w:val="left" w:pos="1021"/>
      </w:tabs>
      <w:spacing w:before="60" w:after="60"/>
      <w:ind w:left="1020" w:hanging="340"/>
    </w:pPr>
  </w:style>
  <w:style w:type="paragraph" w:styleId="List4">
    <w:name w:val="List 4"/>
    <w:basedOn w:val="BodyText"/>
    <w:rsid w:val="00152A21"/>
    <w:pPr>
      <w:tabs>
        <w:tab w:val="left" w:pos="1361"/>
      </w:tabs>
      <w:spacing w:before="60" w:after="60"/>
      <w:ind w:left="1361" w:hanging="340"/>
    </w:pPr>
  </w:style>
  <w:style w:type="paragraph" w:styleId="List5">
    <w:name w:val="List 5"/>
    <w:basedOn w:val="BodyText"/>
    <w:rsid w:val="00152A21"/>
    <w:pPr>
      <w:tabs>
        <w:tab w:val="left" w:pos="1701"/>
      </w:tabs>
      <w:spacing w:before="60" w:after="60"/>
      <w:ind w:left="1701" w:hanging="340"/>
    </w:pPr>
  </w:style>
  <w:style w:type="paragraph" w:styleId="ListBullet4">
    <w:name w:val="List Bullet 4"/>
    <w:basedOn w:val="List4"/>
    <w:rsid w:val="00152A21"/>
    <w:pPr>
      <w:numPr>
        <w:numId w:val="4"/>
      </w:numPr>
    </w:pPr>
  </w:style>
  <w:style w:type="paragraph" w:styleId="ListBullet5">
    <w:name w:val="List Bullet 5"/>
    <w:basedOn w:val="List5"/>
    <w:rsid w:val="00152A21"/>
    <w:pPr>
      <w:numPr>
        <w:numId w:val="5"/>
      </w:numPr>
    </w:pPr>
  </w:style>
  <w:style w:type="paragraph" w:styleId="ListContinue2">
    <w:name w:val="List Continue 2"/>
    <w:basedOn w:val="List2"/>
    <w:rsid w:val="00152A21"/>
    <w:pPr>
      <w:ind w:firstLine="0"/>
    </w:pPr>
  </w:style>
  <w:style w:type="paragraph" w:styleId="ListContinue3">
    <w:name w:val="List Continue 3"/>
    <w:basedOn w:val="List3"/>
    <w:rsid w:val="00152A21"/>
    <w:pPr>
      <w:ind w:left="1021" w:firstLine="0"/>
    </w:pPr>
  </w:style>
  <w:style w:type="paragraph" w:styleId="ListContinue4">
    <w:name w:val="List Continue 4"/>
    <w:basedOn w:val="List4"/>
    <w:rsid w:val="00152A21"/>
    <w:pPr>
      <w:ind w:firstLine="0"/>
    </w:pPr>
  </w:style>
  <w:style w:type="paragraph" w:styleId="ListContinue5">
    <w:name w:val="List Continue 5"/>
    <w:basedOn w:val="List5"/>
    <w:rsid w:val="00152A21"/>
    <w:pPr>
      <w:ind w:firstLine="0"/>
    </w:pPr>
  </w:style>
  <w:style w:type="paragraph" w:styleId="ListNumber3">
    <w:name w:val="List Number 3"/>
    <w:basedOn w:val="List3"/>
    <w:rsid w:val="00152A21"/>
    <w:pPr>
      <w:numPr>
        <w:numId w:val="6"/>
      </w:numPr>
    </w:pPr>
  </w:style>
  <w:style w:type="paragraph" w:styleId="ListNumber4">
    <w:name w:val="List Number 4"/>
    <w:basedOn w:val="List4"/>
    <w:rsid w:val="00152A21"/>
    <w:pPr>
      <w:numPr>
        <w:numId w:val="7"/>
      </w:numPr>
    </w:pPr>
  </w:style>
  <w:style w:type="paragraph" w:styleId="ListNumber5">
    <w:name w:val="List Number 5"/>
    <w:basedOn w:val="List5"/>
    <w:rsid w:val="00152A21"/>
    <w:pPr>
      <w:numPr>
        <w:numId w:val="8"/>
      </w:numPr>
    </w:pPr>
  </w:style>
  <w:style w:type="paragraph" w:styleId="BlockText">
    <w:name w:val="Block Text"/>
    <w:basedOn w:val="Normal"/>
    <w:rsid w:val="00152A21"/>
    <w:pPr>
      <w:spacing w:after="120"/>
      <w:ind w:left="1440" w:right="1440"/>
    </w:pPr>
  </w:style>
  <w:style w:type="character" w:customStyle="1" w:styleId="Subscript">
    <w:name w:val="Subscript"/>
    <w:basedOn w:val="DefaultParagraphFont"/>
    <w:rsid w:val="00152A21"/>
    <w:rPr>
      <w:sz w:val="16"/>
      <w:vertAlign w:val="subscript"/>
    </w:rPr>
  </w:style>
  <w:style w:type="character" w:customStyle="1" w:styleId="Superscript">
    <w:name w:val="Superscript"/>
    <w:basedOn w:val="DefaultParagraphFont"/>
    <w:rsid w:val="00152A21"/>
    <w:rPr>
      <w:sz w:val="16"/>
      <w:vertAlign w:val="superscript"/>
    </w:rPr>
  </w:style>
  <w:style w:type="character" w:customStyle="1" w:styleId="Symbols">
    <w:name w:val="Symbols"/>
    <w:basedOn w:val="DefaultParagraphFont"/>
    <w:rsid w:val="00152A21"/>
    <w:rPr>
      <w:rFonts w:ascii="Symbol" w:hAnsi="Symbol"/>
    </w:rPr>
  </w:style>
  <w:style w:type="character" w:customStyle="1" w:styleId="MenuOptions">
    <w:name w:val="Menu Options"/>
    <w:basedOn w:val="DefaultParagraphFont"/>
    <w:rsid w:val="00152A21"/>
    <w:rPr>
      <w:rFonts w:ascii="Arial Narrow" w:hAnsi="Arial Narrow"/>
      <w:smallCaps/>
    </w:rPr>
  </w:style>
  <w:style w:type="character" w:customStyle="1" w:styleId="Buttons">
    <w:name w:val="Buttons"/>
    <w:basedOn w:val="DefaultParagraphFont"/>
    <w:rsid w:val="00152A21"/>
    <w:rPr>
      <w:b/>
    </w:rPr>
  </w:style>
  <w:style w:type="character" w:customStyle="1" w:styleId="Underlined">
    <w:name w:val="Underlined"/>
    <w:basedOn w:val="DefaultParagraphFont"/>
    <w:rsid w:val="00152A21"/>
    <w:rPr>
      <w:u w:val="single"/>
    </w:rPr>
  </w:style>
  <w:style w:type="paragraph" w:customStyle="1" w:styleId="TableBodyTextRight">
    <w:name w:val="Table Body Text Right"/>
    <w:basedOn w:val="TableBodyText"/>
    <w:rsid w:val="00152A21"/>
    <w:pPr>
      <w:widowControl w:val="0"/>
      <w:autoSpaceDE w:val="0"/>
      <w:autoSpaceDN w:val="0"/>
      <w:adjustRightInd w:val="0"/>
      <w:jc w:val="right"/>
    </w:pPr>
    <w:rPr>
      <w:rFonts w:cs="Arial"/>
      <w:szCs w:val="18"/>
    </w:rPr>
  </w:style>
  <w:style w:type="paragraph" w:customStyle="1" w:styleId="CopyrightText">
    <w:name w:val="Copyright Text"/>
    <w:basedOn w:val="BodyText"/>
    <w:rsid w:val="00152A21"/>
    <w:rPr>
      <w:sz w:val="18"/>
    </w:rPr>
  </w:style>
  <w:style w:type="paragraph" w:customStyle="1" w:styleId="BodySmallRight">
    <w:name w:val="Body Small Right"/>
    <w:basedOn w:val="BodyTextRight"/>
    <w:rsid w:val="00152A21"/>
    <w:rPr>
      <w:sz w:val="18"/>
      <w:szCs w:val="18"/>
    </w:rPr>
  </w:style>
  <w:style w:type="paragraph" w:customStyle="1" w:styleId="MarginEdition">
    <w:name w:val="Margin Edition"/>
    <w:basedOn w:val="MarginNote"/>
    <w:rsid w:val="00152A21"/>
    <w:pPr>
      <w:spacing w:before="0" w:after="0"/>
    </w:pPr>
    <w:rPr>
      <w:rFonts w:ascii="Times New Roman" w:hAnsi="Times New Roman"/>
      <w:color w:val="999999"/>
    </w:rPr>
  </w:style>
  <w:style w:type="paragraph" w:customStyle="1" w:styleId="Spacer">
    <w:name w:val="Spacer"/>
    <w:basedOn w:val="Normal"/>
    <w:rsid w:val="00152A21"/>
    <w:rPr>
      <w:sz w:val="2"/>
      <w:szCs w:val="2"/>
    </w:rPr>
  </w:style>
  <w:style w:type="character" w:customStyle="1" w:styleId="Small">
    <w:name w:val="Small"/>
    <w:basedOn w:val="DefaultParagraphFont"/>
    <w:rsid w:val="00152A21"/>
    <w:rPr>
      <w:sz w:val="16"/>
    </w:rPr>
  </w:style>
  <w:style w:type="paragraph" w:customStyle="1" w:styleId="WideTable">
    <w:name w:val="Wide Table"/>
    <w:basedOn w:val="Normal"/>
    <w:rsid w:val="00152A21"/>
    <w:pPr>
      <w:ind w:left="-1418"/>
    </w:pPr>
    <w:rPr>
      <w:sz w:val="2"/>
      <w:szCs w:val="2"/>
    </w:rPr>
  </w:style>
  <w:style w:type="character" w:styleId="PageNumber">
    <w:name w:val="page number"/>
    <w:basedOn w:val="DefaultParagraphFont"/>
    <w:rsid w:val="00152A21"/>
  </w:style>
  <w:style w:type="paragraph" w:styleId="Quote">
    <w:name w:val="Quote"/>
    <w:basedOn w:val="Heading1"/>
    <w:link w:val="QuoteChar"/>
    <w:qFormat/>
    <w:rsid w:val="00152A21"/>
    <w:rPr>
      <w:b w:val="0"/>
      <w:sz w:val="72"/>
      <w:szCs w:val="72"/>
      <w:lang w:val="en-NZ"/>
    </w:rPr>
  </w:style>
  <w:style w:type="character" w:customStyle="1" w:styleId="QuoteChar">
    <w:name w:val="Quote Char"/>
    <w:basedOn w:val="DefaultParagraphFont"/>
    <w:link w:val="Quote"/>
    <w:rsid w:val="00152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A21"/>
    <w:pPr>
      <w:pageBreakBefore/>
    </w:pPr>
  </w:style>
  <w:style w:type="paragraph" w:customStyle="1" w:styleId="Border">
    <w:name w:val="Border"/>
    <w:basedOn w:val="Normal"/>
    <w:qFormat/>
    <w:rsid w:val="00152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A21"/>
    <w:rPr>
      <w:b/>
      <w:bCs/>
      <w:i/>
      <w:iCs/>
      <w:color w:val="auto"/>
    </w:rPr>
  </w:style>
  <w:style w:type="paragraph" w:styleId="IntenseQuote">
    <w:name w:val="Intense Quote"/>
    <w:basedOn w:val="Normal"/>
    <w:next w:val="Normal"/>
    <w:link w:val="IntenseQuoteChar"/>
    <w:uiPriority w:val="30"/>
    <w:qFormat/>
    <w:rsid w:val="00152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A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A21"/>
    <w:rPr>
      <w:smallCaps/>
      <w:color w:val="auto"/>
      <w:u w:val="single"/>
    </w:rPr>
  </w:style>
  <w:style w:type="character" w:styleId="IntenseReference">
    <w:name w:val="Intense Reference"/>
    <w:basedOn w:val="DefaultParagraphFont"/>
    <w:uiPriority w:val="32"/>
    <w:qFormat/>
    <w:rsid w:val="00152A21"/>
    <w:rPr>
      <w:b/>
      <w:bCs/>
      <w:smallCaps/>
      <w:color w:val="auto"/>
      <w:spacing w:val="5"/>
      <w:u w:val="single"/>
    </w:rPr>
  </w:style>
  <w:style w:type="paragraph" w:customStyle="1" w:styleId="2ColumnHeading">
    <w:name w:val="2Column Heading"/>
    <w:basedOn w:val="BodyText"/>
    <w:qFormat/>
    <w:rsid w:val="00152A21"/>
    <w:pPr>
      <w:spacing w:after="60"/>
      <w:ind w:left="-2268"/>
    </w:pPr>
    <w:rPr>
      <w:b/>
    </w:rPr>
  </w:style>
  <w:style w:type="paragraph" w:customStyle="1" w:styleId="Heading1TOC">
    <w:name w:val="Heading1 TOC"/>
    <w:basedOn w:val="Normal"/>
    <w:qFormat/>
    <w:rsid w:val="00152A21"/>
    <w:pPr>
      <w:spacing w:before="240" w:after="120"/>
    </w:pPr>
    <w:rPr>
      <w:rFonts w:ascii="Times New Roman" w:hAnsi="Times New Roman"/>
      <w:b/>
      <w:sz w:val="32"/>
    </w:rPr>
  </w:style>
  <w:style w:type="paragraph" w:customStyle="1" w:styleId="Heading2TOC">
    <w:name w:val="Heading2 TOC"/>
    <w:basedOn w:val="Normal"/>
    <w:qFormat/>
    <w:rsid w:val="00152A21"/>
    <w:pPr>
      <w:spacing w:before="240" w:after="60"/>
    </w:pPr>
    <w:rPr>
      <w:rFonts w:ascii="Times New Roman" w:hAnsi="Times New Roman"/>
      <w:b/>
      <w:sz w:val="28"/>
    </w:rPr>
  </w:style>
  <w:style w:type="character" w:customStyle="1" w:styleId="Underline">
    <w:name w:val="Underline"/>
    <w:basedOn w:val="DefaultParagraphFont"/>
    <w:qFormat/>
    <w:rsid w:val="00152A21"/>
    <w:rPr>
      <w:u w:val="single"/>
    </w:rPr>
  </w:style>
  <w:style w:type="paragraph" w:styleId="BalloonText">
    <w:name w:val="Balloon Text"/>
    <w:basedOn w:val="Normal"/>
    <w:link w:val="BalloonTextChar"/>
    <w:rsid w:val="00152A21"/>
    <w:rPr>
      <w:rFonts w:ascii="Tahoma" w:hAnsi="Tahoma" w:cs="Tahoma"/>
      <w:sz w:val="16"/>
      <w:szCs w:val="16"/>
    </w:rPr>
  </w:style>
  <w:style w:type="character" w:customStyle="1" w:styleId="BalloonTextChar">
    <w:name w:val="Balloon Text Char"/>
    <w:basedOn w:val="DefaultParagraphFont"/>
    <w:link w:val="BalloonText"/>
    <w:rsid w:val="00152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A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1621</Words>
  <Characters>10207</Characters>
  <Application>Microsoft Office Word</Application>
  <DocSecurity>0</DocSecurity>
  <Lines>396</Lines>
  <Paragraphs>226</Paragraphs>
  <ScaleCrop>false</ScaleCrop>
  <Company>Author-it Software Corporation Ltd.</Company>
  <LinksUpToDate>false</LinksUpToDate>
  <CharactersWithSpaces>11754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ICTTEN5084A Provide expert advice and support on complex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2012-05-26T07:36:00Z</dcterms:created>
  <dcterms:modified xsi:type="dcterms:W3CDTF">2012-05-26T07:36:00Z</dcterms:modified>
</cp:coreProperties>
</file>