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73A" w:rsidP="0003073A">
      <w:pPr>
        <w:pStyle w:val="Title"/>
      </w:pPr>
      <w:r>
        <w:fldChar w:fldCharType="begin"/>
      </w:r>
      <w:r>
        <w:instrText xml:space="preserve"> TITLE   \* MERGEFORMAT </w:instrText>
      </w:r>
      <w:r>
        <w:fldChar w:fldCharType="separate"/>
      </w:r>
      <w:r>
        <w:t>ICTTEN5058A Acceptance test new systems and equipment</w:t>
      </w:r>
      <w:r>
        <w:fldChar w:fldCharType="end"/>
      </w:r>
    </w:p>
    <w:p w:rsidR="0003073A" w:rsidP="0003073A">
      <w:pPr>
        <w:pStyle w:val="Version"/>
        <w:sectPr w:rsidSect="003A72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25E" w:rsidP="003A725E">
      <w:pPr>
        <w:pStyle w:val="SuperHeading"/>
      </w:pPr>
      <w:r w:rsidRPr="003A725E">
        <w:t>ICTTEN5058A Acceptance test new systems and equipment</w:t>
      </w:r>
    </w:p>
    <w:p w:rsidR="00000000" w:rsidRPr="003A725E" w:rsidP="003A725E">
      <w:pPr>
        <w:pStyle w:val="Heading1"/>
      </w:pPr>
      <w:bookmarkStart w:id="1" w:name="O_271915"/>
      <w:bookmarkEnd w:id="1"/>
      <w:r w:rsidRPr="003A725E">
        <w:t>Modification History</w:t>
      </w:r>
    </w:p>
    <w:p w:rsidR="00000000" w:rsidRPr="003A725E" w:rsidP="003A725E">
      <w:pPr>
        <w:pStyle w:val="BodyText"/>
      </w:pPr>
      <w:r w:rsidRPr="003A725E">
        <w:t>Not Applicable</w:t>
      </w:r>
    </w:p>
    <w:p w:rsidR="00000000" w:rsidRPr="003A725E" w:rsidP="003A725E">
      <w:pPr>
        <w:pStyle w:val="AllowPageBreak"/>
      </w:pPr>
    </w:p>
    <w:p w:rsidR="00000000" w:rsidRPr="003A725E" w:rsidP="003A725E">
      <w:pPr>
        <w:pStyle w:val="Heading1"/>
      </w:pPr>
      <w:bookmarkStart w:id="2" w:name="O_209844"/>
      <w:bookmarkEnd w:id="2"/>
      <w:r w:rsidRPr="003A725E">
        <w:t>Unit Descriptor</w:t>
      </w:r>
    </w:p>
    <w:tbl>
      <w:tblPr>
        <w:tblW w:w="0" w:type="auto"/>
        <w:tblLayout w:type="fixed"/>
        <w:tblCellMar>
          <w:left w:w="62" w:type="dxa"/>
          <w:right w:w="62" w:type="dxa"/>
        </w:tblCellMar>
        <w:tblLook w:val="0000"/>
      </w:tblPr>
      <w:tblGrid>
        <w:gridCol w:w="2652"/>
        <w:gridCol w:w="5870"/>
      </w:tblGrid>
      <w:tr w:rsidTr="0003073A">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BodyText"/>
            </w:pPr>
            <w:r w:rsidRPr="003A725E">
              <w:t>This unit describes the performance outcomes, skills and knowledge required to acceptance test tele</w:t>
            </w:r>
            <w:r w:rsidRPr="003A725E">
              <w:t>communications equipment. It involves the method of ensuring new system readiness through the application of appropriate inspections and tests to confirm compliance and performance.</w:t>
            </w:r>
          </w:p>
          <w:p w:rsidR="00000000" w:rsidRPr="003A725E" w:rsidP="003A725E">
            <w:pPr>
              <w:pStyle w:val="BodyText"/>
            </w:pPr>
          </w:p>
          <w:p w:rsidR="00000000" w:rsidRPr="003A725E" w:rsidP="003A725E">
            <w:pPr>
              <w:pStyle w:val="BodyText"/>
            </w:pPr>
            <w:r w:rsidRPr="003A725E">
              <w:t>No licensing, legislative, regulatory or certification requirements apply</w:t>
            </w:r>
            <w:r w:rsidRPr="003A725E">
              <w:t xml:space="preserve"> to this unit at the time of endorsement but users should confirm requirements with the relevant federal, state or territory authority.</w:t>
            </w:r>
          </w:p>
        </w:tc>
      </w:tr>
    </w:tbl>
    <w:p w:rsidR="0003073A" w:rsidP="003A725E">
      <w:pPr>
        <w:pStyle w:val="BodyText"/>
      </w:pPr>
    </w:p>
    <w:p w:rsidR="0003073A" w:rsidP="003A725E">
      <w:pPr>
        <w:pStyle w:val="BodyText"/>
      </w:pPr>
    </w:p>
    <w:p w:rsidR="00000000" w:rsidRPr="003A725E" w:rsidP="003A725E">
      <w:pPr>
        <w:pStyle w:val="Heading1"/>
      </w:pPr>
      <w:bookmarkStart w:id="3" w:name="O_209848"/>
      <w:bookmarkEnd w:id="3"/>
      <w:r w:rsidRPr="003A725E">
        <w:t>Application of the Unit</w:t>
      </w:r>
    </w:p>
    <w:tbl>
      <w:tblPr>
        <w:tblW w:w="0" w:type="auto"/>
        <w:tblLayout w:type="fixed"/>
        <w:tblCellMar>
          <w:left w:w="62" w:type="dxa"/>
          <w:right w:w="62" w:type="dxa"/>
        </w:tblCellMar>
        <w:tblLook w:val="0000"/>
      </w:tblPr>
      <w:tblGrid>
        <w:gridCol w:w="2754"/>
        <w:gridCol w:w="5768"/>
      </w:tblGrid>
      <w:tr w:rsidTr="0003073A">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BodyText"/>
            </w:pPr>
            <w:r w:rsidRPr="003A725E">
              <w:t>Field officers, technicians or technical supervisors from carriers, contractors or other service providers apply the skills and knowledge in this unit.</w:t>
            </w:r>
          </w:p>
          <w:p w:rsidR="00000000" w:rsidRPr="003A725E" w:rsidP="003A725E">
            <w:pPr>
              <w:pStyle w:val="BodyText"/>
            </w:pPr>
          </w:p>
          <w:p w:rsidR="00000000" w:rsidRPr="003A725E" w:rsidP="003A725E">
            <w:pPr>
              <w:pStyle w:val="BodyText"/>
            </w:pPr>
            <w:r w:rsidRPr="003A725E">
              <w:t>This unit applies to switching, transmission, radio and internet protocol (IP) based networks and the v</w:t>
            </w:r>
            <w:r w:rsidRPr="003A725E">
              <w:t>arious transmission paths. It also applies to carrier grade, enterprise grade or customer equipment.</w:t>
            </w:r>
          </w:p>
        </w:tc>
      </w:tr>
    </w:tbl>
    <w:p w:rsidR="0003073A" w:rsidP="003A725E">
      <w:pPr>
        <w:pStyle w:val="BodyText"/>
      </w:pPr>
    </w:p>
    <w:p w:rsidR="0003073A" w:rsidP="003A725E">
      <w:pPr>
        <w:pStyle w:val="BodyText"/>
      </w:pPr>
    </w:p>
    <w:p w:rsidR="00000000" w:rsidRPr="003A725E" w:rsidP="003A725E">
      <w:pPr>
        <w:pStyle w:val="Heading1"/>
      </w:pPr>
      <w:bookmarkStart w:id="4" w:name="O_280175"/>
      <w:bookmarkEnd w:id="4"/>
      <w:r w:rsidRPr="003A725E">
        <w:t>Licensing/Regulatory Information</w:t>
      </w:r>
    </w:p>
    <w:p w:rsidR="00000000" w:rsidRPr="003A725E" w:rsidP="003A725E">
      <w:pPr>
        <w:pStyle w:val="BodyText"/>
      </w:pPr>
      <w:r w:rsidRPr="003A725E">
        <w:t>Refer to Unit Descriptor</w:t>
      </w:r>
    </w:p>
    <w:p w:rsidR="00000000" w:rsidRPr="003A725E" w:rsidP="003A725E">
      <w:pPr>
        <w:pStyle w:val="AllowPageBreak"/>
      </w:pPr>
    </w:p>
    <w:p w:rsidR="00000000" w:rsidRPr="003A725E" w:rsidP="003A725E">
      <w:pPr>
        <w:pStyle w:val="Heading1"/>
      </w:pPr>
      <w:bookmarkStart w:id="5" w:name="O_209846"/>
      <w:bookmarkEnd w:id="5"/>
      <w:r w:rsidRPr="003A725E">
        <w:t>Pre-Requisites</w:t>
      </w:r>
    </w:p>
    <w:tbl>
      <w:tblPr>
        <w:tblW w:w="0" w:type="auto"/>
        <w:tblLayout w:type="fixed"/>
        <w:tblCellMar>
          <w:left w:w="62" w:type="dxa"/>
          <w:right w:w="62" w:type="dxa"/>
        </w:tblCellMar>
        <w:tblLook w:val="0000"/>
      </w:tblPr>
      <w:tblGrid>
        <w:gridCol w:w="2775"/>
        <w:gridCol w:w="1295"/>
        <w:gridCol w:w="4452"/>
      </w:tblGrid>
      <w:tr w:rsidTr="0003073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p>
        </w:tc>
      </w:tr>
      <w:tr w:rsidTr="000307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p>
        </w:tc>
      </w:tr>
      <w:tr w:rsidTr="000307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BodyText"/>
            </w:pPr>
          </w:p>
        </w:tc>
      </w:tr>
    </w:tbl>
    <w:p w:rsidR="0003073A" w:rsidP="003A725E">
      <w:pPr>
        <w:pStyle w:val="BodyText"/>
      </w:pPr>
    </w:p>
    <w:p w:rsidR="0003073A" w:rsidP="003A725E">
      <w:pPr>
        <w:pStyle w:val="BodyText"/>
      </w:pPr>
    </w:p>
    <w:p w:rsidR="00000000" w:rsidRPr="003A725E" w:rsidP="003A725E">
      <w:pPr>
        <w:pStyle w:val="Heading1"/>
      </w:pPr>
      <w:bookmarkStart w:id="6" w:name="O_209845"/>
      <w:bookmarkEnd w:id="6"/>
      <w:r w:rsidRPr="003A725E">
        <w:t>Employability Skills Information</w:t>
      </w:r>
    </w:p>
    <w:tbl>
      <w:tblPr>
        <w:tblW w:w="0" w:type="auto"/>
        <w:tblLayout w:type="fixed"/>
        <w:tblCellMar>
          <w:left w:w="62" w:type="dxa"/>
          <w:right w:w="62" w:type="dxa"/>
        </w:tblCellMar>
        <w:tblLook w:val="0000"/>
      </w:tblPr>
      <w:tblGrid>
        <w:gridCol w:w="2802"/>
        <w:gridCol w:w="5720"/>
      </w:tblGrid>
      <w:tr w:rsidTr="000307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BodyText"/>
            </w:pPr>
            <w:r w:rsidRPr="003A725E">
              <w:t>This unit contains employability skills.</w:t>
            </w:r>
          </w:p>
        </w:tc>
      </w:tr>
    </w:tbl>
    <w:p w:rsidR="0003073A" w:rsidP="003A725E">
      <w:pPr>
        <w:pStyle w:val="BodyText"/>
      </w:pPr>
    </w:p>
    <w:p w:rsidR="0003073A" w:rsidP="003A725E">
      <w:pPr>
        <w:pStyle w:val="BodyText"/>
      </w:pPr>
    </w:p>
    <w:p w:rsidR="00000000" w:rsidRPr="003A725E" w:rsidP="003A725E">
      <w:pPr>
        <w:pStyle w:val="Heading1"/>
      </w:pPr>
      <w:bookmarkStart w:id="7" w:name="O_289961"/>
      <w:bookmarkEnd w:id="7"/>
      <w:r w:rsidRPr="003A725E">
        <w:t>Elements and Performance Criteria Pre-Content</w:t>
      </w:r>
    </w:p>
    <w:tbl>
      <w:tblPr>
        <w:tblW w:w="0" w:type="auto"/>
        <w:tblLayout w:type="fixed"/>
        <w:tblCellMar>
          <w:left w:w="62" w:type="dxa"/>
          <w:right w:w="62" w:type="dxa"/>
        </w:tblCellMar>
        <w:tblLook w:val="0000"/>
      </w:tblPr>
      <w:tblGrid>
        <w:gridCol w:w="2578"/>
        <w:gridCol w:w="5944"/>
      </w:tblGrid>
      <w:tr w:rsidTr="0003073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BodyText"/>
            </w:pPr>
            <w:r w:rsidRPr="003A725E">
              <w:t xml:space="preserve">Performance criteria </w:t>
            </w:r>
            <w:r w:rsidRPr="003A725E">
              <w:t>describe the performance needed to demonstrate achievement of the element. Where bold italicised text is used, further information is detailed in the required skills and knowledge section and the range statement. Assessment of performance is to be consiste</w:t>
            </w:r>
            <w:r w:rsidRPr="003A725E">
              <w:t>nt with the evidence guide.</w:t>
            </w:r>
          </w:p>
        </w:tc>
      </w:tr>
    </w:tbl>
    <w:p w:rsidR="00000000" w:rsidRPr="003A725E" w:rsidP="003A725E">
      <w:pPr>
        <w:pStyle w:val="BodyText"/>
      </w:pPr>
    </w:p>
    <w:p w:rsidR="00000000" w:rsidRPr="003A725E" w:rsidP="003A725E">
      <w:pPr>
        <w:pStyle w:val="AllowPageBreak"/>
      </w:pPr>
    </w:p>
    <w:p w:rsidR="00000000" w:rsidRPr="003A725E" w:rsidP="003A725E">
      <w:pPr>
        <w:pStyle w:val="Heading1"/>
      </w:pPr>
      <w:bookmarkStart w:id="8" w:name="O_236628"/>
      <w:bookmarkEnd w:id="8"/>
      <w:r w:rsidRPr="003A725E">
        <w:t>Elements and Performance Criteria</w:t>
      </w:r>
    </w:p>
    <w:tbl>
      <w:tblPr>
        <w:tblW w:w="0" w:type="auto"/>
        <w:tblLayout w:type="fixed"/>
        <w:tblCellMar>
          <w:left w:w="62" w:type="dxa"/>
          <w:right w:w="62" w:type="dxa"/>
        </w:tblCellMar>
        <w:tblLook w:val="0000"/>
      </w:tblPr>
      <w:tblGrid>
        <w:gridCol w:w="2578"/>
        <w:gridCol w:w="5944"/>
      </w:tblGrid>
      <w:tr w:rsidTr="0003073A">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BodyText"/>
            </w:pPr>
            <w:r w:rsidRPr="003A725E">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SpecialBold"/>
              </w:rPr>
              <w:t>PERFORMANCE CRITERIA</w:t>
            </w:r>
          </w:p>
        </w:tc>
      </w:tr>
      <w:tr w:rsidTr="0003073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List"/>
              <w:rPr>
                <w:lang w:val="en-NZ"/>
              </w:rPr>
            </w:pPr>
            <w:r w:rsidRPr="003A725E">
              <w:t>1.</w:t>
            </w:r>
            <w:r w:rsidRPr="003A725E">
              <w:tab/>
              <w:t>Prepare to conduct acceptance testing</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List2"/>
            </w:pPr>
            <w:r w:rsidRPr="003A725E">
              <w:t>1.1.</w:t>
            </w:r>
            <w:r w:rsidRPr="003A725E">
              <w:tab/>
              <w:t xml:space="preserve">Obtain </w:t>
            </w:r>
            <w:r w:rsidRPr="003A725E">
              <w:rPr>
                <w:rStyle w:val="BoldandItalics"/>
              </w:rPr>
              <w:t>installation and commissioning documents</w:t>
            </w:r>
            <w:r w:rsidRPr="003A725E">
              <w:t xml:space="preserve"> and planning specifications from </w:t>
            </w:r>
            <w:r w:rsidRPr="003A725E">
              <w:rPr>
                <w:rStyle w:val="BoldandItalics"/>
              </w:rPr>
              <w:t>appropriate personnel</w:t>
            </w:r>
            <w:r w:rsidRPr="003A725E">
              <w:t xml:space="preserve"> to ensure the </w:t>
            </w:r>
            <w:r w:rsidRPr="003A725E">
              <w:rPr>
                <w:rStyle w:val="BoldandItalics"/>
              </w:rPr>
              <w:t>installed system</w:t>
            </w:r>
            <w:r w:rsidRPr="003A725E">
              <w:t xml:space="preserve"> is as planned and specified</w:t>
            </w:r>
          </w:p>
          <w:p w:rsidR="00000000" w:rsidRPr="003A725E" w:rsidP="003A725E">
            <w:pPr>
              <w:pStyle w:val="List2"/>
            </w:pPr>
            <w:r w:rsidRPr="003A725E">
              <w:t>1.2.</w:t>
            </w:r>
            <w:r w:rsidRPr="003A725E">
              <w:tab/>
              <w:t xml:space="preserve">Visually inspect new installation and verify compliance of the system against </w:t>
            </w:r>
            <w:r w:rsidRPr="003A725E">
              <w:rPr>
                <w:rStyle w:val="BoldandItalics"/>
              </w:rPr>
              <w:t>relevant legislation</w:t>
            </w:r>
            <w:r w:rsidRPr="003A725E">
              <w:t xml:space="preserve">, </w:t>
            </w:r>
            <w:r w:rsidRPr="003A725E">
              <w:rPr>
                <w:rStyle w:val="BoldandItalics"/>
              </w:rPr>
              <w:t>codes</w:t>
            </w:r>
            <w:r w:rsidRPr="003A725E">
              <w:t xml:space="preserve">, </w:t>
            </w:r>
            <w:r w:rsidRPr="003A725E">
              <w:rPr>
                <w:rStyle w:val="BoldandItalics"/>
              </w:rPr>
              <w:t>regulations and standards</w:t>
            </w:r>
            <w:r w:rsidRPr="003A725E">
              <w:t xml:space="preserve"> </w:t>
            </w:r>
          </w:p>
          <w:p w:rsidR="00000000" w:rsidRPr="003A725E" w:rsidP="003A725E">
            <w:pPr>
              <w:pStyle w:val="List2"/>
            </w:pPr>
            <w:r w:rsidRPr="003A725E">
              <w:t>1.3.</w:t>
            </w:r>
            <w:r w:rsidRPr="003A725E">
              <w:tab/>
              <w:t xml:space="preserve">Select and obtain required </w:t>
            </w:r>
            <w:r w:rsidRPr="003A725E">
              <w:rPr>
                <w:rStyle w:val="BoldandItalics"/>
              </w:rPr>
              <w:t>test</w:t>
            </w:r>
            <w:r w:rsidRPr="003A725E">
              <w:rPr>
                <w:rStyle w:val="BoldandItalics"/>
              </w:rPr>
              <w:t xml:space="preserve"> equipment</w:t>
            </w:r>
            <w:r w:rsidRPr="003A725E">
              <w:t xml:space="preserve"> for suitability of acceptance testing</w:t>
            </w:r>
          </w:p>
          <w:p w:rsidR="00000000" w:rsidP="003A725E">
            <w:pPr>
              <w:pStyle w:val="List2"/>
              <w:rPr>
                <w:lang w:val="en-NZ"/>
              </w:rPr>
            </w:pPr>
            <w:r w:rsidRPr="003A725E">
              <w:t>1.4.</w:t>
            </w:r>
            <w:r w:rsidRPr="003A725E">
              <w:tab/>
              <w:t xml:space="preserve">Prepare acceptance schedule and </w:t>
            </w:r>
            <w:r w:rsidRPr="003A725E">
              <w:rPr>
                <w:rStyle w:val="BoldandItalics"/>
              </w:rPr>
              <w:t>test criteria</w:t>
            </w:r>
            <w:r w:rsidRPr="003A725E">
              <w:t xml:space="preserve"> in consultation with appropriate personnel</w:t>
            </w:r>
          </w:p>
        </w:tc>
      </w:tr>
      <w:tr w:rsidTr="0003073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List"/>
              <w:rPr>
                <w:lang w:val="en-NZ"/>
              </w:rPr>
            </w:pPr>
            <w:r w:rsidRPr="003A725E">
              <w:t>2.</w:t>
            </w:r>
            <w:r w:rsidRPr="003A725E">
              <w:tab/>
              <w:t>Conduct acceptance testing</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List2"/>
            </w:pPr>
            <w:r w:rsidRPr="003A725E">
              <w:t>2.1.</w:t>
            </w:r>
            <w:r w:rsidRPr="003A725E">
              <w:tab/>
              <w:t xml:space="preserve">Undertake and analyse </w:t>
            </w:r>
            <w:r w:rsidRPr="003A725E">
              <w:rPr>
                <w:rStyle w:val="BoldandItalics"/>
              </w:rPr>
              <w:t>performance tests</w:t>
            </w:r>
            <w:r w:rsidRPr="003A725E">
              <w:t xml:space="preserve"> to ensure measurements meet with pred</w:t>
            </w:r>
            <w:r w:rsidRPr="003A725E">
              <w:t xml:space="preserve">etermined specifications and approved operating margins </w:t>
            </w:r>
          </w:p>
          <w:p w:rsidR="00000000" w:rsidRPr="003A725E" w:rsidP="003A725E">
            <w:pPr>
              <w:pStyle w:val="List2"/>
            </w:pPr>
            <w:r w:rsidRPr="003A725E">
              <w:t>2.2.</w:t>
            </w:r>
            <w:r w:rsidRPr="003A725E">
              <w:tab/>
              <w:t>Verify performance levels to be within tolerance specifications</w:t>
            </w:r>
          </w:p>
          <w:p w:rsidR="00000000" w:rsidRPr="003A725E" w:rsidP="003A725E">
            <w:pPr>
              <w:pStyle w:val="List2"/>
            </w:pPr>
            <w:r w:rsidRPr="003A725E">
              <w:t>2.3.</w:t>
            </w:r>
            <w:r w:rsidRPr="003A725E">
              <w:tab/>
              <w:t xml:space="preserve">Test </w:t>
            </w:r>
            <w:r w:rsidRPr="003A725E">
              <w:rPr>
                <w:rStyle w:val="BoldandItalics"/>
              </w:rPr>
              <w:t>protection mechanisms</w:t>
            </w:r>
            <w:r w:rsidRPr="003A725E">
              <w:t xml:space="preserve"> to ensure performance criteria meets the specified standard</w:t>
            </w:r>
          </w:p>
          <w:p w:rsidR="00000000" w:rsidRPr="003A725E" w:rsidP="003A725E">
            <w:pPr>
              <w:pStyle w:val="List2"/>
            </w:pPr>
            <w:r w:rsidRPr="003A725E">
              <w:t>2.4.</w:t>
            </w:r>
            <w:r w:rsidRPr="003A725E">
              <w:tab/>
              <w:t xml:space="preserve">Test </w:t>
            </w:r>
            <w:r w:rsidRPr="003A725E">
              <w:rPr>
                <w:rStyle w:val="BoldandItalics"/>
              </w:rPr>
              <w:t>alarms</w:t>
            </w:r>
            <w:r w:rsidRPr="003A725E">
              <w:t xml:space="preserve"> for satisfactory operation</w:t>
            </w:r>
          </w:p>
          <w:p w:rsidR="00000000" w:rsidRPr="003A725E" w:rsidP="003A725E">
            <w:pPr>
              <w:pStyle w:val="List2"/>
            </w:pPr>
            <w:r w:rsidRPr="003A725E">
              <w:t>2.5.</w:t>
            </w:r>
            <w:r w:rsidRPr="003A725E">
              <w:tab/>
              <w:t>Refer identified problems to appropriate personnel for remedial action</w:t>
            </w:r>
          </w:p>
          <w:p w:rsidR="00000000" w:rsidP="003A725E">
            <w:pPr>
              <w:pStyle w:val="List2"/>
              <w:rPr>
                <w:lang w:val="en-NZ"/>
              </w:rPr>
            </w:pPr>
            <w:r w:rsidRPr="003A725E">
              <w:t>2.6.</w:t>
            </w:r>
            <w:r w:rsidRPr="003A725E">
              <w:tab/>
              <w:t>Record all acceptance test procedures and results</w:t>
            </w:r>
          </w:p>
        </w:tc>
      </w:tr>
      <w:tr w:rsidTr="0003073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List"/>
              <w:rPr>
                <w:lang w:val="en-NZ"/>
              </w:rPr>
            </w:pPr>
            <w:r w:rsidRPr="003A725E">
              <w:t>3.</w:t>
            </w:r>
            <w:r w:rsidRPr="003A725E">
              <w:tab/>
              <w:t>Complete administrative tasks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List2"/>
            </w:pPr>
            <w:r w:rsidRPr="003A725E">
              <w:t>3.1.</w:t>
            </w:r>
            <w:r w:rsidRPr="003A725E">
              <w:tab/>
              <w:t>Complete acceptance documentation including recommendation</w:t>
            </w:r>
            <w:r w:rsidRPr="003A725E">
              <w:t>s</w:t>
            </w:r>
          </w:p>
          <w:p w:rsidR="00000000" w:rsidRPr="003A725E" w:rsidP="003A725E">
            <w:pPr>
              <w:pStyle w:val="List2"/>
            </w:pPr>
            <w:r w:rsidRPr="003A725E">
              <w:t>3.2.</w:t>
            </w:r>
            <w:r w:rsidRPr="003A725E">
              <w:tab/>
              <w:t>Notify appropriate personnel and obtain sign off</w:t>
            </w:r>
          </w:p>
        </w:tc>
      </w:tr>
    </w:tbl>
    <w:p w:rsidR="0003073A" w:rsidP="003A725E">
      <w:pPr>
        <w:pStyle w:val="BodyText"/>
      </w:pPr>
    </w:p>
    <w:p w:rsidR="0003073A" w:rsidP="003A725E">
      <w:pPr>
        <w:pStyle w:val="BodyText"/>
      </w:pPr>
    </w:p>
    <w:p w:rsidR="00000000" w:rsidRPr="003A725E" w:rsidP="003A725E">
      <w:pPr>
        <w:pStyle w:val="Heading1"/>
      </w:pPr>
      <w:bookmarkStart w:id="9" w:name="O_260578"/>
      <w:bookmarkEnd w:id="9"/>
      <w:r w:rsidRPr="003A725E">
        <w:t>Required Skills and Knowledge</w:t>
      </w:r>
    </w:p>
    <w:tbl>
      <w:tblPr>
        <w:tblW w:w="0" w:type="auto"/>
        <w:tblLayout w:type="fixed"/>
        <w:tblCellMar>
          <w:left w:w="62" w:type="dxa"/>
          <w:right w:w="62" w:type="dxa"/>
        </w:tblCellMar>
        <w:tblLook w:val="0000"/>
      </w:tblPr>
      <w:tblGrid>
        <w:gridCol w:w="8522"/>
      </w:tblGrid>
      <w:tr w:rsidTr="000307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SpecialBold"/>
              </w:rPr>
              <w:t>REQUIRED SKILLS AND KNOWLEDGE</w:t>
            </w:r>
          </w:p>
        </w:tc>
      </w:tr>
      <w:tr w:rsidTr="000307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t>This section describes the skills and knowledge required for this unit.</w:t>
            </w:r>
          </w:p>
        </w:tc>
      </w:tr>
      <w:tr w:rsidTr="000307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SpecialBold"/>
              </w:rPr>
              <w:t>Required skills</w:t>
            </w:r>
          </w:p>
        </w:tc>
      </w:tr>
      <w:tr w:rsidTr="000307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ListBullet"/>
            </w:pPr>
            <w:r w:rsidRPr="003A725E">
              <w:t>analytic</w:t>
            </w:r>
            <w:r w:rsidRPr="003A725E">
              <w:t>al skills to interpret test equipment settings and readings</w:t>
            </w:r>
          </w:p>
          <w:p w:rsidR="00000000" w:rsidRPr="003A725E" w:rsidP="003A725E">
            <w:pPr>
              <w:pStyle w:val="ListBullet"/>
            </w:pPr>
            <w:r w:rsidRPr="003A725E">
              <w:t>communication skills to:</w:t>
            </w:r>
          </w:p>
          <w:p w:rsidR="00000000" w:rsidRPr="003A725E" w:rsidP="003A725E">
            <w:pPr>
              <w:pStyle w:val="ListBullet2"/>
            </w:pPr>
            <w:r w:rsidRPr="003A725E">
              <w:t>liaise with customers and technical staff to ensure requirements are known and can be met within timeframes</w:t>
            </w:r>
          </w:p>
          <w:p w:rsidR="00000000" w:rsidRPr="003A725E" w:rsidP="003A725E">
            <w:pPr>
              <w:pStyle w:val="ListBullet2"/>
            </w:pPr>
            <w:r w:rsidRPr="003A725E">
              <w:t xml:space="preserve">prepare reports and technical documentation </w:t>
            </w:r>
          </w:p>
          <w:p w:rsidR="00000000" w:rsidRPr="003A725E" w:rsidP="003A725E">
            <w:pPr>
              <w:pStyle w:val="ListBullet"/>
            </w:pPr>
            <w:r w:rsidRPr="003A725E">
              <w:t xml:space="preserve">literacy skills </w:t>
            </w:r>
            <w:r w:rsidRPr="003A725E">
              <w:t>to interpret technical specifications, standards documents and related documentation</w:t>
            </w:r>
          </w:p>
          <w:p w:rsidR="00000000" w:rsidRPr="003A725E" w:rsidP="003A725E">
            <w:pPr>
              <w:pStyle w:val="ListBullet"/>
            </w:pPr>
            <w:r w:rsidRPr="003A725E">
              <w:t>numeracy skills to make calculations and necessary calibration changes</w:t>
            </w:r>
          </w:p>
          <w:p w:rsidR="00000000" w:rsidRPr="003A725E" w:rsidP="003A725E">
            <w:pPr>
              <w:pStyle w:val="ListBullet"/>
            </w:pPr>
            <w:r w:rsidRPr="003A725E">
              <w:t>planning and organisation skills to develop activity plans to undertake inspections and tests in eff</w:t>
            </w:r>
            <w:r w:rsidRPr="003A725E">
              <w:t>icient manner</w:t>
            </w:r>
          </w:p>
          <w:p w:rsidR="00000000" w:rsidRPr="003A725E" w:rsidP="003A725E">
            <w:pPr>
              <w:pStyle w:val="ListBullet"/>
            </w:pPr>
            <w:r w:rsidRPr="003A725E">
              <w:t>safety awareness skills to:</w:t>
            </w:r>
          </w:p>
          <w:p w:rsidR="00000000" w:rsidRPr="003A725E" w:rsidP="003A725E">
            <w:pPr>
              <w:pStyle w:val="ListBullet2"/>
            </w:pPr>
            <w:r w:rsidRPr="003A725E">
              <w:t>apply precautions and required action to minimise, control or eliminate hazards that may exist during work activities</w:t>
            </w:r>
          </w:p>
          <w:p w:rsidR="00000000" w:rsidRPr="003A725E" w:rsidP="003A725E">
            <w:pPr>
              <w:pStyle w:val="ListBullet2"/>
            </w:pPr>
            <w:r w:rsidRPr="003A725E">
              <w:t xml:space="preserve">work systematically with required attention to detail without injury to self or others, or damage to goods or equipment </w:t>
            </w:r>
          </w:p>
          <w:p w:rsidR="00000000" w:rsidP="003A725E">
            <w:pPr>
              <w:pStyle w:val="ListBullet"/>
              <w:rPr>
                <w:lang w:val="en-NZ"/>
              </w:rPr>
            </w:pPr>
            <w:r w:rsidRPr="003A725E">
              <w:t>technical skills to correctly handle, connect and calibrate test equipment</w:t>
            </w:r>
          </w:p>
        </w:tc>
      </w:tr>
      <w:tr w:rsidTr="000307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SpecialBold"/>
              </w:rPr>
              <w:t>Required knowledge</w:t>
            </w:r>
          </w:p>
        </w:tc>
      </w:tr>
      <w:tr w:rsidTr="000307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ListBullet"/>
            </w:pPr>
            <w:r w:rsidRPr="003A725E">
              <w:t xml:space="preserve">cabling, terminations and supporting </w:t>
            </w:r>
            <w:r w:rsidRPr="003A725E">
              <w:t>structures that may be encountered in the system under inspection</w:t>
            </w:r>
          </w:p>
          <w:p w:rsidR="00000000" w:rsidRPr="003A725E" w:rsidP="003A725E">
            <w:pPr>
              <w:pStyle w:val="ListBullet"/>
            </w:pPr>
            <w:r w:rsidRPr="003A725E">
              <w:t>common performance levels and standards</w:t>
            </w:r>
          </w:p>
          <w:p w:rsidR="00000000" w:rsidRPr="003A725E" w:rsidP="003A725E">
            <w:pPr>
              <w:pStyle w:val="ListBullet"/>
            </w:pPr>
            <w:r w:rsidRPr="003A725E">
              <w:t>electrical and or optical properties to be measured</w:t>
            </w:r>
          </w:p>
          <w:p w:rsidR="00000000" w:rsidRPr="003A725E" w:rsidP="003A725E">
            <w:pPr>
              <w:pStyle w:val="ListBullet"/>
            </w:pPr>
            <w:r w:rsidRPr="003A725E">
              <w:t>occupational health and safety (OHS) issues appropriate to the environment under inspection</w:t>
            </w:r>
          </w:p>
          <w:p w:rsidR="00000000" w:rsidRPr="003A725E" w:rsidP="003A725E">
            <w:pPr>
              <w:pStyle w:val="ListBullet"/>
            </w:pPr>
            <w:r w:rsidRPr="003A725E">
              <w:t>overview of typical network topologies, switching, routing and transmission techniques</w:t>
            </w:r>
          </w:p>
          <w:p w:rsidR="00000000" w:rsidRPr="003A725E" w:rsidP="003A725E">
            <w:pPr>
              <w:pStyle w:val="ListBullet"/>
            </w:pPr>
            <w:r w:rsidRPr="003A725E">
              <w:t>transmission type and signals that may be encountered</w:t>
            </w:r>
          </w:p>
          <w:p w:rsidR="00000000" w:rsidRPr="003A725E" w:rsidP="003A725E">
            <w:pPr>
              <w:pStyle w:val="ListBullet"/>
            </w:pPr>
            <w:r w:rsidRPr="003A725E">
              <w:t>various test equipment types suitable for tests to be made</w:t>
            </w:r>
          </w:p>
        </w:tc>
      </w:tr>
    </w:tbl>
    <w:p w:rsidR="0003073A" w:rsidP="003A725E">
      <w:pPr>
        <w:pStyle w:val="BodyText"/>
      </w:pPr>
    </w:p>
    <w:p w:rsidR="0003073A" w:rsidP="003A725E">
      <w:pPr>
        <w:pStyle w:val="BodyText"/>
      </w:pPr>
    </w:p>
    <w:p w:rsidR="00000000" w:rsidRPr="003A725E" w:rsidP="003A725E">
      <w:pPr>
        <w:pStyle w:val="AllowPageBreak"/>
      </w:pPr>
    </w:p>
    <w:p w:rsidR="00000000" w:rsidRPr="003A725E" w:rsidP="003A725E">
      <w:pPr>
        <w:pStyle w:val="Heading1"/>
      </w:pPr>
      <w:bookmarkStart w:id="10" w:name="O_244612"/>
      <w:bookmarkEnd w:id="10"/>
      <w:r w:rsidRPr="003A725E">
        <w:t>Evidence Guide</w:t>
      </w:r>
    </w:p>
    <w:tbl>
      <w:tblPr>
        <w:tblW w:w="9570" w:type="dxa"/>
        <w:tblLayout w:type="fixed"/>
        <w:tblCellMar>
          <w:left w:w="62" w:type="dxa"/>
          <w:right w:w="62" w:type="dxa"/>
        </w:tblCellMar>
        <w:tblLook w:val="0000"/>
      </w:tblPr>
      <w:tblGrid>
        <w:gridCol w:w="3908"/>
        <w:gridCol w:w="5662"/>
      </w:tblGrid>
      <w:tr w:rsidTr="000307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SpecialBold"/>
              </w:rPr>
              <w:t>EVIDENCE GUIDE</w:t>
            </w:r>
          </w:p>
        </w:tc>
      </w:tr>
      <w:tr w:rsidTr="000307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t>The evidence guide provides advice on assessment and must be read in conjunction with the performance criteria, required skills and knowledge, range statement and the Assessment Guidelines for the Training Package.</w:t>
            </w:r>
          </w:p>
        </w:tc>
      </w:tr>
      <w:tr w:rsidTr="000307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p>
        </w:tc>
      </w:tr>
      <w:tr w:rsidTr="000307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BodyText"/>
            </w:pPr>
            <w:r w:rsidRPr="003A725E">
              <w:t>Evidence of the ability to:</w:t>
            </w:r>
          </w:p>
          <w:p w:rsidR="00000000" w:rsidRPr="003A725E" w:rsidP="003A725E">
            <w:pPr>
              <w:pStyle w:val="ListBullet"/>
            </w:pPr>
            <w:r w:rsidRPr="003A725E">
              <w:t>inspect new installation and verify compliance against installation plans</w:t>
            </w:r>
          </w:p>
          <w:p w:rsidR="00000000" w:rsidRPr="003A725E" w:rsidP="003A725E">
            <w:pPr>
              <w:pStyle w:val="ListBullet"/>
            </w:pPr>
            <w:r w:rsidRPr="003A725E">
              <w:t>prepare acceptance schedule and test criteria</w:t>
            </w:r>
          </w:p>
          <w:p w:rsidR="00000000" w:rsidP="003A725E">
            <w:pPr>
              <w:pStyle w:val="ListBullet"/>
              <w:rPr>
                <w:lang w:val="en-NZ"/>
              </w:rPr>
            </w:pPr>
            <w:r w:rsidRPr="003A725E">
              <w:t>undertake r</w:t>
            </w:r>
            <w:r w:rsidRPr="003A725E">
              <w:t>elevant acceptance tests and analysis against specified performance criteria complying with all related OHS requirements and work practices.</w:t>
            </w:r>
          </w:p>
        </w:tc>
      </w:tr>
      <w:tr w:rsidTr="000307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BodyText"/>
            </w:pPr>
            <w:r w:rsidRPr="003A725E">
              <w:t>Assessment must ensure:</w:t>
            </w:r>
          </w:p>
          <w:p w:rsidR="00000000" w:rsidRPr="003A725E" w:rsidP="003A725E">
            <w:pPr>
              <w:pStyle w:val="ListBullet"/>
            </w:pPr>
            <w:r w:rsidRPr="003A725E">
              <w:t>sites where acceptance tests may be cond</w:t>
            </w:r>
            <w:r w:rsidRPr="003A725E">
              <w:t>ucted</w:t>
            </w:r>
          </w:p>
          <w:p w:rsidR="00000000" w:rsidRPr="003A725E" w:rsidP="003A725E">
            <w:pPr>
              <w:pStyle w:val="ListBullet"/>
            </w:pPr>
            <w:r w:rsidRPr="003A725E">
              <w:t xml:space="preserve">use of testing equipment currently used in industry </w:t>
            </w:r>
          </w:p>
          <w:p w:rsidR="00000000" w:rsidP="003A725E">
            <w:pPr>
              <w:pStyle w:val="ListBullet"/>
              <w:rPr>
                <w:lang w:val="en-NZ"/>
              </w:rPr>
            </w:pPr>
            <w:r w:rsidRPr="003A725E">
              <w:t>relevant regulatory and equipment documentation.</w:t>
            </w:r>
          </w:p>
        </w:tc>
      </w:tr>
      <w:tr w:rsidTr="000307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BodyText"/>
            </w:pPr>
            <w:r w:rsidRPr="003A725E">
              <w:t xml:space="preserve">A range of assessment methods should be used to assess practical skills and knowledge. The following examples are appropriate </w:t>
            </w:r>
            <w:r w:rsidRPr="003A725E">
              <w:t>for this unit:</w:t>
            </w:r>
          </w:p>
          <w:p w:rsidR="00000000" w:rsidRPr="003A725E" w:rsidP="003A725E">
            <w:pPr>
              <w:pStyle w:val="ListBullet"/>
            </w:pPr>
            <w:r w:rsidRPr="003A725E">
              <w:t>direct observation of the candidate undertaking acceptance tests</w:t>
            </w:r>
          </w:p>
          <w:p w:rsidR="00000000" w:rsidRPr="003A725E" w:rsidP="003A725E">
            <w:pPr>
              <w:pStyle w:val="ListBullet"/>
            </w:pPr>
            <w:r w:rsidRPr="003A725E">
              <w:t>review of reports and plans completed by the candidate for different scenarios and situations</w:t>
            </w:r>
          </w:p>
          <w:p w:rsidR="00000000" w:rsidRPr="003A725E" w:rsidP="003A725E">
            <w:pPr>
              <w:pStyle w:val="ListBullet"/>
            </w:pPr>
            <w:r w:rsidRPr="003A725E">
              <w:t>oral or written questioning to assess knowledge of tests and inspections types of</w:t>
            </w:r>
            <w:r w:rsidRPr="003A725E">
              <w:t xml:space="preserve"> systems and applications</w:t>
            </w:r>
          </w:p>
          <w:p w:rsidR="00000000" w:rsidP="003A725E">
            <w:pPr>
              <w:pStyle w:val="ListBullet"/>
              <w:rPr>
                <w:lang w:val="en-NZ"/>
              </w:rPr>
            </w:pPr>
            <w:r w:rsidRPr="003A725E">
              <w:t>review of a completed acceptance documentation for systems and equipment prepared by the candidate including recommendations.</w:t>
            </w:r>
          </w:p>
        </w:tc>
      </w:tr>
      <w:tr w:rsidTr="000307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BodyText"/>
            </w:pPr>
            <w:r w:rsidRPr="003A725E">
              <w:t>Holistic assessment with other units relevant to the industry secto</w:t>
            </w:r>
            <w:r w:rsidRPr="003A725E">
              <w:t xml:space="preserve">r, workplace and job role is recommended, for example: </w:t>
            </w:r>
          </w:p>
          <w:p w:rsidR="00000000" w:rsidRPr="003A725E" w:rsidP="003A725E">
            <w:pPr>
              <w:pStyle w:val="ListBullet"/>
            </w:pPr>
            <w:r w:rsidRPr="003A725E">
              <w:t>ICTTEN5059A Commission telecommunications network equipment</w:t>
            </w:r>
          </w:p>
          <w:p w:rsidR="00000000" w:rsidRPr="003A725E" w:rsidP="003A725E">
            <w:pPr>
              <w:pStyle w:val="ListBullet"/>
            </w:pPr>
            <w:r w:rsidRPr="003A725E">
              <w:t>ICTTEN5092A Undertake planned outage management.</w:t>
            </w:r>
          </w:p>
          <w:p w:rsidR="00000000" w:rsidRPr="003A725E" w:rsidP="003A725E">
            <w:pPr>
              <w:pStyle w:val="BodyText"/>
            </w:pPr>
          </w:p>
          <w:p w:rsidR="00000000" w:rsidRPr="003A725E" w:rsidP="003A725E">
            <w:pPr>
              <w:pStyle w:val="BodyText"/>
            </w:pPr>
            <w:r w:rsidRPr="003A725E">
              <w:t>Aboriginal people and other people</w:t>
            </w:r>
            <w:r w:rsidRPr="003A725E">
              <w:t xml:space="preserve"> from a non-English speaking background may have second language issues.</w:t>
            </w:r>
          </w:p>
          <w:p w:rsidR="00000000" w:rsidRPr="003A725E" w:rsidP="003A725E">
            <w:pPr>
              <w:pStyle w:val="BodyText"/>
            </w:pPr>
          </w:p>
          <w:p w:rsidR="00000000" w:rsidRPr="003A725E" w:rsidP="003A725E">
            <w:pPr>
              <w:pStyle w:val="BodyText"/>
            </w:pPr>
            <w:r w:rsidRPr="003A725E">
              <w:t xml:space="preserve">Access must be provided to appropriate learning and assessment support when required. </w:t>
            </w:r>
          </w:p>
          <w:p w:rsidR="00000000" w:rsidRPr="003A725E" w:rsidP="003A725E">
            <w:pPr>
              <w:pStyle w:val="BodyText"/>
            </w:pPr>
          </w:p>
          <w:p w:rsidR="00000000" w:rsidRPr="003A725E" w:rsidP="003A725E">
            <w:pPr>
              <w:pStyle w:val="BodyText"/>
            </w:pPr>
            <w:r w:rsidRPr="003A725E">
              <w:t>Assessment processes and techniques must be culturally appropriate, and appropriate to the ora</w:t>
            </w:r>
            <w:r w:rsidRPr="003A725E">
              <w:t>l communication skill level, and language and literacy capacity of the candidate and the work being performed.</w:t>
            </w:r>
          </w:p>
          <w:p w:rsidR="00000000" w:rsidRPr="003A725E" w:rsidP="003A725E">
            <w:pPr>
              <w:pStyle w:val="BodyText"/>
            </w:pPr>
          </w:p>
          <w:p w:rsidR="00000000" w:rsidRPr="003A725E" w:rsidP="003A725E">
            <w:pPr>
              <w:pStyle w:val="BodyText"/>
            </w:pPr>
            <w:r w:rsidRPr="003A725E">
              <w:t>In all cases where practical assessment is used it will be combined with targeted questioning to assess required knowledge. Questioning techniqu</w:t>
            </w:r>
            <w:r w:rsidRPr="003A725E">
              <w:t xml:space="preserve">es should not require language, literacy and numeracy skills beyond those required in this unit of competency. </w:t>
            </w:r>
          </w:p>
          <w:p w:rsidR="00000000" w:rsidRPr="003A725E" w:rsidP="003A725E">
            <w:pPr>
              <w:pStyle w:val="BodyText"/>
            </w:pPr>
          </w:p>
          <w:p w:rsidR="00000000" w:rsidRPr="003A725E" w:rsidP="003A725E">
            <w:pPr>
              <w:pStyle w:val="BodyText"/>
            </w:pPr>
            <w:r w:rsidRPr="003A725E">
              <w:t>Where applicable, physical resources should include equipment modified for people with special needs.</w:t>
            </w:r>
          </w:p>
        </w:tc>
      </w:tr>
    </w:tbl>
    <w:p w:rsidR="0003073A" w:rsidP="003A725E">
      <w:pPr>
        <w:pStyle w:val="BodyText"/>
      </w:pPr>
    </w:p>
    <w:p w:rsidR="0003073A" w:rsidP="003A725E">
      <w:pPr>
        <w:pStyle w:val="BodyText"/>
      </w:pPr>
    </w:p>
    <w:p w:rsidR="00000000" w:rsidRPr="003A725E" w:rsidP="003A725E">
      <w:pPr>
        <w:pStyle w:val="Heading1"/>
      </w:pPr>
      <w:bookmarkStart w:id="11" w:name="O_252595"/>
      <w:bookmarkEnd w:id="11"/>
      <w:r w:rsidRPr="003A725E">
        <w:t>Range Statement</w:t>
      </w:r>
    </w:p>
    <w:tbl>
      <w:tblPr>
        <w:tblW w:w="0" w:type="auto"/>
        <w:tblLayout w:type="fixed"/>
        <w:tblCellMar>
          <w:left w:w="62" w:type="dxa"/>
          <w:right w:w="62" w:type="dxa"/>
        </w:tblCellMar>
        <w:tblLook w:val="0000"/>
      </w:tblPr>
      <w:tblGrid>
        <w:gridCol w:w="3463"/>
        <w:gridCol w:w="5059"/>
      </w:tblGrid>
      <w:tr w:rsidTr="000307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SpecialBold"/>
              </w:rPr>
              <w:t>RANGE STATEMENT</w:t>
            </w:r>
          </w:p>
        </w:tc>
      </w:tr>
      <w:tr w:rsidTr="000307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t>The range statement relates to the unit of competency as a whole. It allows for different work environments and situations that may affect performance. Bold italicised wording, if used in the performance criteria, is detailed below. Essen</w:t>
            </w:r>
            <w:r w:rsidRPr="003A725E">
              <w:t>tial operating conditions that may be present with training and assessment (depending on the work situation, needs of the candidate, accessibility of the item, and local industry and regional contexts) may also be included.</w:t>
            </w:r>
          </w:p>
        </w:tc>
      </w:tr>
      <w:tr w:rsidTr="0003073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BoldandItalics"/>
              </w:rPr>
              <w:t>Installation and commissioning</w:t>
            </w:r>
            <w:r w:rsidRPr="003A725E">
              <w:rPr>
                <w:rStyle w:val="BoldandItalics"/>
              </w:rPr>
              <w:t xml:space="preserve"> documents</w:t>
            </w:r>
            <w:r w:rsidRPr="003A725E">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ListBullet"/>
            </w:pPr>
            <w:r w:rsidRPr="003A725E">
              <w:t>agreed modifications to original design plan</w:t>
            </w:r>
          </w:p>
          <w:p w:rsidR="00000000" w:rsidRPr="003A725E" w:rsidP="003A725E">
            <w:pPr>
              <w:pStyle w:val="ListBullet"/>
            </w:pPr>
            <w:r w:rsidRPr="003A725E">
              <w:t>commissioning test results</w:t>
            </w:r>
          </w:p>
          <w:p w:rsidR="00000000" w:rsidRPr="003A725E" w:rsidP="003A725E">
            <w:pPr>
              <w:pStyle w:val="ListBullet"/>
            </w:pPr>
            <w:r w:rsidRPr="003A725E">
              <w:t>preliminary test results</w:t>
            </w:r>
          </w:p>
          <w:p w:rsidR="00000000" w:rsidP="003A725E">
            <w:pPr>
              <w:pStyle w:val="ListBullet"/>
              <w:rPr>
                <w:lang w:val="en-NZ"/>
              </w:rPr>
            </w:pPr>
            <w:r w:rsidRPr="003A725E">
              <w:t>recommendations from commissioning procedures.</w:t>
            </w:r>
          </w:p>
        </w:tc>
      </w:tr>
      <w:tr w:rsidTr="0003073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BoldandItalics"/>
              </w:rPr>
              <w:t>Appropriate personnel</w:t>
            </w:r>
            <w:r w:rsidRPr="003A725E">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ListBullet"/>
            </w:pPr>
            <w:r w:rsidRPr="003A725E">
              <w:t>network manager</w:t>
            </w:r>
          </w:p>
          <w:p w:rsidR="00000000" w:rsidRPr="003A725E" w:rsidP="003A725E">
            <w:pPr>
              <w:pStyle w:val="ListBullet"/>
            </w:pPr>
            <w:r w:rsidRPr="003A725E">
              <w:t>planning manager</w:t>
            </w:r>
          </w:p>
          <w:p w:rsidR="00000000" w:rsidP="003A725E">
            <w:pPr>
              <w:pStyle w:val="ListBullet"/>
              <w:rPr>
                <w:lang w:val="en-NZ"/>
              </w:rPr>
            </w:pPr>
            <w:r w:rsidRPr="003A725E">
              <w:t>project manager.</w:t>
            </w:r>
          </w:p>
        </w:tc>
      </w:tr>
      <w:tr w:rsidTr="0003073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BoldandItalics"/>
              </w:rPr>
              <w:t>Installed system</w:t>
            </w:r>
            <w:r w:rsidRPr="003A725E">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ListBullet"/>
            </w:pPr>
            <w:r w:rsidRPr="003A725E">
              <w:t>Access Network</w:t>
            </w:r>
          </w:p>
          <w:p w:rsidR="00000000" w:rsidRPr="003A725E" w:rsidP="003A725E">
            <w:pPr>
              <w:pStyle w:val="ListBullet"/>
            </w:pPr>
            <w:r w:rsidRPr="003A725E">
              <w:t>broadband access network</w:t>
            </w:r>
          </w:p>
          <w:p w:rsidR="00000000" w:rsidRPr="003A725E" w:rsidP="003A725E">
            <w:pPr>
              <w:pStyle w:val="ListBullet"/>
            </w:pPr>
            <w:r w:rsidRPr="003A725E">
              <w:t>IP networks</w:t>
            </w:r>
          </w:p>
          <w:p w:rsidR="00000000" w:rsidRPr="003A725E" w:rsidP="003A725E">
            <w:pPr>
              <w:pStyle w:val="ListBullet"/>
            </w:pPr>
            <w:r w:rsidRPr="003A725E">
              <w:t>radio network</w:t>
            </w:r>
          </w:p>
          <w:p w:rsidR="00000000" w:rsidRPr="003A725E" w:rsidP="003A725E">
            <w:pPr>
              <w:pStyle w:val="ListBullet"/>
            </w:pPr>
            <w:r w:rsidRPr="003A725E">
              <w:t>switching</w:t>
            </w:r>
          </w:p>
          <w:p w:rsidR="00000000" w:rsidRPr="003A725E" w:rsidP="003A725E">
            <w:pPr>
              <w:pStyle w:val="ListBullet"/>
            </w:pPr>
            <w:r w:rsidRPr="003A725E">
              <w:t>transmission</w:t>
            </w:r>
          </w:p>
          <w:p w:rsidR="00000000" w:rsidP="003A725E">
            <w:pPr>
              <w:pStyle w:val="ListBullet"/>
              <w:rPr>
                <w:lang w:val="en-NZ"/>
              </w:rPr>
            </w:pPr>
            <w:r w:rsidRPr="003A725E">
              <w:t>wireless access network.</w:t>
            </w:r>
          </w:p>
        </w:tc>
      </w:tr>
      <w:tr w:rsidTr="0003073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BoldandItalics"/>
              </w:rPr>
              <w:t>Relevant legislation</w:t>
            </w:r>
            <w:r w:rsidRPr="003A725E">
              <w:t xml:space="preserve">, </w:t>
            </w:r>
            <w:r w:rsidRPr="003A725E">
              <w:rPr>
                <w:rStyle w:val="BoldandItalics"/>
              </w:rPr>
              <w:t>codes</w:t>
            </w:r>
            <w:r w:rsidRPr="003A725E">
              <w:t xml:space="preserve">, </w:t>
            </w:r>
            <w:r w:rsidRPr="003A725E">
              <w:rPr>
                <w:rStyle w:val="BoldandItalics"/>
              </w:rPr>
              <w:t>regulations and standards</w:t>
            </w:r>
            <w:r w:rsidRPr="003A725E">
              <w:t xml:space="preserve">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ListBullet"/>
            </w:pPr>
            <w:r w:rsidRPr="003A725E">
              <w:t>Australian Communications Industry Forum (ACIF) standards and codes</w:t>
            </w:r>
          </w:p>
          <w:p w:rsidR="00000000" w:rsidRPr="003A725E" w:rsidP="003A725E">
            <w:pPr>
              <w:pStyle w:val="ListBullet"/>
            </w:pPr>
            <w:r w:rsidRPr="003A725E">
              <w:t>Australian Communications and Media Authority (ACMA) technical standards</w:t>
            </w:r>
          </w:p>
          <w:p w:rsidR="00000000" w:rsidRPr="003A725E" w:rsidP="003A725E">
            <w:pPr>
              <w:pStyle w:val="ListBullet"/>
            </w:pPr>
            <w:r w:rsidRPr="003A725E">
              <w:t>International Standards ISO 9000 and 9001</w:t>
            </w:r>
          </w:p>
          <w:p w:rsidR="00000000" w:rsidRPr="003A725E" w:rsidP="003A725E">
            <w:pPr>
              <w:pStyle w:val="ListBullet"/>
            </w:pPr>
            <w:r w:rsidRPr="003A725E">
              <w:t>International Telecommunications Union (ITU) standards</w:t>
            </w:r>
          </w:p>
          <w:p w:rsidR="00000000" w:rsidRPr="003A725E" w:rsidP="003A725E">
            <w:pPr>
              <w:pStyle w:val="ListBullet"/>
            </w:pPr>
            <w:r w:rsidRPr="003A725E">
              <w:t>OHS</w:t>
            </w:r>
          </w:p>
          <w:p w:rsidR="00000000" w:rsidRPr="003A725E" w:rsidP="003A725E">
            <w:pPr>
              <w:pStyle w:val="ListBullet"/>
            </w:pPr>
            <w:r w:rsidRPr="003A725E">
              <w:t>Privacy Act</w:t>
            </w:r>
          </w:p>
          <w:p w:rsidR="00000000" w:rsidP="003A725E">
            <w:pPr>
              <w:pStyle w:val="ListBullet"/>
              <w:rPr>
                <w:lang w:val="en-NZ"/>
              </w:rPr>
            </w:pPr>
            <w:r w:rsidRPr="003A725E">
              <w:t>pr</w:t>
            </w:r>
            <w:r w:rsidRPr="003A725E">
              <w:t>ivate property law.</w:t>
            </w:r>
          </w:p>
        </w:tc>
      </w:tr>
      <w:tr w:rsidTr="0003073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BoldandItalics"/>
              </w:rPr>
              <w:t>Test equipment</w:t>
            </w:r>
            <w:r w:rsidRPr="003A725E">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ListBullet"/>
            </w:pPr>
            <w:r w:rsidRPr="003A725E">
              <w:t>digital analysers</w:t>
            </w:r>
          </w:p>
          <w:p w:rsidR="00000000" w:rsidRPr="003A725E" w:rsidP="003A725E">
            <w:pPr>
              <w:pStyle w:val="ListBullet"/>
            </w:pPr>
            <w:r w:rsidRPr="003A725E">
              <w:t>global system for mobiles (GSM) spectrum frequency synthesiser</w:t>
            </w:r>
          </w:p>
          <w:p w:rsidR="00000000" w:rsidRPr="003A725E" w:rsidP="003A725E">
            <w:pPr>
              <w:pStyle w:val="ListBullet"/>
            </w:pPr>
            <w:r w:rsidRPr="003A725E">
              <w:t>optical fibre power meters</w:t>
            </w:r>
          </w:p>
          <w:p w:rsidR="00000000" w:rsidRPr="003A725E" w:rsidP="003A725E">
            <w:pPr>
              <w:pStyle w:val="ListBullet"/>
            </w:pPr>
            <w:r w:rsidRPr="003A725E">
              <w:t>optical time domain reflectometer (OTDR)</w:t>
            </w:r>
          </w:p>
          <w:p w:rsidR="00000000" w:rsidRPr="003A725E" w:rsidP="003A725E">
            <w:pPr>
              <w:pStyle w:val="ListBullet"/>
            </w:pPr>
            <w:r w:rsidRPr="003A725E">
              <w:t>protocol analysers</w:t>
            </w:r>
          </w:p>
          <w:p w:rsidR="00000000" w:rsidP="003A725E">
            <w:pPr>
              <w:pStyle w:val="ListBullet"/>
              <w:rPr>
                <w:lang w:val="en-NZ"/>
              </w:rPr>
            </w:pPr>
            <w:r w:rsidRPr="003A725E">
              <w:t>spectrum analysers.</w:t>
            </w:r>
          </w:p>
        </w:tc>
      </w:tr>
      <w:tr w:rsidTr="0003073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BoldandItalics"/>
              </w:rPr>
              <w:t>Test criteria</w:t>
            </w:r>
            <w:r w:rsidRPr="003A725E">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ListBullet"/>
            </w:pPr>
            <w:r w:rsidRPr="003A725E">
              <w:t>live traffic tests</w:t>
            </w:r>
          </w:p>
          <w:p w:rsidR="00000000" w:rsidRPr="003A725E" w:rsidP="003A725E">
            <w:pPr>
              <w:pStyle w:val="ListBullet"/>
            </w:pPr>
            <w:r w:rsidRPr="003A725E">
              <w:t>normal and extreme load tests</w:t>
            </w:r>
          </w:p>
          <w:p w:rsidR="00000000" w:rsidRPr="003A725E" w:rsidP="003A725E">
            <w:pPr>
              <w:pStyle w:val="ListBullet"/>
            </w:pPr>
            <w:r w:rsidRPr="003A725E">
              <w:t>test environment</w:t>
            </w:r>
          </w:p>
          <w:p w:rsidR="00000000" w:rsidP="003A725E">
            <w:pPr>
              <w:pStyle w:val="ListBullet"/>
              <w:rPr>
                <w:lang w:val="en-NZ"/>
              </w:rPr>
            </w:pPr>
            <w:r w:rsidRPr="003A725E">
              <w:t>test margins and errors.</w:t>
            </w:r>
          </w:p>
        </w:tc>
      </w:tr>
      <w:tr w:rsidTr="0003073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BoldandItalics"/>
              </w:rPr>
              <w:t>Performance tests</w:t>
            </w:r>
            <w:r w:rsidRPr="003A725E">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ListBullet"/>
            </w:pPr>
            <w:r w:rsidRPr="003A725E">
              <w:t>compliance tests:</w:t>
            </w:r>
          </w:p>
          <w:p w:rsidR="00000000" w:rsidRPr="003A725E" w:rsidP="003A725E">
            <w:pPr>
              <w:pStyle w:val="ListBullet2"/>
            </w:pPr>
            <w:r w:rsidRPr="003A725E">
              <w:t xml:space="preserve">electromagnetic compatibility (EMC) </w:t>
            </w:r>
          </w:p>
          <w:p w:rsidR="00000000" w:rsidRPr="003A725E" w:rsidP="003A725E">
            <w:pPr>
              <w:pStyle w:val="ListBullet2"/>
            </w:pPr>
            <w:r w:rsidRPr="003A725E">
              <w:t>electromagnetic interference (EMI)</w:t>
            </w:r>
          </w:p>
          <w:p w:rsidR="00000000" w:rsidRPr="003A725E" w:rsidP="003A725E">
            <w:pPr>
              <w:pStyle w:val="ListBullet"/>
            </w:pPr>
            <w:r w:rsidRPr="003A725E">
              <w:t>stability tests</w:t>
            </w:r>
          </w:p>
          <w:p w:rsidR="00000000" w:rsidP="003A725E">
            <w:pPr>
              <w:pStyle w:val="ListBullet"/>
              <w:rPr>
                <w:lang w:val="en-NZ"/>
              </w:rPr>
            </w:pPr>
            <w:r w:rsidRPr="003A725E">
              <w:t>transmission tests.</w:t>
            </w:r>
          </w:p>
        </w:tc>
      </w:tr>
      <w:tr w:rsidTr="0003073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BoldandItalics"/>
              </w:rPr>
              <w:t>Protection mechanisms</w:t>
            </w:r>
            <w:r w:rsidRPr="003A725E">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ListBullet"/>
            </w:pPr>
            <w:r w:rsidRPr="003A725E">
              <w:t>uninterrupted power supply (UPS)</w:t>
            </w:r>
          </w:p>
          <w:p w:rsidR="00000000" w:rsidRPr="003A725E" w:rsidP="003A725E">
            <w:pPr>
              <w:pStyle w:val="ListBullet"/>
            </w:pPr>
            <w:r w:rsidRPr="003A725E">
              <w:t xml:space="preserve">earth leakage breakers </w:t>
            </w:r>
          </w:p>
          <w:p w:rsidR="00000000" w:rsidRPr="003A725E" w:rsidP="003A725E">
            <w:pPr>
              <w:pStyle w:val="ListBullet"/>
            </w:pPr>
            <w:r w:rsidRPr="003A725E">
              <w:t>earth protection</w:t>
            </w:r>
          </w:p>
          <w:p w:rsidR="00000000" w:rsidRPr="003A725E" w:rsidP="003A725E">
            <w:pPr>
              <w:pStyle w:val="ListBullet"/>
            </w:pPr>
            <w:r w:rsidRPr="003A725E">
              <w:t>redundant standby equipment</w:t>
            </w:r>
          </w:p>
          <w:p w:rsidR="00000000" w:rsidP="003A725E">
            <w:pPr>
              <w:pStyle w:val="ListBullet"/>
              <w:rPr>
                <w:lang w:val="en-NZ"/>
              </w:rPr>
            </w:pPr>
            <w:r w:rsidRPr="003A725E">
              <w:t>software back up and restore.</w:t>
            </w:r>
          </w:p>
        </w:tc>
      </w:tr>
      <w:tr w:rsidTr="0003073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BodyText"/>
            </w:pPr>
            <w:r w:rsidRPr="003A725E">
              <w:rPr>
                <w:rStyle w:val="BoldandItalics"/>
              </w:rPr>
              <w:t>Alarms</w:t>
            </w:r>
            <w:r w:rsidRPr="003A725E">
              <w:t xml:space="preserve"> may include:</w:t>
            </w:r>
          </w:p>
          <w:p w:rsidR="00000000" w:rsidP="003A725E">
            <w:pPr>
              <w:pStyle w:val="BodyText"/>
              <w:rPr>
                <w:lang w:val="en-NZ"/>
              </w:rPr>
            </w:pPr>
            <w:r w:rsidRPr="003A725E">
              <w:tab/>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ListBullet"/>
            </w:pPr>
            <w:r w:rsidRPr="003A725E">
              <w:t>audible alarms</w:t>
            </w:r>
          </w:p>
          <w:p w:rsidR="00000000" w:rsidRPr="003A725E" w:rsidP="003A725E">
            <w:pPr>
              <w:pStyle w:val="ListBullet"/>
            </w:pPr>
            <w:r w:rsidRPr="003A725E">
              <w:t>on-screen display and monitoring systems</w:t>
            </w:r>
          </w:p>
          <w:p w:rsidR="00000000" w:rsidRPr="003A725E" w:rsidP="003A725E">
            <w:pPr>
              <w:pStyle w:val="ListBullet"/>
            </w:pPr>
            <w:r w:rsidRPr="003A725E">
              <w:t>visual indicators.</w:t>
            </w:r>
          </w:p>
        </w:tc>
      </w:tr>
    </w:tbl>
    <w:p w:rsidR="0003073A" w:rsidP="003A725E">
      <w:pPr>
        <w:pStyle w:val="BodyText"/>
      </w:pPr>
    </w:p>
    <w:p w:rsidR="0003073A" w:rsidP="003A725E">
      <w:pPr>
        <w:pStyle w:val="BodyText"/>
      </w:pPr>
    </w:p>
    <w:p w:rsidR="00000000" w:rsidRPr="003A725E" w:rsidP="003A725E">
      <w:pPr>
        <w:pStyle w:val="Heading1"/>
      </w:pPr>
      <w:bookmarkStart w:id="12" w:name="O_209850"/>
      <w:bookmarkEnd w:id="12"/>
      <w:r w:rsidRPr="003A725E">
        <w:t>Unit Sector(s)</w:t>
      </w:r>
    </w:p>
    <w:tbl>
      <w:tblPr>
        <w:tblW w:w="0" w:type="auto"/>
        <w:tblLayout w:type="fixed"/>
        <w:tblCellMar>
          <w:left w:w="62" w:type="dxa"/>
          <w:right w:w="62" w:type="dxa"/>
        </w:tblCellMar>
        <w:tblLook w:val="0000"/>
      </w:tblPr>
      <w:tblGrid>
        <w:gridCol w:w="2570"/>
        <w:gridCol w:w="5952"/>
      </w:tblGrid>
      <w:tr w:rsidTr="0003073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BodyText"/>
            </w:pPr>
            <w:r w:rsidRPr="003A725E">
              <w:t>Telecommunications</w:t>
            </w:r>
          </w:p>
        </w:tc>
      </w:tr>
    </w:tbl>
    <w:p w:rsidR="0003073A" w:rsidP="003A725E">
      <w:pPr>
        <w:pStyle w:val="BodyText"/>
      </w:pPr>
    </w:p>
    <w:p w:rsidR="0003073A" w:rsidP="003A725E">
      <w:pPr>
        <w:pStyle w:val="BodyText"/>
      </w:pPr>
    </w:p>
    <w:p w:rsidR="00000000" w:rsidRPr="003A725E" w:rsidP="003A725E">
      <w:pPr>
        <w:pStyle w:val="Heading1"/>
      </w:pPr>
      <w:bookmarkStart w:id="13" w:name="O_209847"/>
      <w:bookmarkEnd w:id="13"/>
      <w:r w:rsidRPr="003A725E">
        <w:t>Co-requisite units</w:t>
      </w:r>
    </w:p>
    <w:tbl>
      <w:tblPr>
        <w:tblW w:w="0" w:type="auto"/>
        <w:tblLayout w:type="fixed"/>
        <w:tblCellMar>
          <w:left w:w="62" w:type="dxa"/>
          <w:right w:w="62" w:type="dxa"/>
        </w:tblCellMar>
        <w:tblLook w:val="0000"/>
      </w:tblPr>
      <w:tblGrid>
        <w:gridCol w:w="2641"/>
        <w:gridCol w:w="1322"/>
        <w:gridCol w:w="4559"/>
      </w:tblGrid>
      <w:tr w:rsidTr="000307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307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p>
        </w:tc>
      </w:tr>
      <w:tr w:rsidTr="000307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BodyText"/>
            </w:pPr>
          </w:p>
        </w:tc>
      </w:tr>
    </w:tbl>
    <w:p w:rsidR="0003073A" w:rsidP="003A725E">
      <w:pPr>
        <w:pStyle w:val="BodyText"/>
      </w:pPr>
    </w:p>
    <w:p w:rsidR="0003073A" w:rsidP="003A725E">
      <w:pPr>
        <w:pStyle w:val="BodyText"/>
      </w:pPr>
    </w:p>
    <w:p w:rsidR="00000000" w:rsidRPr="003A725E" w:rsidP="003A725E">
      <w:pPr>
        <w:pStyle w:val="Heading1"/>
      </w:pPr>
      <w:bookmarkStart w:id="14" w:name="O_209849"/>
      <w:bookmarkEnd w:id="14"/>
      <w:r w:rsidRPr="003A725E">
        <w:t>Competency field</w:t>
      </w:r>
    </w:p>
    <w:tbl>
      <w:tblPr>
        <w:tblW w:w="0" w:type="auto"/>
        <w:tblLayout w:type="fixed"/>
        <w:tblCellMar>
          <w:left w:w="62" w:type="dxa"/>
          <w:right w:w="62" w:type="dxa"/>
        </w:tblCellMar>
        <w:tblLook w:val="0000"/>
      </w:tblPr>
      <w:tblGrid>
        <w:gridCol w:w="2768"/>
        <w:gridCol w:w="5754"/>
      </w:tblGrid>
      <w:tr w:rsidTr="0003073A">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5E">
            <w:pPr>
              <w:pStyle w:val="BodyText"/>
              <w:rPr>
                <w:lang w:val="en-NZ"/>
              </w:rPr>
            </w:pPr>
            <w:r w:rsidRPr="003A725E">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5E" w:rsidP="003A725E">
            <w:pPr>
              <w:pStyle w:val="BodyText"/>
            </w:pPr>
            <w:r w:rsidRPr="003A725E">
              <w:t>Telecommunications networks engineering</w:t>
            </w:r>
          </w:p>
        </w:tc>
      </w:tr>
    </w:tbl>
    <w:p w:rsidR="0003073A" w:rsidP="003A725E">
      <w:pPr>
        <w:pStyle w:val="BodyText"/>
      </w:pPr>
    </w:p>
    <w:p w:rsidR="0003073A" w:rsidP="003A725E">
      <w:pPr>
        <w:pStyle w:val="BodyText"/>
      </w:pPr>
    </w:p>
    <w:p w:rsidR="00000000" w:rsidRPr="003A725E" w:rsidP="003A725E"/>
    <w:sectPr w:rsidSect="003A72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73A" w:rsidP="000307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73A" w:rsidP="003A72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3073A" w:rsidP="003A72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073A" w:rsidP="003A72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73A" w:rsidP="000307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73A" w:rsidP="003A725E">
    <w:pPr>
      <w:pStyle w:val="Header"/>
      <w:framePr w:wrap="around"/>
    </w:pPr>
    <w:r>
      <w:fldChar w:fldCharType="begin"/>
    </w:r>
    <w:r>
      <w:instrText xml:space="preserve"> TITLE   \* MERGEFORMAT </w:instrText>
    </w:r>
    <w:r>
      <w:fldChar w:fldCharType="separate"/>
    </w:r>
    <w:r>
      <w:t>ICTTEN5058A Acceptance test new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3073A" w:rsidP="003A72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A2D5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C682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10E1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2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725E"/>
    <w:pPr>
      <w:spacing w:before="360" w:after="60"/>
      <w:outlineLvl w:val="0"/>
    </w:pPr>
    <w:rPr>
      <w:sz w:val="32"/>
    </w:rPr>
  </w:style>
  <w:style w:type="paragraph" w:styleId="Heading2">
    <w:name w:val="heading 2"/>
    <w:basedOn w:val="HeadingBase"/>
    <w:next w:val="BodyText"/>
    <w:link w:val="Heading2Char"/>
    <w:qFormat/>
    <w:rsid w:val="003A725E"/>
    <w:pPr>
      <w:keepLines/>
      <w:spacing w:before="240" w:after="120"/>
      <w:outlineLvl w:val="1"/>
    </w:pPr>
    <w:rPr>
      <w:sz w:val="28"/>
      <w:szCs w:val="40"/>
    </w:rPr>
  </w:style>
  <w:style w:type="paragraph" w:styleId="Heading3">
    <w:name w:val="heading 3"/>
    <w:basedOn w:val="HeadingBase"/>
    <w:next w:val="BodyText"/>
    <w:link w:val="Heading3Char"/>
    <w:qFormat/>
    <w:rsid w:val="003A725E"/>
    <w:pPr>
      <w:spacing w:before="180" w:after="120"/>
      <w:outlineLvl w:val="2"/>
    </w:pPr>
    <w:rPr>
      <w:spacing w:val="-10"/>
      <w:kern w:val="32"/>
    </w:rPr>
  </w:style>
  <w:style w:type="paragraph" w:styleId="Heading4">
    <w:name w:val="heading 4"/>
    <w:basedOn w:val="HeadingBase"/>
    <w:next w:val="BodyText"/>
    <w:link w:val="Heading4Char"/>
    <w:qFormat/>
    <w:rsid w:val="003A725E"/>
    <w:pPr>
      <w:spacing w:before="160" w:after="120"/>
      <w:outlineLvl w:val="3"/>
    </w:pPr>
    <w:rPr>
      <w:sz w:val="22"/>
    </w:rPr>
  </w:style>
  <w:style w:type="paragraph" w:styleId="Heading5">
    <w:name w:val="heading 5"/>
    <w:basedOn w:val="HeadingBase"/>
    <w:next w:val="Normal"/>
    <w:link w:val="Heading5Char"/>
    <w:qFormat/>
    <w:rsid w:val="003A725E"/>
    <w:pPr>
      <w:spacing w:before="80"/>
      <w:outlineLvl w:val="4"/>
    </w:pPr>
    <w:rPr>
      <w:color w:val="918585"/>
      <w:sz w:val="20"/>
    </w:rPr>
  </w:style>
  <w:style w:type="paragraph" w:styleId="Heading6">
    <w:name w:val="heading 6"/>
    <w:basedOn w:val="HeadingBase"/>
    <w:next w:val="Normal"/>
    <w:link w:val="Heading6Char"/>
    <w:qFormat/>
    <w:rsid w:val="003A725E"/>
    <w:pPr>
      <w:spacing w:before="60"/>
      <w:outlineLvl w:val="5"/>
    </w:pPr>
    <w:rPr>
      <w:color w:val="918585"/>
      <w:sz w:val="20"/>
    </w:rPr>
  </w:style>
  <w:style w:type="paragraph" w:styleId="Heading7">
    <w:name w:val="heading 7"/>
    <w:basedOn w:val="Normal"/>
    <w:next w:val="Normal"/>
    <w:link w:val="Heading7Char"/>
    <w:qFormat/>
    <w:rsid w:val="003A725E"/>
    <w:pPr>
      <w:ind w:left="720"/>
      <w:outlineLvl w:val="6"/>
    </w:pPr>
    <w:rPr>
      <w:i/>
    </w:rPr>
  </w:style>
  <w:style w:type="paragraph" w:styleId="Heading8">
    <w:name w:val="heading 8"/>
    <w:basedOn w:val="Normal"/>
    <w:next w:val="Normal"/>
    <w:link w:val="Heading8Char"/>
    <w:qFormat/>
    <w:rsid w:val="003A725E"/>
    <w:pPr>
      <w:ind w:left="720"/>
      <w:outlineLvl w:val="7"/>
    </w:pPr>
    <w:rPr>
      <w:i/>
    </w:rPr>
  </w:style>
  <w:style w:type="paragraph" w:styleId="Heading9">
    <w:name w:val="heading 9"/>
    <w:basedOn w:val="Normal"/>
    <w:next w:val="Normal"/>
    <w:link w:val="Heading9Char"/>
    <w:qFormat/>
    <w:rsid w:val="003A725E"/>
    <w:pPr>
      <w:ind w:left="720"/>
      <w:outlineLvl w:val="8"/>
    </w:pPr>
    <w:rPr>
      <w:i/>
    </w:rPr>
  </w:style>
  <w:style w:type="character" w:default="1" w:styleId="DefaultParagraphFont">
    <w:name w:val="Default Paragraph Font"/>
    <w:uiPriority w:val="1"/>
    <w:unhideWhenUsed/>
    <w:rsid w:val="003A72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25E"/>
  </w:style>
  <w:style w:type="character" w:customStyle="1" w:styleId="Heading1Char">
    <w:name w:val="Heading 1 Char"/>
    <w:basedOn w:val="DefaultParagraphFont"/>
    <w:link w:val="Heading1"/>
    <w:rsid w:val="003A725E"/>
    <w:rPr>
      <w:rFonts w:ascii="Times New Roman" w:eastAsia="Times New Roman" w:hAnsi="Times New Roman" w:cs="Times New Roman"/>
      <w:b/>
      <w:sz w:val="32"/>
      <w:szCs w:val="20"/>
      <w:lang w:eastAsia="en-US"/>
    </w:rPr>
  </w:style>
  <w:style w:type="paragraph" w:styleId="BodyText">
    <w:name w:val="Body Text"/>
    <w:basedOn w:val="Normal"/>
    <w:link w:val="BodyTextChar"/>
    <w:rsid w:val="003A72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725E"/>
    <w:rPr>
      <w:rFonts w:ascii="Times New Roman" w:eastAsia="Times New Roman" w:hAnsi="Times New Roman" w:cs="Times New Roman"/>
      <w:sz w:val="24"/>
      <w:lang w:val="en-US" w:eastAsia="en-US"/>
    </w:rPr>
  </w:style>
  <w:style w:type="paragraph" w:styleId="Footer">
    <w:name w:val="footer"/>
    <w:basedOn w:val="Normal"/>
    <w:link w:val="FooterChar"/>
    <w:rsid w:val="003A72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25E"/>
    <w:rPr>
      <w:rFonts w:ascii="Times New Roman" w:eastAsia="Times New Roman" w:hAnsi="Times New Roman" w:cs="Times New Roman"/>
      <w:sz w:val="16"/>
      <w:lang w:val="en-US" w:eastAsia="en-US"/>
    </w:rPr>
  </w:style>
  <w:style w:type="paragraph" w:styleId="List">
    <w:name w:val="List"/>
    <w:basedOn w:val="BodyText"/>
    <w:next w:val="BodyText"/>
    <w:rsid w:val="003A725E"/>
    <w:pPr>
      <w:tabs>
        <w:tab w:val="left" w:pos="340"/>
      </w:tabs>
      <w:spacing w:before="60" w:after="60"/>
      <w:ind w:left="340" w:hanging="340"/>
    </w:pPr>
  </w:style>
  <w:style w:type="paragraph" w:styleId="ListBullet">
    <w:name w:val="List Bullet"/>
    <w:basedOn w:val="List"/>
    <w:rsid w:val="003A725E"/>
    <w:pPr>
      <w:numPr>
        <w:numId w:val="13"/>
      </w:numPr>
      <w:tabs>
        <w:tab w:val="clear" w:pos="340"/>
      </w:tabs>
      <w:spacing w:before="40" w:after="40"/>
    </w:pPr>
  </w:style>
  <w:style w:type="character" w:customStyle="1" w:styleId="SpecialBold">
    <w:name w:val="Special Bold"/>
    <w:basedOn w:val="DefaultParagraphFont"/>
    <w:rsid w:val="003A725E"/>
    <w:rPr>
      <w:b/>
      <w:spacing w:val="0"/>
    </w:rPr>
  </w:style>
  <w:style w:type="paragraph" w:styleId="ListBullet2">
    <w:name w:val="List Bullet 2"/>
    <w:basedOn w:val="List2"/>
    <w:rsid w:val="003A725E"/>
    <w:pPr>
      <w:numPr>
        <w:numId w:val="14"/>
      </w:numPr>
      <w:tabs>
        <w:tab w:val="clear" w:pos="680"/>
      </w:tabs>
    </w:pPr>
  </w:style>
  <w:style w:type="paragraph" w:styleId="Header">
    <w:name w:val="header"/>
    <w:basedOn w:val="Normal"/>
    <w:link w:val="HeaderChar"/>
    <w:rsid w:val="003A72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2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725E"/>
    <w:pPr>
      <w:spacing w:before="240" w:after="120"/>
      <w:outlineLvl w:val="0"/>
    </w:pPr>
    <w:rPr>
      <w:rFonts w:ascii="Times New Roman" w:hAnsi="Times New Roman"/>
      <w:b/>
      <w:sz w:val="28"/>
    </w:rPr>
  </w:style>
  <w:style w:type="paragraph" w:customStyle="1" w:styleId="AllowPageBreak">
    <w:name w:val="AllowPageBreak"/>
    <w:rsid w:val="003A72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725E"/>
    <w:pPr>
      <w:tabs>
        <w:tab w:val="left" w:pos="680"/>
      </w:tabs>
      <w:spacing w:before="60" w:after="60"/>
      <w:ind w:left="680" w:hanging="340"/>
    </w:pPr>
  </w:style>
  <w:style w:type="character" w:customStyle="1" w:styleId="BoldandItalics">
    <w:name w:val="Bold and Italics"/>
    <w:qFormat/>
    <w:rsid w:val="003A725E"/>
    <w:rPr>
      <w:b/>
      <w:i/>
      <w:u w:val="none"/>
    </w:rPr>
  </w:style>
  <w:style w:type="character" w:customStyle="1" w:styleId="Heading2Char">
    <w:name w:val="Heading 2 Char"/>
    <w:basedOn w:val="DefaultParagraphFont"/>
    <w:link w:val="Heading2"/>
    <w:rsid w:val="003A72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2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2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2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2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2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72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725E"/>
    <w:rPr>
      <w:rFonts w:ascii="Courier New" w:eastAsia="Times New Roman" w:hAnsi="Courier New" w:cs="Times New Roman"/>
      <w:i/>
      <w:szCs w:val="20"/>
      <w:lang w:val="en-US" w:eastAsia="en-US"/>
    </w:rPr>
  </w:style>
  <w:style w:type="paragraph" w:customStyle="1" w:styleId="HeadingBase">
    <w:name w:val="Heading Base"/>
    <w:rsid w:val="003A72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25E"/>
    <w:pPr>
      <w:tabs>
        <w:tab w:val="right" w:leader="dot" w:pos="9072"/>
      </w:tabs>
      <w:ind w:left="567"/>
    </w:pPr>
    <w:rPr>
      <w:szCs w:val="22"/>
    </w:rPr>
  </w:style>
  <w:style w:type="paragraph" w:customStyle="1" w:styleId="TOCBase">
    <w:name w:val="TOC Base"/>
    <w:rsid w:val="003A72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25E"/>
    <w:pPr>
      <w:tabs>
        <w:tab w:val="right" w:leader="dot" w:pos="9072"/>
      </w:tabs>
      <w:spacing w:before="40" w:after="40"/>
      <w:ind w:left="284"/>
    </w:pPr>
    <w:rPr>
      <w:rFonts w:ascii="Times New Roman" w:hAnsi="Times New Roman"/>
    </w:rPr>
  </w:style>
  <w:style w:type="paragraph" w:styleId="TOC1">
    <w:name w:val="toc 1"/>
    <w:basedOn w:val="TOCBase"/>
    <w:next w:val="Normal"/>
    <w:rsid w:val="003A72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725E"/>
    <w:pPr>
      <w:spacing w:before="5040"/>
      <w:jc w:val="center"/>
    </w:pPr>
    <w:rPr>
      <w:sz w:val="48"/>
      <w:szCs w:val="72"/>
      <w:lang w:val="en-US"/>
    </w:rPr>
  </w:style>
  <w:style w:type="character" w:customStyle="1" w:styleId="TitleChar">
    <w:name w:val="Title Char"/>
    <w:basedOn w:val="DefaultParagraphFont"/>
    <w:link w:val="Title"/>
    <w:rsid w:val="003A72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25E"/>
    <w:pPr>
      <w:tabs>
        <w:tab w:val="left" w:pos="3600"/>
        <w:tab w:val="left" w:pos="3958"/>
      </w:tabs>
    </w:pPr>
  </w:style>
  <w:style w:type="paragraph" w:customStyle="1" w:styleId="Note">
    <w:name w:val="Note"/>
    <w:basedOn w:val="BodyText"/>
    <w:rsid w:val="003A72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25E"/>
    <w:pPr>
      <w:framePr w:wrap="auto" w:hAnchor="text" w:y="6049"/>
    </w:pPr>
    <w:rPr>
      <w:color w:val="000000"/>
      <w:sz w:val="40"/>
    </w:rPr>
  </w:style>
  <w:style w:type="paragraph" w:customStyle="1" w:styleId="TOCTitle">
    <w:name w:val="TOCTitle"/>
    <w:basedOn w:val="Heading1"/>
    <w:rsid w:val="003A725E"/>
    <w:pPr>
      <w:spacing w:after="240"/>
      <w:jc w:val="center"/>
      <w:outlineLvl w:val="9"/>
    </w:pPr>
    <w:rPr>
      <w:caps/>
    </w:rPr>
  </w:style>
  <w:style w:type="paragraph" w:customStyle="1" w:styleId="Version">
    <w:name w:val="Version"/>
    <w:rsid w:val="003A72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725E"/>
    <w:pPr>
      <w:keepNext w:val="0"/>
      <w:tabs>
        <w:tab w:val="right" w:pos="4176"/>
      </w:tabs>
      <w:ind w:left="198" w:hanging="198"/>
    </w:pPr>
    <w:rPr>
      <w:rFonts w:ascii="Garamond" w:hAnsi="Garamond"/>
    </w:rPr>
  </w:style>
  <w:style w:type="paragraph" w:styleId="IndexHeading">
    <w:name w:val="index heading"/>
    <w:basedOn w:val="Normal"/>
    <w:next w:val="Index1"/>
    <w:semiHidden/>
    <w:rsid w:val="003A725E"/>
    <w:pPr>
      <w:spacing w:before="120" w:after="120"/>
    </w:pPr>
    <w:rPr>
      <w:rFonts w:ascii="Arial" w:hAnsi="Arial"/>
      <w:b/>
      <w:color w:val="918585"/>
      <w:sz w:val="24"/>
    </w:rPr>
  </w:style>
  <w:style w:type="paragraph" w:customStyle="1" w:styleId="Chapter">
    <w:name w:val="Chapter"/>
    <w:basedOn w:val="Normal"/>
    <w:rsid w:val="003A725E"/>
    <w:pPr>
      <w:spacing w:before="240"/>
    </w:pPr>
    <w:rPr>
      <w:rFonts w:ascii="Times New Roman" w:hAnsi="Times New Roman"/>
      <w:smallCaps/>
      <w:spacing w:val="80"/>
      <w:sz w:val="28"/>
    </w:rPr>
  </w:style>
  <w:style w:type="paragraph" w:customStyle="1" w:styleId="InChapter">
    <w:name w:val="InChapter"/>
    <w:basedOn w:val="Heading3"/>
    <w:rsid w:val="003A725E"/>
    <w:pPr>
      <w:spacing w:after="240"/>
      <w:outlineLvl w:val="9"/>
    </w:pPr>
    <w:rPr>
      <w:noProof/>
    </w:rPr>
  </w:style>
  <w:style w:type="paragraph" w:styleId="Index2">
    <w:name w:val="index 2"/>
    <w:basedOn w:val="Normal"/>
    <w:next w:val="Normal"/>
    <w:semiHidden/>
    <w:rsid w:val="003A725E"/>
    <w:pPr>
      <w:tabs>
        <w:tab w:val="right" w:pos="4176"/>
      </w:tabs>
      <w:ind w:left="568" w:hanging="284"/>
    </w:pPr>
    <w:rPr>
      <w:rFonts w:ascii="Garamond" w:hAnsi="Garamond"/>
    </w:rPr>
  </w:style>
  <w:style w:type="paragraph" w:customStyle="1" w:styleId="Byline">
    <w:name w:val="Byline"/>
    <w:rsid w:val="003A72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25E"/>
    <w:pPr>
      <w:tabs>
        <w:tab w:val="clear" w:pos="3600"/>
        <w:tab w:val="clear" w:pos="3958"/>
      </w:tabs>
      <w:jc w:val="right"/>
    </w:pPr>
  </w:style>
  <w:style w:type="character" w:styleId="Emphasis">
    <w:name w:val="Emphasis"/>
    <w:basedOn w:val="DefaultParagraphFont"/>
    <w:qFormat/>
    <w:rsid w:val="003A725E"/>
    <w:rPr>
      <w:i/>
    </w:rPr>
  </w:style>
  <w:style w:type="paragraph" w:styleId="Caption">
    <w:name w:val="caption"/>
    <w:basedOn w:val="BodyText"/>
    <w:next w:val="Normal"/>
    <w:qFormat/>
    <w:rsid w:val="003A725E"/>
    <w:pPr>
      <w:framePr w:w="2268" w:hSpace="181" w:vSpace="181" w:wrap="around" w:vAnchor="text" w:hAnchor="page" w:x="1135" w:y="285" w:anchorLock="1"/>
    </w:pPr>
    <w:rPr>
      <w:i/>
    </w:rPr>
  </w:style>
  <w:style w:type="paragraph" w:customStyle="1" w:styleId="MiniTOCTitle">
    <w:name w:val="MiniTOCTitle"/>
    <w:basedOn w:val="Heading4"/>
    <w:rsid w:val="003A725E"/>
    <w:pPr>
      <w:spacing w:before="240"/>
      <w:outlineLvl w:val="9"/>
    </w:pPr>
    <w:rPr>
      <w:noProof/>
      <w:sz w:val="24"/>
    </w:rPr>
  </w:style>
  <w:style w:type="paragraph" w:customStyle="1" w:styleId="MiniTOCItem">
    <w:name w:val="MiniTOCItem"/>
    <w:basedOn w:val="ListBullet"/>
    <w:rsid w:val="003A725E"/>
    <w:pPr>
      <w:numPr>
        <w:numId w:val="0"/>
      </w:numPr>
      <w:tabs>
        <w:tab w:val="right" w:leader="dot" w:pos="6521"/>
      </w:tabs>
      <w:spacing w:before="0" w:after="0"/>
    </w:pPr>
  </w:style>
  <w:style w:type="paragraph" w:customStyle="1" w:styleId="TOFTitle">
    <w:name w:val="TOFTitle"/>
    <w:basedOn w:val="TOCTitle"/>
    <w:rsid w:val="003A725E"/>
  </w:style>
  <w:style w:type="paragraph" w:styleId="TableofFigures">
    <w:name w:val="table of figures"/>
    <w:basedOn w:val="Normal"/>
    <w:next w:val="Normal"/>
    <w:semiHidden/>
    <w:rsid w:val="003A725E"/>
    <w:pPr>
      <w:tabs>
        <w:tab w:val="right" w:leader="dot" w:pos="9072"/>
      </w:tabs>
      <w:ind w:left="970" w:hanging="403"/>
    </w:pPr>
    <w:rPr>
      <w:rFonts w:ascii="Times New Roman" w:hAnsi="Times New Roman"/>
      <w:b/>
    </w:rPr>
  </w:style>
  <w:style w:type="paragraph" w:styleId="ListNumber">
    <w:name w:val="List Number"/>
    <w:basedOn w:val="List"/>
    <w:rsid w:val="003A725E"/>
    <w:pPr>
      <w:numPr>
        <w:numId w:val="11"/>
      </w:numPr>
    </w:pPr>
  </w:style>
  <w:style w:type="character" w:customStyle="1" w:styleId="WingdingSymbols">
    <w:name w:val="Wingding Symbols"/>
    <w:rsid w:val="003A725E"/>
    <w:rPr>
      <w:rFonts w:ascii="Wingdings" w:hAnsi="Wingdings"/>
    </w:rPr>
  </w:style>
  <w:style w:type="paragraph" w:customStyle="1" w:styleId="TableHeading">
    <w:name w:val="Table Heading"/>
    <w:basedOn w:val="HeadingBase"/>
    <w:rsid w:val="003A725E"/>
    <w:pPr>
      <w:keepLines/>
      <w:pBdr>
        <w:bottom w:val="single" w:sz="6" w:space="1" w:color="918585"/>
      </w:pBdr>
      <w:spacing w:before="240"/>
    </w:pPr>
  </w:style>
  <w:style w:type="character" w:customStyle="1" w:styleId="HotSpot">
    <w:name w:val="HotSpot"/>
    <w:rsid w:val="003A725E"/>
    <w:rPr>
      <w:color w:val="0033CC"/>
      <w:u w:val="none"/>
    </w:rPr>
  </w:style>
  <w:style w:type="paragraph" w:customStyle="1" w:styleId="BodyTextRight">
    <w:name w:val="Body Text Right"/>
    <w:basedOn w:val="BodyText"/>
    <w:rsid w:val="003A725E"/>
    <w:pPr>
      <w:spacing w:before="0" w:after="0"/>
      <w:jc w:val="right"/>
    </w:pPr>
  </w:style>
  <w:style w:type="paragraph" w:styleId="Index3">
    <w:name w:val="index 3"/>
    <w:basedOn w:val="ListNumber2"/>
    <w:next w:val="Normal"/>
    <w:semiHidden/>
    <w:rsid w:val="003A725E"/>
    <w:pPr>
      <w:numPr>
        <w:numId w:val="0"/>
      </w:numPr>
      <w:tabs>
        <w:tab w:val="right" w:leader="dot" w:pos="4176"/>
      </w:tabs>
    </w:pPr>
  </w:style>
  <w:style w:type="paragraph" w:styleId="ListNumber2">
    <w:name w:val="List Number 2"/>
    <w:basedOn w:val="List2"/>
    <w:rsid w:val="003A725E"/>
    <w:pPr>
      <w:numPr>
        <w:numId w:val="10"/>
      </w:numPr>
      <w:tabs>
        <w:tab w:val="clear" w:pos="1060"/>
      </w:tabs>
    </w:pPr>
  </w:style>
  <w:style w:type="paragraph" w:customStyle="1" w:styleId="MarginNote">
    <w:name w:val="Margin Note"/>
    <w:basedOn w:val="BodyText"/>
    <w:rsid w:val="003A72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2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2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725E"/>
    <w:rPr>
      <w:sz w:val="32"/>
    </w:rPr>
  </w:style>
  <w:style w:type="paragraph" w:customStyle="1" w:styleId="HeadingProcedure">
    <w:name w:val="Heading Procedure"/>
    <w:basedOn w:val="HeadingBase"/>
    <w:next w:val="Normal"/>
    <w:rsid w:val="003A725E"/>
    <w:pPr>
      <w:tabs>
        <w:tab w:val="left" w:pos="0"/>
      </w:tabs>
      <w:spacing w:before="120" w:after="60"/>
    </w:pPr>
    <w:rPr>
      <w:i/>
      <w:color w:val="918585"/>
      <w:sz w:val="22"/>
    </w:rPr>
  </w:style>
  <w:style w:type="paragraph" w:customStyle="1" w:styleId="TableBodyText">
    <w:name w:val="Table Body Text"/>
    <w:basedOn w:val="BodyText"/>
    <w:rsid w:val="003A725E"/>
    <w:pPr>
      <w:spacing w:before="60" w:after="60"/>
    </w:pPr>
  </w:style>
  <w:style w:type="paragraph" w:styleId="ListContinue">
    <w:name w:val="List Continue"/>
    <w:basedOn w:val="List"/>
    <w:rsid w:val="003A725E"/>
    <w:pPr>
      <w:ind w:firstLine="0"/>
    </w:pPr>
  </w:style>
  <w:style w:type="paragraph" w:customStyle="1" w:styleId="ListNote">
    <w:name w:val="List Note"/>
    <w:basedOn w:val="List"/>
    <w:rsid w:val="003A725E"/>
    <w:pPr>
      <w:pBdr>
        <w:top w:val="single" w:sz="6" w:space="2" w:color="918585"/>
        <w:bottom w:val="single" w:sz="6" w:space="2" w:color="918585"/>
      </w:pBdr>
      <w:tabs>
        <w:tab w:val="left" w:pos="1021"/>
      </w:tabs>
      <w:ind w:firstLine="0"/>
    </w:pPr>
  </w:style>
  <w:style w:type="paragraph" w:customStyle="1" w:styleId="Warning">
    <w:name w:val="Warning"/>
    <w:basedOn w:val="BodyText"/>
    <w:rsid w:val="003A725E"/>
    <w:pPr>
      <w:shd w:val="clear" w:color="auto" w:fill="D9D9D9"/>
      <w:tabs>
        <w:tab w:val="left" w:pos="992"/>
      </w:tabs>
      <w:ind w:left="119" w:right="119"/>
    </w:pPr>
    <w:rPr>
      <w:sz w:val="20"/>
    </w:rPr>
  </w:style>
  <w:style w:type="paragraph" w:customStyle="1" w:styleId="MarginIcons">
    <w:name w:val="Margin Icons"/>
    <w:basedOn w:val="BodyText"/>
    <w:rsid w:val="003A72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25E"/>
    <w:rPr>
      <w:rFonts w:ascii="Courier New" w:hAnsi="Courier New"/>
    </w:rPr>
  </w:style>
  <w:style w:type="paragraph" w:customStyle="1" w:styleId="NoteBullet">
    <w:name w:val="Note Bullet"/>
    <w:basedOn w:val="Note"/>
    <w:rsid w:val="003A725E"/>
    <w:pPr>
      <w:tabs>
        <w:tab w:val="clear" w:pos="680"/>
      </w:tabs>
      <w:spacing w:before="60" w:after="60"/>
    </w:pPr>
  </w:style>
  <w:style w:type="paragraph" w:customStyle="1" w:styleId="SubHeading2">
    <w:name w:val="SubHeading2"/>
    <w:basedOn w:val="HeadingBase"/>
    <w:rsid w:val="003A725E"/>
    <w:pPr>
      <w:spacing w:before="240" w:after="60"/>
    </w:pPr>
    <w:rPr>
      <w:sz w:val="20"/>
    </w:rPr>
  </w:style>
  <w:style w:type="paragraph" w:customStyle="1" w:styleId="SubHeading1">
    <w:name w:val="SubHeading1"/>
    <w:basedOn w:val="HeadingBase"/>
    <w:rsid w:val="003A725E"/>
    <w:pPr>
      <w:spacing w:before="240" w:after="60"/>
    </w:pPr>
    <w:rPr>
      <w:color w:val="918585"/>
      <w:sz w:val="22"/>
    </w:rPr>
  </w:style>
  <w:style w:type="paragraph" w:customStyle="1" w:styleId="SideHeading">
    <w:name w:val="Side Heading"/>
    <w:basedOn w:val="HeadingBase"/>
    <w:rsid w:val="003A72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25E"/>
    <w:pPr>
      <w:numPr>
        <w:numId w:val="12"/>
      </w:numPr>
    </w:pPr>
  </w:style>
  <w:style w:type="paragraph" w:styleId="PlainText">
    <w:name w:val="Plain Text"/>
    <w:basedOn w:val="Normal"/>
    <w:link w:val="PlainTextChar"/>
    <w:rsid w:val="003A725E"/>
    <w:rPr>
      <w:sz w:val="20"/>
    </w:rPr>
  </w:style>
  <w:style w:type="character" w:customStyle="1" w:styleId="PlainTextChar">
    <w:name w:val="Plain Text Char"/>
    <w:basedOn w:val="DefaultParagraphFont"/>
    <w:link w:val="PlainText"/>
    <w:rsid w:val="003A72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725E"/>
    <w:rPr>
      <w:b/>
      <w:smallCaps/>
    </w:rPr>
  </w:style>
  <w:style w:type="paragraph" w:customStyle="1" w:styleId="TableListNumber">
    <w:name w:val="Table List Number"/>
    <w:basedOn w:val="ListNumber"/>
    <w:rsid w:val="003A725E"/>
    <w:pPr>
      <w:numPr>
        <w:numId w:val="0"/>
      </w:numPr>
    </w:pPr>
  </w:style>
  <w:style w:type="paragraph" w:styleId="TOC4">
    <w:name w:val="toc 4"/>
    <w:basedOn w:val="TOCBase"/>
    <w:next w:val="Normal"/>
    <w:semiHidden/>
    <w:rsid w:val="003A725E"/>
    <w:pPr>
      <w:tabs>
        <w:tab w:val="right" w:leader="dot" w:pos="9071"/>
      </w:tabs>
      <w:ind w:left="1701"/>
    </w:pPr>
  </w:style>
  <w:style w:type="paragraph" w:customStyle="1" w:styleId="ListAlpha">
    <w:name w:val="List Alpha"/>
    <w:basedOn w:val="List"/>
    <w:rsid w:val="003A725E"/>
    <w:pPr>
      <w:numPr>
        <w:numId w:val="9"/>
      </w:numPr>
    </w:pPr>
  </w:style>
  <w:style w:type="paragraph" w:customStyle="1" w:styleId="ListAlpha2">
    <w:name w:val="List Alpha 2"/>
    <w:basedOn w:val="List2"/>
    <w:rsid w:val="003A725E"/>
    <w:pPr>
      <w:numPr>
        <w:numId w:val="8"/>
      </w:numPr>
    </w:pPr>
  </w:style>
  <w:style w:type="paragraph" w:styleId="List3">
    <w:name w:val="List 3"/>
    <w:basedOn w:val="BodyText"/>
    <w:rsid w:val="003A725E"/>
    <w:pPr>
      <w:tabs>
        <w:tab w:val="left" w:pos="1021"/>
      </w:tabs>
      <w:spacing w:before="60" w:after="60"/>
      <w:ind w:left="1020" w:hanging="340"/>
    </w:pPr>
  </w:style>
  <w:style w:type="paragraph" w:styleId="List4">
    <w:name w:val="List 4"/>
    <w:basedOn w:val="BodyText"/>
    <w:rsid w:val="003A725E"/>
    <w:pPr>
      <w:tabs>
        <w:tab w:val="left" w:pos="1361"/>
      </w:tabs>
      <w:spacing w:before="60" w:after="60"/>
      <w:ind w:left="1361" w:hanging="340"/>
    </w:pPr>
  </w:style>
  <w:style w:type="paragraph" w:styleId="List5">
    <w:name w:val="List 5"/>
    <w:basedOn w:val="BodyText"/>
    <w:rsid w:val="003A725E"/>
    <w:pPr>
      <w:tabs>
        <w:tab w:val="left" w:pos="1701"/>
      </w:tabs>
      <w:spacing w:before="60" w:after="60"/>
      <w:ind w:left="1701" w:hanging="340"/>
    </w:pPr>
  </w:style>
  <w:style w:type="paragraph" w:styleId="ListBullet3">
    <w:name w:val="List Bullet 3"/>
    <w:basedOn w:val="List3"/>
    <w:rsid w:val="003A725E"/>
    <w:pPr>
      <w:numPr>
        <w:numId w:val="15"/>
      </w:numPr>
      <w:tabs>
        <w:tab w:val="clear" w:pos="1021"/>
      </w:tabs>
      <w:ind w:left="1037" w:hanging="357"/>
    </w:pPr>
  </w:style>
  <w:style w:type="paragraph" w:styleId="ListBullet4">
    <w:name w:val="List Bullet 4"/>
    <w:basedOn w:val="List4"/>
    <w:rsid w:val="003A725E"/>
    <w:pPr>
      <w:numPr>
        <w:numId w:val="3"/>
      </w:numPr>
    </w:pPr>
  </w:style>
  <w:style w:type="paragraph" w:styleId="ListBullet5">
    <w:name w:val="List Bullet 5"/>
    <w:basedOn w:val="List5"/>
    <w:rsid w:val="003A725E"/>
    <w:pPr>
      <w:numPr>
        <w:numId w:val="4"/>
      </w:numPr>
    </w:pPr>
  </w:style>
  <w:style w:type="paragraph" w:styleId="ListContinue2">
    <w:name w:val="List Continue 2"/>
    <w:basedOn w:val="List2"/>
    <w:rsid w:val="003A725E"/>
    <w:pPr>
      <w:ind w:firstLine="0"/>
    </w:pPr>
  </w:style>
  <w:style w:type="paragraph" w:styleId="ListContinue3">
    <w:name w:val="List Continue 3"/>
    <w:basedOn w:val="List3"/>
    <w:rsid w:val="003A725E"/>
    <w:pPr>
      <w:ind w:left="1021" w:firstLine="0"/>
    </w:pPr>
  </w:style>
  <w:style w:type="paragraph" w:styleId="ListContinue4">
    <w:name w:val="List Continue 4"/>
    <w:basedOn w:val="List4"/>
    <w:rsid w:val="003A725E"/>
    <w:pPr>
      <w:ind w:firstLine="0"/>
    </w:pPr>
  </w:style>
  <w:style w:type="paragraph" w:styleId="ListContinue5">
    <w:name w:val="List Continue 5"/>
    <w:basedOn w:val="List5"/>
    <w:rsid w:val="003A725E"/>
    <w:pPr>
      <w:ind w:firstLine="0"/>
    </w:pPr>
  </w:style>
  <w:style w:type="paragraph" w:styleId="ListNumber3">
    <w:name w:val="List Number 3"/>
    <w:basedOn w:val="List3"/>
    <w:rsid w:val="003A725E"/>
    <w:pPr>
      <w:numPr>
        <w:numId w:val="5"/>
      </w:numPr>
    </w:pPr>
  </w:style>
  <w:style w:type="paragraph" w:styleId="ListNumber4">
    <w:name w:val="List Number 4"/>
    <w:basedOn w:val="List4"/>
    <w:rsid w:val="003A725E"/>
    <w:pPr>
      <w:numPr>
        <w:numId w:val="6"/>
      </w:numPr>
    </w:pPr>
  </w:style>
  <w:style w:type="paragraph" w:styleId="ListNumber5">
    <w:name w:val="List Number 5"/>
    <w:basedOn w:val="List5"/>
    <w:rsid w:val="003A725E"/>
    <w:pPr>
      <w:numPr>
        <w:numId w:val="7"/>
      </w:numPr>
    </w:pPr>
  </w:style>
  <w:style w:type="paragraph" w:styleId="BlockText">
    <w:name w:val="Block Text"/>
    <w:basedOn w:val="Normal"/>
    <w:rsid w:val="003A725E"/>
    <w:pPr>
      <w:spacing w:after="120"/>
      <w:ind w:left="1440" w:right="1440"/>
    </w:pPr>
  </w:style>
  <w:style w:type="character" w:customStyle="1" w:styleId="Subscript">
    <w:name w:val="Subscript"/>
    <w:basedOn w:val="DefaultParagraphFont"/>
    <w:rsid w:val="003A725E"/>
    <w:rPr>
      <w:sz w:val="16"/>
      <w:vertAlign w:val="subscript"/>
    </w:rPr>
  </w:style>
  <w:style w:type="character" w:customStyle="1" w:styleId="Superscript">
    <w:name w:val="Superscript"/>
    <w:basedOn w:val="DefaultParagraphFont"/>
    <w:rsid w:val="003A725E"/>
    <w:rPr>
      <w:sz w:val="16"/>
      <w:vertAlign w:val="superscript"/>
    </w:rPr>
  </w:style>
  <w:style w:type="character" w:customStyle="1" w:styleId="Symbols">
    <w:name w:val="Symbols"/>
    <w:basedOn w:val="DefaultParagraphFont"/>
    <w:rsid w:val="003A725E"/>
    <w:rPr>
      <w:rFonts w:ascii="Symbol" w:hAnsi="Symbol"/>
    </w:rPr>
  </w:style>
  <w:style w:type="character" w:customStyle="1" w:styleId="MenuOptions">
    <w:name w:val="Menu Options"/>
    <w:basedOn w:val="DefaultParagraphFont"/>
    <w:rsid w:val="003A725E"/>
    <w:rPr>
      <w:rFonts w:ascii="Arial Narrow" w:hAnsi="Arial Narrow"/>
      <w:smallCaps/>
    </w:rPr>
  </w:style>
  <w:style w:type="character" w:customStyle="1" w:styleId="Buttons">
    <w:name w:val="Buttons"/>
    <w:basedOn w:val="DefaultParagraphFont"/>
    <w:rsid w:val="003A725E"/>
    <w:rPr>
      <w:b/>
    </w:rPr>
  </w:style>
  <w:style w:type="character" w:customStyle="1" w:styleId="Underlined">
    <w:name w:val="Underlined"/>
    <w:basedOn w:val="DefaultParagraphFont"/>
    <w:rsid w:val="003A725E"/>
    <w:rPr>
      <w:u w:val="single"/>
    </w:rPr>
  </w:style>
  <w:style w:type="paragraph" w:customStyle="1" w:styleId="TableBodyTextRight">
    <w:name w:val="Table Body Text Right"/>
    <w:basedOn w:val="TableBodyText"/>
    <w:rsid w:val="003A725E"/>
    <w:pPr>
      <w:widowControl w:val="0"/>
      <w:autoSpaceDE w:val="0"/>
      <w:autoSpaceDN w:val="0"/>
      <w:adjustRightInd w:val="0"/>
      <w:jc w:val="right"/>
    </w:pPr>
    <w:rPr>
      <w:rFonts w:cs="Arial"/>
      <w:szCs w:val="18"/>
    </w:rPr>
  </w:style>
  <w:style w:type="paragraph" w:customStyle="1" w:styleId="CopyrightText">
    <w:name w:val="Copyright Text"/>
    <w:basedOn w:val="BodyText"/>
    <w:rsid w:val="003A725E"/>
    <w:rPr>
      <w:sz w:val="18"/>
    </w:rPr>
  </w:style>
  <w:style w:type="paragraph" w:customStyle="1" w:styleId="BodySmallRight">
    <w:name w:val="Body Small Right"/>
    <w:basedOn w:val="BodyTextRight"/>
    <w:rsid w:val="003A725E"/>
    <w:rPr>
      <w:sz w:val="18"/>
      <w:szCs w:val="18"/>
    </w:rPr>
  </w:style>
  <w:style w:type="paragraph" w:customStyle="1" w:styleId="MarginEdition">
    <w:name w:val="Margin Edition"/>
    <w:basedOn w:val="MarginNote"/>
    <w:rsid w:val="003A725E"/>
    <w:pPr>
      <w:spacing w:before="0" w:after="0"/>
    </w:pPr>
    <w:rPr>
      <w:rFonts w:ascii="Times New Roman" w:hAnsi="Times New Roman"/>
      <w:color w:val="999999"/>
    </w:rPr>
  </w:style>
  <w:style w:type="paragraph" w:customStyle="1" w:styleId="Spacer">
    <w:name w:val="Spacer"/>
    <w:basedOn w:val="Normal"/>
    <w:rsid w:val="003A725E"/>
    <w:rPr>
      <w:sz w:val="2"/>
      <w:szCs w:val="2"/>
    </w:rPr>
  </w:style>
  <w:style w:type="character" w:customStyle="1" w:styleId="Small">
    <w:name w:val="Small"/>
    <w:basedOn w:val="DefaultParagraphFont"/>
    <w:rsid w:val="003A725E"/>
    <w:rPr>
      <w:sz w:val="16"/>
    </w:rPr>
  </w:style>
  <w:style w:type="paragraph" w:customStyle="1" w:styleId="WideTable">
    <w:name w:val="Wide Table"/>
    <w:basedOn w:val="Normal"/>
    <w:rsid w:val="003A725E"/>
    <w:pPr>
      <w:ind w:left="-1418"/>
    </w:pPr>
    <w:rPr>
      <w:sz w:val="2"/>
      <w:szCs w:val="2"/>
    </w:rPr>
  </w:style>
  <w:style w:type="character" w:styleId="PageNumber">
    <w:name w:val="page number"/>
    <w:basedOn w:val="DefaultParagraphFont"/>
    <w:rsid w:val="003A725E"/>
  </w:style>
  <w:style w:type="paragraph" w:styleId="Quote">
    <w:name w:val="Quote"/>
    <w:basedOn w:val="Heading1"/>
    <w:link w:val="QuoteChar"/>
    <w:qFormat/>
    <w:rsid w:val="003A725E"/>
    <w:rPr>
      <w:b w:val="0"/>
      <w:sz w:val="72"/>
      <w:szCs w:val="72"/>
      <w:lang w:val="en-NZ"/>
    </w:rPr>
  </w:style>
  <w:style w:type="character" w:customStyle="1" w:styleId="QuoteChar">
    <w:name w:val="Quote Char"/>
    <w:basedOn w:val="DefaultParagraphFont"/>
    <w:link w:val="Quote"/>
    <w:rsid w:val="003A72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25E"/>
    <w:pPr>
      <w:pageBreakBefore/>
    </w:pPr>
  </w:style>
  <w:style w:type="paragraph" w:customStyle="1" w:styleId="Border">
    <w:name w:val="Border"/>
    <w:basedOn w:val="Normal"/>
    <w:qFormat/>
    <w:rsid w:val="003A72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25E"/>
    <w:rPr>
      <w:b/>
      <w:bCs/>
      <w:i/>
      <w:iCs/>
      <w:color w:val="auto"/>
    </w:rPr>
  </w:style>
  <w:style w:type="paragraph" w:styleId="IntenseQuote">
    <w:name w:val="Intense Quote"/>
    <w:basedOn w:val="Normal"/>
    <w:next w:val="Normal"/>
    <w:link w:val="IntenseQuoteChar"/>
    <w:uiPriority w:val="30"/>
    <w:qFormat/>
    <w:rsid w:val="003A72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2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725E"/>
    <w:rPr>
      <w:smallCaps/>
      <w:color w:val="auto"/>
      <w:u w:val="single"/>
    </w:rPr>
  </w:style>
  <w:style w:type="character" w:styleId="IntenseReference">
    <w:name w:val="Intense Reference"/>
    <w:basedOn w:val="DefaultParagraphFont"/>
    <w:uiPriority w:val="32"/>
    <w:qFormat/>
    <w:rsid w:val="003A725E"/>
    <w:rPr>
      <w:b/>
      <w:bCs/>
      <w:smallCaps/>
      <w:color w:val="auto"/>
      <w:spacing w:val="5"/>
      <w:u w:val="single"/>
    </w:rPr>
  </w:style>
  <w:style w:type="paragraph" w:customStyle="1" w:styleId="2ColumnHeading">
    <w:name w:val="2Column Heading"/>
    <w:basedOn w:val="BodyText"/>
    <w:qFormat/>
    <w:rsid w:val="003A725E"/>
    <w:pPr>
      <w:spacing w:after="60"/>
      <w:ind w:left="-2268"/>
    </w:pPr>
    <w:rPr>
      <w:b/>
    </w:rPr>
  </w:style>
  <w:style w:type="paragraph" w:customStyle="1" w:styleId="Heading1TOC">
    <w:name w:val="Heading1 TOC"/>
    <w:basedOn w:val="Normal"/>
    <w:qFormat/>
    <w:rsid w:val="003A725E"/>
    <w:pPr>
      <w:spacing w:before="240" w:after="120"/>
    </w:pPr>
    <w:rPr>
      <w:rFonts w:ascii="Times New Roman" w:hAnsi="Times New Roman"/>
      <w:b/>
      <w:sz w:val="32"/>
    </w:rPr>
  </w:style>
  <w:style w:type="paragraph" w:customStyle="1" w:styleId="Heading2TOC">
    <w:name w:val="Heading2 TOC"/>
    <w:basedOn w:val="Normal"/>
    <w:qFormat/>
    <w:rsid w:val="003A725E"/>
    <w:pPr>
      <w:spacing w:before="240" w:after="60"/>
    </w:pPr>
    <w:rPr>
      <w:rFonts w:ascii="Times New Roman" w:hAnsi="Times New Roman"/>
      <w:b/>
      <w:sz w:val="28"/>
    </w:rPr>
  </w:style>
  <w:style w:type="character" w:customStyle="1" w:styleId="Underline">
    <w:name w:val="Underline"/>
    <w:basedOn w:val="DefaultParagraphFont"/>
    <w:qFormat/>
    <w:rsid w:val="003A725E"/>
    <w:rPr>
      <w:u w:val="single"/>
    </w:rPr>
  </w:style>
  <w:style w:type="paragraph" w:styleId="BalloonText">
    <w:name w:val="Balloon Text"/>
    <w:basedOn w:val="Normal"/>
    <w:link w:val="BalloonTextChar"/>
    <w:rsid w:val="003A725E"/>
    <w:rPr>
      <w:rFonts w:ascii="Tahoma" w:hAnsi="Tahoma" w:cs="Tahoma"/>
      <w:sz w:val="16"/>
      <w:szCs w:val="16"/>
    </w:rPr>
  </w:style>
  <w:style w:type="character" w:customStyle="1" w:styleId="BalloonTextChar">
    <w:name w:val="Balloon Text Char"/>
    <w:basedOn w:val="DefaultParagraphFont"/>
    <w:link w:val="BalloonText"/>
    <w:rsid w:val="003A72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72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72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1208</Words>
  <Characters>7948</Characters>
  <Application>Microsoft Office Word</Application>
  <DocSecurity>0</DocSecurity>
  <Lines>299</Lines>
  <Paragraphs>157</Paragraphs>
  <ScaleCrop>false</ScaleCrop>
  <Company>Author-it Software Corporation Ltd.</Company>
  <LinksUpToDate>false</LinksUpToDate>
  <CharactersWithSpaces>9083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ICTTEN5058A Acceptance test new systems and equipment</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2012-05-26T07:36:00Z</dcterms:created>
  <dcterms:modified xsi:type="dcterms:W3CDTF">2012-05-26T07:36:00Z</dcterms:modified>
</cp:coreProperties>
</file>