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64F8" w:rsidP="009464F8">
      <w:pPr>
        <w:pStyle w:val="Title"/>
      </w:pPr>
      <w:r>
        <w:fldChar w:fldCharType="begin"/>
      </w:r>
      <w:r>
        <w:instrText xml:space="preserve"> TITLE   \* MERGEFORMAT </w:instrText>
      </w:r>
      <w:r>
        <w:fldChar w:fldCharType="separate"/>
      </w:r>
      <w:r>
        <w:t>ICTTEN4246A Design dense wavelength division multiplexing installations</w:t>
      </w:r>
      <w:r>
        <w:fldChar w:fldCharType="end"/>
      </w:r>
    </w:p>
    <w:p w:rsidR="009464F8" w:rsidP="009464F8">
      <w:pPr>
        <w:pStyle w:val="Version"/>
        <w:sectPr w:rsidSect="00FD60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605C" w:rsidP="00FD605C">
      <w:pPr>
        <w:pStyle w:val="SuperHeading"/>
      </w:pPr>
      <w:r w:rsidRPr="00FD605C">
        <w:t>ICTTEN4246A Design dense wavelength division multiplexing installations</w:t>
      </w:r>
    </w:p>
    <w:p w:rsidR="00000000" w:rsidRPr="00FD605C" w:rsidP="00FD605C">
      <w:pPr>
        <w:pStyle w:val="Heading1"/>
      </w:pPr>
      <w:bookmarkStart w:id="1" w:name="O_640215"/>
      <w:bookmarkEnd w:id="1"/>
      <w:r w:rsidRPr="00FD605C">
        <w:t>Modification History</w:t>
      </w:r>
    </w:p>
    <w:tbl>
      <w:tblPr>
        <w:tblW w:w="0" w:type="auto"/>
        <w:tblLayout w:type="fixed"/>
        <w:tblCellMar>
          <w:left w:w="62" w:type="dxa"/>
          <w:right w:w="62" w:type="dxa"/>
        </w:tblCellMar>
        <w:tblLook w:val="0000"/>
      </w:tblPr>
      <w:tblGrid>
        <w:gridCol w:w="2565"/>
        <w:gridCol w:w="6180"/>
      </w:tblGrid>
      <w:tr w:rsidTr="00FD605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rPr>
                <w:rStyle w:val="SpecialBold"/>
              </w:rPr>
              <w:t>Release</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SpecialBold"/>
              </w:rPr>
              <w:t>Comments</w:t>
            </w:r>
          </w:p>
        </w:tc>
      </w:tr>
      <w:tr w:rsidTr="00FD605C">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t>Release 1</w:t>
            </w:r>
          </w:p>
        </w:tc>
        <w:tc>
          <w:tcPr>
            <w:tcW w:w="61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 xml:space="preserve">This version first released with </w:t>
            </w:r>
            <w:r w:rsidRPr="00FD605C">
              <w:rPr>
                <w:rStyle w:val="Emphasis"/>
              </w:rPr>
              <w:t>ICT10 Integrated Telecommunications Training Package Version 3.0</w:t>
            </w:r>
            <w:r w:rsidRPr="00FD605C">
              <w:t>.</w:t>
            </w:r>
          </w:p>
        </w:tc>
      </w:tr>
    </w:tbl>
    <w:p w:rsidR="00000000" w:rsidRPr="00FD605C" w:rsidP="00FD605C">
      <w:pPr>
        <w:pStyle w:val="BodyText"/>
      </w:pPr>
    </w:p>
    <w:p w:rsidR="00000000" w:rsidRPr="00FD605C" w:rsidP="00FD605C">
      <w:pPr>
        <w:pStyle w:val="AllowPageBreak"/>
      </w:pPr>
    </w:p>
    <w:p w:rsidR="00000000" w:rsidRPr="00FD605C" w:rsidP="00FD605C">
      <w:pPr>
        <w:pStyle w:val="Heading1"/>
      </w:pPr>
      <w:bookmarkStart w:id="2" w:name="O_640216"/>
      <w:bookmarkEnd w:id="2"/>
      <w:r w:rsidRPr="00FD605C">
        <w:t>Unit Descriptor</w:t>
      </w:r>
    </w:p>
    <w:p w:rsidR="00000000" w:rsidRPr="00FD605C" w:rsidP="00FD605C">
      <w:pPr>
        <w:pStyle w:val="BodyText"/>
      </w:pPr>
      <w:r w:rsidRPr="00FD605C">
        <w:t>This unit describes the performance outcomes, skills and knowledge required to design a dense wavelength division multiplexing (DWDM) system in optical networks.</w:t>
      </w:r>
    </w:p>
    <w:p w:rsidR="00000000" w:rsidRPr="00FD605C" w:rsidP="00FD605C">
      <w:pPr>
        <w:pStyle w:val="AllowPageBreak"/>
      </w:pPr>
    </w:p>
    <w:p w:rsidR="00000000" w:rsidRPr="00FD605C" w:rsidP="00FD605C">
      <w:pPr>
        <w:pStyle w:val="Heading1"/>
      </w:pPr>
      <w:bookmarkStart w:id="3" w:name="O_640217"/>
      <w:bookmarkEnd w:id="3"/>
      <w:r w:rsidRPr="00FD605C">
        <w:t>Application of the Unit</w:t>
      </w:r>
    </w:p>
    <w:p w:rsidR="00000000" w:rsidRPr="00FD605C" w:rsidP="00FD605C">
      <w:pPr>
        <w:pStyle w:val="BodyText"/>
      </w:pPr>
      <w:r w:rsidRPr="00FD605C">
        <w:t>Telecommunications technical staff wh</w:t>
      </w:r>
      <w:r w:rsidRPr="00FD605C">
        <w:t>o design systems for the installation of long haul or metropolitan area DWDM equipment apply the skills and knowledge in this unit.</w:t>
      </w:r>
    </w:p>
    <w:p w:rsidR="00000000" w:rsidRPr="00FD605C" w:rsidP="00FD605C">
      <w:pPr>
        <w:pStyle w:val="BodyText"/>
      </w:pPr>
    </w:p>
    <w:p w:rsidR="00000000" w:rsidRPr="00FD605C" w:rsidP="00FD605C">
      <w:pPr>
        <w:pStyle w:val="BodyText"/>
      </w:pPr>
      <w:r w:rsidRPr="00FD605C">
        <w:t>This unit is one in a sequence of units that cover network design activities, including:</w:t>
      </w:r>
    </w:p>
    <w:p w:rsidR="00000000" w:rsidRPr="00FD605C" w:rsidP="00FD605C">
      <w:pPr>
        <w:pStyle w:val="BodyText"/>
      </w:pPr>
    </w:p>
    <w:p w:rsidR="00000000" w:rsidRPr="00FD605C" w:rsidP="00FD605C">
      <w:pPr>
        <w:pStyle w:val="ListBullet"/>
      </w:pPr>
      <w:r w:rsidRPr="00FD605C">
        <w:t>design drawings and specificatio</w:t>
      </w:r>
      <w:r w:rsidRPr="00FD605C">
        <w:t>ns</w:t>
      </w:r>
    </w:p>
    <w:p w:rsidR="00000000" w:rsidRPr="00FD605C" w:rsidP="00FD605C">
      <w:pPr>
        <w:pStyle w:val="ListBullet"/>
      </w:pPr>
      <w:r w:rsidRPr="00FD605C">
        <w:t>designing a DWDM system</w:t>
      </w:r>
    </w:p>
    <w:p w:rsidR="00000000" w:rsidRPr="00FD605C" w:rsidP="00FD605C">
      <w:pPr>
        <w:pStyle w:val="ListBullet"/>
      </w:pPr>
      <w:r w:rsidRPr="00FD605C">
        <w:t>designing infrastructure</w:t>
      </w:r>
    </w:p>
    <w:p w:rsidR="00000000" w:rsidRPr="00FD605C" w:rsidP="00FD605C">
      <w:pPr>
        <w:pStyle w:val="ListBullet"/>
      </w:pPr>
      <w:r w:rsidRPr="00FD605C">
        <w:t>estimating and quoting</w:t>
      </w:r>
    </w:p>
    <w:p w:rsidR="00000000" w:rsidRPr="00FD605C" w:rsidP="00FD605C">
      <w:pPr>
        <w:pStyle w:val="ListBullet"/>
      </w:pPr>
      <w:r w:rsidRPr="00FD605C">
        <w:t>site survey.</w:t>
      </w:r>
    </w:p>
    <w:p w:rsidR="00000000" w:rsidRPr="00FD605C" w:rsidP="00FD605C">
      <w:pPr>
        <w:pStyle w:val="AllowPageBreak"/>
      </w:pPr>
    </w:p>
    <w:p w:rsidR="00000000" w:rsidRPr="00FD605C" w:rsidP="00FD605C">
      <w:pPr>
        <w:pStyle w:val="Heading1"/>
      </w:pPr>
      <w:bookmarkStart w:id="4" w:name="O_640218"/>
      <w:bookmarkEnd w:id="4"/>
      <w:r w:rsidRPr="00FD605C">
        <w:t>Licensing/Regulatory Information</w:t>
      </w:r>
    </w:p>
    <w:p w:rsidR="00000000" w:rsidRPr="00FD605C" w:rsidP="00FD605C">
      <w:pPr>
        <w:pStyle w:val="BodyText"/>
      </w:pPr>
      <w:r w:rsidRPr="00FD605C">
        <w:t>No licensing, legislative, regulatory or certification requirements apply to this unit at the time of endorsement but users should confirm requirements with the relevant federal, state or territory authority.</w:t>
      </w:r>
    </w:p>
    <w:p w:rsidR="00000000" w:rsidRPr="00FD605C" w:rsidP="00FD605C">
      <w:pPr>
        <w:pStyle w:val="AllowPageBreak"/>
      </w:pPr>
    </w:p>
    <w:p w:rsidR="00000000" w:rsidRPr="00FD605C" w:rsidP="00FD605C">
      <w:pPr>
        <w:pStyle w:val="Heading1"/>
      </w:pPr>
      <w:bookmarkStart w:id="5" w:name="O_640219"/>
      <w:bookmarkEnd w:id="5"/>
      <w:r w:rsidRPr="00FD605C">
        <w:t>Pre-Requisites</w:t>
      </w:r>
    </w:p>
    <w:p w:rsidR="00000000" w:rsidRPr="00FD605C" w:rsidP="00FD605C">
      <w:pPr>
        <w:pStyle w:val="BodyText"/>
      </w:pPr>
      <w:r w:rsidRPr="00FD605C">
        <w:t>Nil</w:t>
      </w:r>
    </w:p>
    <w:p w:rsidR="00000000" w:rsidRPr="00FD605C" w:rsidP="00FD605C">
      <w:pPr>
        <w:pStyle w:val="AllowPageBreak"/>
      </w:pPr>
    </w:p>
    <w:p w:rsidR="00000000" w:rsidRPr="00FD605C" w:rsidP="00FD605C">
      <w:pPr>
        <w:pStyle w:val="Heading1"/>
      </w:pPr>
      <w:bookmarkStart w:id="6" w:name="O_640220"/>
      <w:bookmarkEnd w:id="6"/>
      <w:r w:rsidRPr="00FD605C">
        <w:t>Employability Skills Information</w:t>
      </w:r>
    </w:p>
    <w:p w:rsidR="00000000" w:rsidRPr="00FD605C" w:rsidP="00FD605C">
      <w:pPr>
        <w:pStyle w:val="BodyText"/>
      </w:pPr>
      <w:r w:rsidRPr="00FD605C">
        <w:t>This unit contains employability skills.</w:t>
      </w:r>
    </w:p>
    <w:p w:rsidR="00000000" w:rsidRPr="00FD605C" w:rsidP="00FD605C">
      <w:pPr>
        <w:pStyle w:val="AllowPageBreak"/>
      </w:pPr>
    </w:p>
    <w:p w:rsidR="00000000" w:rsidRPr="00FD605C" w:rsidP="00FD605C">
      <w:pPr>
        <w:pStyle w:val="Heading1"/>
      </w:pPr>
      <w:bookmarkStart w:id="7" w:name="O_640221"/>
      <w:bookmarkEnd w:id="7"/>
      <w:r w:rsidRPr="00FD605C">
        <w:t>Elements and Performance Criteria Pre-Content</w:t>
      </w:r>
    </w:p>
    <w:tbl>
      <w:tblPr>
        <w:tblW w:w="0" w:type="auto"/>
        <w:tblLayout w:type="fixed"/>
        <w:tblCellMar>
          <w:left w:w="62" w:type="dxa"/>
          <w:right w:w="62" w:type="dxa"/>
        </w:tblCellMar>
        <w:tblLook w:val="0000"/>
      </w:tblPr>
      <w:tblGrid>
        <w:gridCol w:w="2447"/>
        <w:gridCol w:w="6298"/>
      </w:tblGrid>
      <w:tr w:rsidTr="009464F8">
        <w:tblPrEx>
          <w:tblW w:w="0" w:type="auto"/>
          <w:tblLayout w:type="fixed"/>
          <w:tblCellMar>
            <w:left w:w="62" w:type="dxa"/>
            <w:right w:w="62" w:type="dxa"/>
          </w:tblCellMar>
          <w:tblLook w:val="0000"/>
        </w:tblPrEx>
        <w:trPr>
          <w:tblHeader/>
        </w:trPr>
        <w:tc>
          <w:tcPr>
            <w:tcW w:w="2447"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D605C" w:rsidP="00FD605C">
            <w:pPr>
              <w:pStyle w:val="BodyText"/>
            </w:pPr>
            <w:r w:rsidRPr="00FD605C">
              <w:rPr>
                <w:rStyle w:val="SpecialBold"/>
              </w:rPr>
              <w:t>Elements</w:t>
            </w:r>
          </w:p>
        </w:tc>
        <w:tc>
          <w:tcPr>
            <w:tcW w:w="629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SpecialBold"/>
              </w:rPr>
              <w:t>Performance Criteria</w:t>
            </w:r>
          </w:p>
        </w:tc>
      </w:tr>
      <w:tr w:rsidTr="009464F8">
        <w:tblPrEx>
          <w:tblW w:w="0" w:type="auto"/>
          <w:tblLayout w:type="fixed"/>
          <w:tblCellMar>
            <w:left w:w="62" w:type="dxa"/>
            <w:right w:w="62" w:type="dxa"/>
          </w:tblCellMar>
          <w:tblLook w:val="0000"/>
        </w:tblPrEx>
        <w:tc>
          <w:tcPr>
            <w:tcW w:w="244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rPr>
                <w:rStyle w:val="Emphasis"/>
              </w:rPr>
              <w:t>Elements describe the essential outcomes of a unit of competency.</w:t>
            </w:r>
          </w:p>
        </w:tc>
        <w:tc>
          <w:tcPr>
            <w:tcW w:w="629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FD605C">
              <w:rPr>
                <w:rStyle w:val="Emphasis"/>
              </w:rPr>
              <w:t>nce is to be consistent with the evidence guide.</w:t>
            </w:r>
          </w:p>
        </w:tc>
      </w:tr>
    </w:tbl>
    <w:p w:rsidR="00000000" w:rsidRPr="00FD605C" w:rsidP="00FD605C">
      <w:pPr>
        <w:pStyle w:val="BodyText"/>
      </w:pPr>
    </w:p>
    <w:p w:rsidR="00000000" w:rsidRPr="00FD605C" w:rsidP="00FD605C">
      <w:pPr>
        <w:pStyle w:val="AllowPageBreak"/>
      </w:pPr>
    </w:p>
    <w:p w:rsidR="00000000" w:rsidRPr="00FD605C" w:rsidP="00FD605C">
      <w:pPr>
        <w:pStyle w:val="Heading1"/>
      </w:pPr>
      <w:bookmarkStart w:id="8" w:name="O_640222"/>
      <w:bookmarkEnd w:id="8"/>
      <w:r w:rsidRPr="00FD605C">
        <w:t>Elements and Performance Criteria</w:t>
      </w:r>
    </w:p>
    <w:tbl>
      <w:tblPr>
        <w:tblW w:w="0" w:type="auto"/>
        <w:tblLayout w:type="fixed"/>
        <w:tblCellMar>
          <w:left w:w="62" w:type="dxa"/>
          <w:right w:w="62" w:type="dxa"/>
        </w:tblCellMar>
        <w:tblLook w:val="0000"/>
      </w:tblPr>
      <w:tblGrid>
        <w:gridCol w:w="2456"/>
        <w:gridCol w:w="6289"/>
      </w:tblGrid>
      <w:tr w:rsidTr="009464F8">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t>1. Obtain access to work site safely and with authority from site owner</w:t>
            </w:r>
          </w:p>
        </w:tc>
        <w:tc>
          <w:tcPr>
            <w:tcW w:w="6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1.1 Obtain and review DWDM installation brief</w:t>
            </w:r>
          </w:p>
          <w:p w:rsidR="00000000" w:rsidRPr="00FD605C" w:rsidP="00FD605C">
            <w:pPr>
              <w:pStyle w:val="BodyText"/>
            </w:pPr>
            <w:r w:rsidRPr="00FD605C">
              <w:t xml:space="preserve">1.2 Determine </w:t>
            </w:r>
            <w:r w:rsidRPr="00FD605C">
              <w:rPr>
                <w:rStyle w:val="BoldandItalics"/>
              </w:rPr>
              <w:t xml:space="preserve">site </w:t>
            </w:r>
            <w:r w:rsidRPr="00FD605C">
              <w:t>access requiremen</w:t>
            </w:r>
            <w:r w:rsidRPr="00FD605C">
              <w:t>ts</w:t>
            </w:r>
          </w:p>
          <w:p w:rsidR="00000000" w:rsidRPr="00FD605C" w:rsidP="00FD605C">
            <w:pPr>
              <w:pStyle w:val="BodyText"/>
            </w:pPr>
            <w:r w:rsidRPr="00FD605C">
              <w:t xml:space="preserve">1.3 Notify parties if necessary to arrange access to site to discuss DWDM installation requirements </w:t>
            </w:r>
          </w:p>
          <w:p w:rsidR="00000000" w:rsidP="00FD605C">
            <w:pPr>
              <w:pStyle w:val="BodyText"/>
              <w:rPr>
                <w:lang w:val="en-NZ"/>
              </w:rPr>
            </w:pPr>
            <w:r w:rsidRPr="00FD605C">
              <w:t xml:space="preserve">1.4 Assess site-specific safety requirements and enterprise work health and safety (WHS) processes and procedures </w:t>
            </w:r>
          </w:p>
        </w:tc>
      </w:tr>
      <w:tr w:rsidTr="009464F8">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t>2. Prepare to install design DWDM units</w:t>
            </w:r>
          </w:p>
        </w:tc>
        <w:tc>
          <w:tcPr>
            <w:tcW w:w="6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2.1 Survey location for DWDM installation and scope the installation parameters</w:t>
            </w:r>
          </w:p>
          <w:p w:rsidR="00000000" w:rsidRPr="00FD605C" w:rsidP="00FD605C">
            <w:pPr>
              <w:pStyle w:val="BodyText"/>
            </w:pPr>
            <w:r w:rsidRPr="00FD605C">
              <w:t xml:space="preserve">2.2 Identify suitable location for DWDM </w:t>
            </w:r>
            <w:r w:rsidRPr="00FD605C">
              <w:rPr>
                <w:rStyle w:val="BoldandItalics"/>
              </w:rPr>
              <w:t>equipment racks</w:t>
            </w:r>
          </w:p>
          <w:p w:rsidR="00000000" w:rsidRPr="00FD605C" w:rsidP="00FD605C">
            <w:pPr>
              <w:pStyle w:val="BodyText"/>
            </w:pPr>
            <w:r w:rsidRPr="00FD605C">
              <w:t>2.3 Determine number and location of shelves and cards in the racks</w:t>
            </w:r>
          </w:p>
          <w:p w:rsidR="00000000" w:rsidRPr="00FD605C" w:rsidP="00FD605C">
            <w:pPr>
              <w:pStyle w:val="BodyText"/>
            </w:pPr>
            <w:r w:rsidRPr="00FD605C">
              <w:t>2.4 Determin</w:t>
            </w:r>
            <w:r w:rsidRPr="00FD605C">
              <w:t>e capacity of the optical distribution frames (ODFs), patching and network management system (NMS) connections for the installation</w:t>
            </w:r>
          </w:p>
          <w:p w:rsidR="00000000" w:rsidP="00FD605C">
            <w:pPr>
              <w:pStyle w:val="BodyText"/>
              <w:rPr>
                <w:lang w:val="en-NZ"/>
              </w:rPr>
            </w:pPr>
            <w:r w:rsidRPr="00FD605C">
              <w:t xml:space="preserve">2.5 Determine </w:t>
            </w:r>
            <w:r w:rsidRPr="00FD605C">
              <w:rPr>
                <w:rStyle w:val="BoldandItalics"/>
              </w:rPr>
              <w:t>power feed options</w:t>
            </w:r>
          </w:p>
        </w:tc>
      </w:tr>
      <w:tr w:rsidTr="009464F8">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t>3. Design DWDM units and associated cabling</w:t>
            </w:r>
          </w:p>
        </w:tc>
        <w:tc>
          <w:tcPr>
            <w:tcW w:w="6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3.1 Design DWDM racks, including locations and layout</w:t>
            </w:r>
          </w:p>
          <w:p w:rsidR="00000000" w:rsidRPr="00FD605C" w:rsidP="00FD605C">
            <w:pPr>
              <w:pStyle w:val="BodyText"/>
            </w:pPr>
            <w:r w:rsidRPr="00FD605C">
              <w:t>3.2 Examine standards, practices and requirements for designing DWDM systems</w:t>
            </w:r>
          </w:p>
          <w:p w:rsidR="00000000" w:rsidRPr="00FD605C" w:rsidP="00FD605C">
            <w:pPr>
              <w:pStyle w:val="BodyText"/>
            </w:pPr>
            <w:r w:rsidRPr="00FD605C">
              <w:t>3.3 Design DWDM shelf and card positions from customer and manufacturer documents</w:t>
            </w:r>
          </w:p>
          <w:p w:rsidR="00000000" w:rsidRPr="00FD605C" w:rsidP="00FD605C">
            <w:pPr>
              <w:pStyle w:val="BodyText"/>
            </w:pPr>
            <w:r w:rsidRPr="00FD605C">
              <w:t xml:space="preserve">3.4 Design supporting </w:t>
            </w:r>
            <w:r w:rsidRPr="00FD605C">
              <w:rPr>
                <w:rStyle w:val="BoldandItalics"/>
              </w:rPr>
              <w:t xml:space="preserve">patch panel </w:t>
            </w:r>
            <w:r w:rsidRPr="00FD605C">
              <w:t>and jumpe</w:t>
            </w:r>
            <w:r w:rsidRPr="00FD605C">
              <w:t>ring schemes</w:t>
            </w:r>
          </w:p>
          <w:p w:rsidR="00000000" w:rsidRPr="00FD605C" w:rsidP="00FD605C">
            <w:pPr>
              <w:pStyle w:val="BodyText"/>
            </w:pPr>
            <w:r w:rsidRPr="00FD605C">
              <w:t xml:space="preserve">3.5 Include appropriate </w:t>
            </w:r>
            <w:r w:rsidRPr="00FD605C">
              <w:rPr>
                <w:rStyle w:val="BoldandItalics"/>
              </w:rPr>
              <w:t xml:space="preserve">ancillary equipment and connections </w:t>
            </w:r>
            <w:r w:rsidRPr="00FD605C">
              <w:t>in design specifications</w:t>
            </w:r>
          </w:p>
          <w:p w:rsidR="00000000" w:rsidRPr="00FD605C" w:rsidP="00FD605C">
            <w:pPr>
              <w:pStyle w:val="BodyText"/>
            </w:pPr>
            <w:r w:rsidRPr="00FD605C">
              <w:t>3.6 Prepare detailed design drawings for racks, shelves and cards from manufacturer and carrier documents</w:t>
            </w:r>
          </w:p>
          <w:p w:rsidR="00000000" w:rsidP="00FD605C">
            <w:pPr>
              <w:pStyle w:val="BodyText"/>
              <w:rPr>
                <w:lang w:val="en-NZ"/>
              </w:rPr>
            </w:pPr>
            <w:r w:rsidRPr="00FD605C">
              <w:t>3.7 Prepare detailed design drawings for patching, j</w:t>
            </w:r>
            <w:r w:rsidRPr="00FD605C">
              <w:t>umpering and power feeds from manufacturer and carrier documents</w:t>
            </w:r>
          </w:p>
        </w:tc>
      </w:tr>
      <w:tr w:rsidTr="009464F8">
        <w:tblPrEx>
          <w:tblW w:w="0" w:type="auto"/>
          <w:tblLayout w:type="fixed"/>
          <w:tblCellMar>
            <w:left w:w="62" w:type="dxa"/>
            <w:right w:w="62" w:type="dxa"/>
          </w:tblCellMar>
          <w:tblLook w:val="0000"/>
        </w:tblPrEx>
        <w:tc>
          <w:tcPr>
            <w:tcW w:w="2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t>4. Review design for compliance with standards and legislation</w:t>
            </w:r>
          </w:p>
        </w:tc>
        <w:tc>
          <w:tcPr>
            <w:tcW w:w="62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4.1 Confirm that DWDM installation design meets the brief</w:t>
            </w:r>
          </w:p>
          <w:p w:rsidR="00000000" w:rsidRPr="00FD605C" w:rsidP="00FD605C">
            <w:pPr>
              <w:pStyle w:val="BodyText"/>
            </w:pPr>
            <w:r w:rsidRPr="00FD605C">
              <w:t>4.2 Review installation design to ensure compliance with requirements</w:t>
            </w:r>
            <w:r w:rsidRPr="00FD605C">
              <w:t xml:space="preserve"> of federal, state and local regulations, relevant </w:t>
            </w:r>
            <w:r w:rsidRPr="00FD605C">
              <w:rPr>
                <w:rStyle w:val="BoldandItalics"/>
              </w:rPr>
              <w:t>legislation</w:t>
            </w:r>
            <w:r w:rsidRPr="00FD605C">
              <w:t>, codes and standards</w:t>
            </w:r>
          </w:p>
        </w:tc>
      </w:tr>
    </w:tbl>
    <w:p w:rsidR="00000000" w:rsidRPr="00FD605C" w:rsidP="00FD605C">
      <w:pPr>
        <w:pStyle w:val="BodyText"/>
      </w:pPr>
    </w:p>
    <w:p w:rsidR="00000000" w:rsidRPr="00FD605C" w:rsidP="00FD605C">
      <w:pPr>
        <w:pStyle w:val="AllowPageBreak"/>
      </w:pPr>
    </w:p>
    <w:p w:rsidR="00000000" w:rsidRPr="00FD605C" w:rsidP="00FD605C">
      <w:pPr>
        <w:pStyle w:val="Heading1"/>
      </w:pPr>
      <w:bookmarkStart w:id="9" w:name="O_640223"/>
      <w:bookmarkEnd w:id="9"/>
      <w:r w:rsidRPr="00FD605C">
        <w:t>Required Skills and Knowledge</w:t>
      </w:r>
    </w:p>
    <w:p w:rsidR="00000000" w:rsidRPr="00FD605C" w:rsidP="00FD605C">
      <w:pPr>
        <w:pStyle w:val="BodyText"/>
      </w:pPr>
      <w:r w:rsidRPr="00FD605C">
        <w:rPr>
          <w:rStyle w:val="Emphasis"/>
        </w:rPr>
        <w:t>This section describes the skills and knowledge required for this unit.</w:t>
      </w:r>
    </w:p>
    <w:p w:rsidR="00000000" w:rsidRPr="00FD605C" w:rsidP="00FD605C">
      <w:pPr>
        <w:pStyle w:val="BodyText"/>
      </w:pPr>
    </w:p>
    <w:p w:rsidR="00000000" w:rsidRPr="00FD605C" w:rsidP="00FD605C">
      <w:pPr>
        <w:pStyle w:val="BodyText"/>
      </w:pPr>
      <w:r w:rsidRPr="00FD605C">
        <w:rPr>
          <w:rStyle w:val="SpecialBold"/>
        </w:rPr>
        <w:t>Required skills</w:t>
      </w:r>
    </w:p>
    <w:p w:rsidR="00000000" w:rsidRPr="00FD605C" w:rsidP="00FD605C">
      <w:pPr>
        <w:pStyle w:val="BodyText"/>
      </w:pPr>
    </w:p>
    <w:p w:rsidR="00000000" w:rsidRPr="00FD605C" w:rsidP="00FD605C">
      <w:pPr>
        <w:pStyle w:val="ListBullet"/>
      </w:pPr>
      <w:r w:rsidRPr="00FD605C">
        <w:t>communication skills to liaise with internal and external personnel on technical and operational matters</w:t>
      </w:r>
    </w:p>
    <w:p w:rsidR="00000000" w:rsidRPr="00FD605C" w:rsidP="00FD605C">
      <w:pPr>
        <w:pStyle w:val="ListBullet"/>
      </w:pPr>
      <w:r w:rsidRPr="00FD605C">
        <w:t>literacy skills to interpret technical documentation</w:t>
      </w:r>
    </w:p>
    <w:p w:rsidR="00000000" w:rsidRPr="00FD605C" w:rsidP="00FD605C">
      <w:pPr>
        <w:pStyle w:val="ListBullet"/>
      </w:pPr>
      <w:r w:rsidRPr="00FD605C">
        <w:t>technical skills to:</w:t>
      </w:r>
    </w:p>
    <w:p w:rsidR="00000000" w:rsidRPr="00FD605C" w:rsidP="00FD605C">
      <w:pPr>
        <w:pStyle w:val="ListBullet2"/>
      </w:pPr>
      <w:r w:rsidRPr="00FD605C">
        <w:t>assemble and secure standard telecommunications equipment rack, associated i</w:t>
      </w:r>
      <w:r w:rsidRPr="00FD605C">
        <w:t>ronwork and optical fibre support ducting</w:t>
      </w:r>
    </w:p>
    <w:p w:rsidR="00000000" w:rsidRPr="00FD605C" w:rsidP="00FD605C">
      <w:pPr>
        <w:pStyle w:val="ListBullet2"/>
      </w:pPr>
      <w:r w:rsidRPr="00FD605C">
        <w:t>clean optical fibre connector</w:t>
      </w:r>
    </w:p>
    <w:p w:rsidR="00000000" w:rsidRPr="00FD605C" w:rsidP="00FD605C">
      <w:pPr>
        <w:pStyle w:val="ListBullet2"/>
      </w:pPr>
      <w:r w:rsidRPr="00FD605C">
        <w:t>examine optical fibre connector for contamination and assess whether cleaning is required</w:t>
      </w:r>
    </w:p>
    <w:p w:rsidR="00000000" w:rsidRPr="00FD605C" w:rsidP="00FD605C">
      <w:pPr>
        <w:pStyle w:val="ListBullet2"/>
      </w:pPr>
      <w:r w:rsidRPr="00FD605C">
        <w:t>prepare and connect power and ground wires</w:t>
      </w:r>
    </w:p>
    <w:p w:rsidR="009464F8" w:rsidP="00FD605C">
      <w:pPr>
        <w:pStyle w:val="ListBullet2"/>
      </w:pPr>
      <w:r w:rsidRPr="00FD605C">
        <w:t>use a digital multimeter to measure DC and AC volta</w:t>
      </w:r>
      <w:r w:rsidRPr="00FD605C">
        <w:t>ge and to check continuity.</w:t>
      </w:r>
    </w:p>
    <w:p w:rsidR="009464F8" w:rsidP="00FD605C">
      <w:pPr>
        <w:pStyle w:val="ListBullet2"/>
      </w:pPr>
    </w:p>
    <w:p w:rsidR="00000000" w:rsidRPr="00FD605C" w:rsidP="00FD605C">
      <w:pPr>
        <w:pStyle w:val="BodyText"/>
      </w:pPr>
      <w:r w:rsidRPr="00FD605C">
        <w:rPr>
          <w:rStyle w:val="SpecialBold"/>
        </w:rPr>
        <w:t>Required knowledge</w:t>
      </w:r>
    </w:p>
    <w:p w:rsidR="00000000" w:rsidRPr="00FD605C" w:rsidP="00FD605C">
      <w:pPr>
        <w:pStyle w:val="BodyText"/>
      </w:pPr>
    </w:p>
    <w:p w:rsidR="00000000" w:rsidRPr="00FD605C" w:rsidP="00FD605C">
      <w:pPr>
        <w:pStyle w:val="ListBullet"/>
      </w:pPr>
      <w:r w:rsidRPr="00FD605C">
        <w:t>DWDM principles of operation</w:t>
      </w:r>
    </w:p>
    <w:p w:rsidR="00000000" w:rsidRPr="00FD605C" w:rsidP="00FD605C">
      <w:pPr>
        <w:pStyle w:val="ListBullet"/>
      </w:pPr>
      <w:r w:rsidRPr="00FD605C">
        <w:t>electrostatic discharge: implications and precautions</w:t>
      </w:r>
    </w:p>
    <w:p w:rsidR="00000000" w:rsidRPr="00FD605C" w:rsidP="00FD605C">
      <w:pPr>
        <w:pStyle w:val="ListBullet"/>
      </w:pPr>
      <w:r w:rsidRPr="00FD605C">
        <w:t>optical fibre connector: types and characteristics</w:t>
      </w:r>
    </w:p>
    <w:p w:rsidR="00000000" w:rsidRPr="00FD605C" w:rsidP="00FD605C">
      <w:pPr>
        <w:pStyle w:val="ListBullet"/>
      </w:pPr>
      <w:r w:rsidRPr="00FD605C">
        <w:t>optical fibre: types and characteristics</w:t>
      </w:r>
    </w:p>
    <w:p w:rsidR="00000000" w:rsidRPr="00FD605C" w:rsidP="00FD605C">
      <w:pPr>
        <w:pStyle w:val="ListBullet"/>
      </w:pPr>
      <w:r w:rsidRPr="00FD605C">
        <w:t>principles of safe measurement of optical power from laser transmission systems</w:t>
      </w:r>
    </w:p>
    <w:p w:rsidR="00000000" w:rsidRPr="00FD605C" w:rsidP="00FD605C">
      <w:pPr>
        <w:pStyle w:val="ListBullet"/>
      </w:pPr>
      <w:r w:rsidRPr="00FD605C">
        <w:t>specific WHS requirements that impact on the safe inspection of optical connectors.</w:t>
      </w:r>
    </w:p>
    <w:p w:rsidR="00000000" w:rsidRPr="00FD605C" w:rsidP="00FD605C">
      <w:pPr>
        <w:pStyle w:val="AllowPageBreak"/>
      </w:pPr>
    </w:p>
    <w:p w:rsidR="00000000" w:rsidRPr="00FD605C" w:rsidP="00FD605C">
      <w:pPr>
        <w:pStyle w:val="Heading1"/>
      </w:pPr>
      <w:bookmarkStart w:id="10" w:name="O_640224"/>
      <w:bookmarkEnd w:id="10"/>
      <w:r w:rsidRPr="00FD605C">
        <w:t>Evidence Guide</w:t>
      </w:r>
    </w:p>
    <w:p w:rsidR="00000000" w:rsidRPr="00FD605C" w:rsidP="00FD605C">
      <w:pPr>
        <w:pStyle w:val="BodyText"/>
      </w:pPr>
      <w:r w:rsidRPr="00FD605C">
        <w:rPr>
          <w:rStyle w:val="Emphasis"/>
        </w:rPr>
        <w:t>The evidence guide provides advice on assessment and must be</w:t>
      </w:r>
      <w:r w:rsidRPr="00FD605C">
        <w:rPr>
          <w:rStyle w:val="Emphasis"/>
        </w:rPr>
        <w:t xml:space="preserve"> read in conjunction with the performance criteria, required skills and knowledge, range statement and the Assessment Guidelines for the Training Package.</w:t>
      </w:r>
    </w:p>
    <w:p w:rsidR="00000000" w:rsidRPr="00FD605C" w:rsidP="00FD605C">
      <w:pPr>
        <w:pStyle w:val="BodyText"/>
      </w:pPr>
    </w:p>
    <w:tbl>
      <w:tblPr>
        <w:tblW w:w="0" w:type="auto"/>
        <w:tblLayout w:type="fixed"/>
        <w:tblCellMar>
          <w:left w:w="62" w:type="dxa"/>
          <w:right w:w="62" w:type="dxa"/>
        </w:tblCellMar>
        <w:tblLook w:val="0000"/>
      </w:tblPr>
      <w:tblGrid>
        <w:gridCol w:w="2520"/>
        <w:gridCol w:w="6225"/>
      </w:tblGrid>
      <w:tr w:rsidTr="00FD60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p>
        </w:tc>
      </w:tr>
      <w:tr w:rsidTr="00FD60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Evidence of the ability to:</w:t>
            </w:r>
          </w:p>
          <w:p w:rsidR="00000000" w:rsidRPr="00FD605C" w:rsidP="00FD605C">
            <w:pPr>
              <w:pStyle w:val="BodyText"/>
            </w:pPr>
          </w:p>
          <w:p w:rsidR="00000000" w:rsidRPr="00FD605C" w:rsidP="00FD605C">
            <w:pPr>
              <w:pStyle w:val="ListBullet"/>
            </w:pPr>
            <w:r w:rsidRPr="00FD605C">
              <w:t>design a DWDM installation and associated cabling according to installation brief and installation site conditions</w:t>
            </w:r>
          </w:p>
          <w:p w:rsidR="00000000" w:rsidRPr="00FD605C" w:rsidP="00FD605C">
            <w:pPr>
              <w:pStyle w:val="ListBullet"/>
            </w:pPr>
            <w:r w:rsidRPr="00FD605C">
              <w:t>design DWDM system</w:t>
            </w:r>
            <w:r w:rsidRPr="00FD605C">
              <w:t xml:space="preserve"> power and ground connections</w:t>
            </w:r>
          </w:p>
          <w:p w:rsidR="00000000" w:rsidP="00FD605C">
            <w:pPr>
              <w:pStyle w:val="ListBullet"/>
              <w:rPr>
                <w:lang w:val="en-NZ"/>
              </w:rPr>
            </w:pPr>
            <w:r w:rsidRPr="00FD605C">
              <w:t>complete and confirm installation design report.</w:t>
            </w:r>
          </w:p>
        </w:tc>
      </w:tr>
      <w:tr w:rsidTr="00FD60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Assessment must ensure:</w:t>
            </w:r>
          </w:p>
          <w:p w:rsidR="00000000" w:rsidRPr="00FD605C" w:rsidP="00FD605C">
            <w:pPr>
              <w:pStyle w:val="BodyText"/>
            </w:pPr>
          </w:p>
          <w:p w:rsidR="00000000" w:rsidRPr="00FD605C" w:rsidP="00FD605C">
            <w:pPr>
              <w:pStyle w:val="ListBullet"/>
            </w:pPr>
            <w:r w:rsidRPr="00FD605C">
              <w:t>suitable site for DWDM equipment installation</w:t>
            </w:r>
          </w:p>
          <w:p w:rsidR="00000000" w:rsidRPr="00FD605C" w:rsidP="00FD605C">
            <w:pPr>
              <w:pStyle w:val="ListBullet"/>
            </w:pPr>
            <w:r w:rsidRPr="00FD605C">
              <w:t>access to tools and equipment required for installation</w:t>
            </w:r>
          </w:p>
          <w:p w:rsidR="00000000" w:rsidP="00FD605C">
            <w:pPr>
              <w:pStyle w:val="ListBullet"/>
              <w:rPr>
                <w:lang w:val="en-NZ"/>
              </w:rPr>
            </w:pPr>
            <w:r w:rsidRPr="00FD605C">
              <w:t>a range of optical fibres to suit the installation.</w:t>
            </w:r>
          </w:p>
        </w:tc>
      </w:tr>
      <w:tr w:rsidTr="00FD60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A range of assessment methods should be used to assess practical skills and knowledge. The following examples are appropriate for this unit:</w:t>
            </w:r>
          </w:p>
          <w:p w:rsidR="00000000" w:rsidRPr="00FD605C" w:rsidP="00FD605C">
            <w:pPr>
              <w:pStyle w:val="BodyText"/>
            </w:pPr>
          </w:p>
          <w:p w:rsidR="00000000" w:rsidRPr="00FD605C" w:rsidP="00FD605C">
            <w:pPr>
              <w:pStyle w:val="ListBullet"/>
            </w:pPr>
            <w:r w:rsidRPr="00FD605C">
              <w:t>direct observation of the candidate pr</w:t>
            </w:r>
            <w:r w:rsidRPr="00FD605C">
              <w:t>eparing designs for DWDM systems</w:t>
            </w:r>
          </w:p>
          <w:p w:rsidR="00000000" w:rsidRPr="00FD605C" w:rsidP="00FD605C">
            <w:pPr>
              <w:pStyle w:val="ListBullet"/>
            </w:pPr>
            <w:r w:rsidRPr="00FD605C">
              <w:t>review of DWDM designs prepared by the candidate</w:t>
            </w:r>
          </w:p>
          <w:p w:rsidR="00000000" w:rsidP="00FD605C">
            <w:pPr>
              <w:pStyle w:val="ListBullet"/>
              <w:rPr>
                <w:lang w:val="en-NZ"/>
              </w:rPr>
            </w:pPr>
            <w:r w:rsidRPr="00FD605C">
              <w:t>oral or written questioning of the candidate to assess knowledge of DWDM design practices.</w:t>
            </w:r>
          </w:p>
        </w:tc>
      </w:tr>
      <w:tr w:rsidTr="00FD605C">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BodyText"/>
            </w:pPr>
            <w:r w:rsidRPr="00FD605C">
              <w:t xml:space="preserve">Holistic assessment with other units relevant </w:t>
            </w:r>
            <w:r w:rsidRPr="00FD605C">
              <w:t>to the industry sector, workplace and job role is recommended, for example:</w:t>
            </w:r>
          </w:p>
          <w:p w:rsidR="00000000" w:rsidRPr="00FD605C" w:rsidP="00FD605C">
            <w:pPr>
              <w:pStyle w:val="BodyText"/>
            </w:pPr>
          </w:p>
          <w:p w:rsidR="00000000" w:rsidRPr="00FD605C" w:rsidP="00FD605C">
            <w:pPr>
              <w:pStyle w:val="ListBullet"/>
            </w:pPr>
            <w:r w:rsidRPr="00FD605C">
              <w:t>ICTBWN3088B Install optical fibre splitters in fibre distribution hubs</w:t>
            </w:r>
          </w:p>
          <w:p w:rsidR="00000000" w:rsidRPr="00FD605C" w:rsidP="00FD605C">
            <w:pPr>
              <w:pStyle w:val="ListBullet"/>
            </w:pPr>
            <w:r w:rsidRPr="00FD605C">
              <w:t>ICTTEN3056A Install telecommunications network equipment.</w:t>
            </w:r>
          </w:p>
          <w:p w:rsidR="00000000" w:rsidRPr="00FD605C" w:rsidP="00FD605C">
            <w:pPr>
              <w:pStyle w:val="BodyText"/>
            </w:pPr>
          </w:p>
          <w:p w:rsidR="00000000" w:rsidRPr="00FD605C" w:rsidP="00FD605C">
            <w:pPr>
              <w:pStyle w:val="BodyText"/>
            </w:pPr>
            <w:r w:rsidRPr="00FD605C">
              <w:t>Aboriginal people and other people from a non-English speaking background may have second language issues.</w:t>
            </w:r>
          </w:p>
          <w:p w:rsidR="00000000" w:rsidRPr="00FD605C" w:rsidP="00FD605C">
            <w:pPr>
              <w:pStyle w:val="BodyText"/>
            </w:pPr>
          </w:p>
          <w:p w:rsidR="00000000" w:rsidRPr="00FD605C" w:rsidP="00FD605C">
            <w:pPr>
              <w:pStyle w:val="BodyText"/>
            </w:pPr>
            <w:r w:rsidRPr="00FD605C">
              <w:t>Access must be provided to appropriate learning and assessment support when required.</w:t>
            </w:r>
          </w:p>
          <w:p w:rsidR="00000000" w:rsidRPr="00FD605C" w:rsidP="00FD605C">
            <w:pPr>
              <w:pStyle w:val="BodyText"/>
            </w:pPr>
            <w:r w:rsidRPr="00FD605C">
              <w:t>Assessment processes and techniques must be culturally appropr</w:t>
            </w:r>
            <w:r w:rsidRPr="00FD605C">
              <w:t>iate, and appropriate to the oral communication skill level, and language and literacy capacity of the candidate and the work being performed.</w:t>
            </w:r>
          </w:p>
          <w:p w:rsidR="00000000" w:rsidRPr="00FD605C" w:rsidP="00FD605C">
            <w:pPr>
              <w:pStyle w:val="BodyText"/>
            </w:pPr>
          </w:p>
          <w:p w:rsidR="00000000" w:rsidRPr="00FD605C" w:rsidP="00FD605C">
            <w:pPr>
              <w:pStyle w:val="BodyText"/>
            </w:pPr>
            <w:r w:rsidRPr="00FD605C">
              <w:t>In all cases where practical assessment is used it will be combined with targeted questioning to assess required</w:t>
            </w:r>
            <w:r w:rsidRPr="00FD605C">
              <w:t xml:space="preserve"> knowledge. Questioning techniques should not require language, literacy and numeracy skills beyond those required in this unit of competency.</w:t>
            </w:r>
          </w:p>
          <w:p w:rsidR="00000000" w:rsidRPr="00FD605C" w:rsidP="00FD605C">
            <w:pPr>
              <w:pStyle w:val="BodyText"/>
            </w:pPr>
          </w:p>
          <w:p w:rsidR="00000000" w:rsidRPr="00FD605C" w:rsidP="00FD605C">
            <w:pPr>
              <w:pStyle w:val="BodyText"/>
            </w:pPr>
            <w:r w:rsidRPr="00FD605C">
              <w:t>Where applicable, physical resources should include equipment modified for people with special needs.</w:t>
            </w:r>
          </w:p>
        </w:tc>
      </w:tr>
    </w:tbl>
    <w:p w:rsidR="00000000" w:rsidRPr="00FD605C" w:rsidP="00FD605C">
      <w:pPr>
        <w:pStyle w:val="BodyText"/>
      </w:pPr>
    </w:p>
    <w:p w:rsidR="00000000" w:rsidRPr="00FD605C" w:rsidP="00FD605C">
      <w:pPr>
        <w:pStyle w:val="AllowPageBreak"/>
      </w:pPr>
    </w:p>
    <w:p w:rsidR="00000000" w:rsidRPr="00FD605C" w:rsidP="00FD605C">
      <w:pPr>
        <w:pStyle w:val="Heading1"/>
      </w:pPr>
      <w:bookmarkStart w:id="11" w:name="O_640225"/>
      <w:bookmarkEnd w:id="11"/>
      <w:r w:rsidRPr="00FD605C">
        <w:t>Range Statement</w:t>
      </w:r>
    </w:p>
    <w:p w:rsidR="00000000" w:rsidRPr="00FD605C" w:rsidP="00FD605C">
      <w:pPr>
        <w:pStyle w:val="BodyText"/>
      </w:pPr>
      <w:r w:rsidRPr="00FD605C">
        <w:rPr>
          <w:rStyle w:val="Emphasis"/>
        </w:rPr>
        <w:t xml:space="preserve">The range statement relates to the unit of competency as a whole. It allows for different work environments and situations that may affect </w:t>
      </w:r>
      <w:r w:rsidRPr="00FD605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FD605C">
        <w:rPr>
          <w:rStyle w:val="Emphasis"/>
        </w:rPr>
        <w:t>m, and local industry and regional contexts) may also be included.</w:t>
      </w:r>
    </w:p>
    <w:p w:rsidR="00000000" w:rsidRPr="00FD605C" w:rsidP="00FD605C">
      <w:pPr>
        <w:pStyle w:val="BodyText"/>
      </w:pPr>
    </w:p>
    <w:tbl>
      <w:tblPr>
        <w:tblW w:w="0" w:type="auto"/>
        <w:tblLayout w:type="fixed"/>
        <w:tblCellMar>
          <w:left w:w="62" w:type="dxa"/>
          <w:right w:w="62" w:type="dxa"/>
        </w:tblCellMar>
        <w:tblLook w:val="0000"/>
      </w:tblPr>
      <w:tblGrid>
        <w:gridCol w:w="2366"/>
        <w:gridCol w:w="6379"/>
      </w:tblGrid>
      <w:tr w:rsidTr="00FD605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BoldandItalics"/>
              </w:rPr>
              <w:t xml:space="preserve">Site </w:t>
            </w:r>
            <w:r w:rsidRPr="00FD605C">
              <w:t>may include:</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ListBullet"/>
            </w:pPr>
            <w:r w:rsidRPr="00FD605C">
              <w:t>optical add drop multiplexer (OADM) site</w:t>
            </w:r>
          </w:p>
          <w:p w:rsidR="00000000" w:rsidP="00FD605C">
            <w:pPr>
              <w:pStyle w:val="ListBullet"/>
              <w:rPr>
                <w:lang w:val="en-NZ"/>
              </w:rPr>
            </w:pPr>
            <w:r w:rsidRPr="00FD605C">
              <w:t>terminal site.</w:t>
            </w:r>
          </w:p>
        </w:tc>
      </w:tr>
      <w:tr w:rsidTr="00FD605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BoldandItalics"/>
              </w:rPr>
              <w:t xml:space="preserve">Equipment racks </w:t>
            </w:r>
            <w:r w:rsidRPr="00FD605C">
              <w:t>may include:</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ListBullet"/>
            </w:pPr>
            <w:r w:rsidRPr="00FD605C">
              <w:t>19 inch type</w:t>
            </w:r>
          </w:p>
          <w:p w:rsidR="00000000" w:rsidRPr="00FD605C" w:rsidP="00FD605C">
            <w:pPr>
              <w:pStyle w:val="ListBullet"/>
            </w:pPr>
            <w:r w:rsidRPr="00FD605C">
              <w:t>23 inch type</w:t>
            </w:r>
          </w:p>
          <w:p w:rsidR="00000000" w:rsidP="00FD605C">
            <w:pPr>
              <w:pStyle w:val="ListBullet"/>
              <w:rPr>
                <w:lang w:val="en-NZ"/>
              </w:rPr>
            </w:pPr>
            <w:r w:rsidRPr="00FD605C">
              <w:t>535 mm (ETSI rack) type.</w:t>
            </w:r>
          </w:p>
        </w:tc>
      </w:tr>
      <w:tr w:rsidTr="00FD605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BoldandItalics"/>
              </w:rPr>
              <w:t xml:space="preserve">Power feed options </w:t>
            </w:r>
            <w:r w:rsidRPr="00FD605C">
              <w:t>may include</w:t>
            </w:r>
            <w:r w:rsidRPr="00FD605C">
              <w:t>:</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ListBullet"/>
            </w:pPr>
            <w:r w:rsidRPr="00FD605C">
              <w:t>battery options</w:t>
            </w:r>
          </w:p>
          <w:p w:rsidR="00000000" w:rsidRPr="00FD605C" w:rsidP="00FD605C">
            <w:pPr>
              <w:pStyle w:val="ListBullet"/>
            </w:pPr>
            <w:r w:rsidRPr="00FD605C">
              <w:t>earthing requirements</w:t>
            </w:r>
          </w:p>
          <w:p w:rsidR="00000000" w:rsidRPr="00FD605C" w:rsidP="00FD605C">
            <w:pPr>
              <w:pStyle w:val="ListBullet"/>
            </w:pPr>
            <w:r w:rsidRPr="00FD605C">
              <w:t>primary power sources</w:t>
            </w:r>
          </w:p>
          <w:p w:rsidR="00000000" w:rsidRPr="00FD605C" w:rsidP="00FD605C">
            <w:pPr>
              <w:pStyle w:val="ListBullet"/>
            </w:pPr>
            <w:r w:rsidRPr="00FD605C">
              <w:t>rectifier and transformer requirements</w:t>
            </w:r>
          </w:p>
          <w:p w:rsidR="00000000" w:rsidP="00FD605C">
            <w:pPr>
              <w:pStyle w:val="ListBullet"/>
              <w:rPr>
                <w:lang w:val="en-NZ"/>
              </w:rPr>
            </w:pPr>
            <w:r w:rsidRPr="00FD605C">
              <w:t>separations form other services.</w:t>
            </w:r>
          </w:p>
        </w:tc>
      </w:tr>
      <w:tr w:rsidTr="00FD605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BoldandItalics"/>
              </w:rPr>
              <w:t xml:space="preserve">Patch panels </w:t>
            </w:r>
            <w:r w:rsidRPr="00FD605C">
              <w:t>may include:</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ListBullet"/>
            </w:pPr>
            <w:r w:rsidRPr="00FD605C">
              <w:t>rack mounted</w:t>
            </w:r>
          </w:p>
          <w:p w:rsidR="00000000" w:rsidP="00FD605C">
            <w:pPr>
              <w:pStyle w:val="ListBullet"/>
              <w:rPr>
                <w:lang w:val="en-NZ"/>
              </w:rPr>
            </w:pPr>
            <w:r w:rsidRPr="00FD605C">
              <w:t>wall mounted.</w:t>
            </w:r>
          </w:p>
        </w:tc>
      </w:tr>
      <w:tr w:rsidTr="00FD605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BoldandItalics"/>
              </w:rPr>
              <w:t xml:space="preserve">Ancillary equipment and connections </w:t>
            </w:r>
            <w:r w:rsidRPr="00FD605C">
              <w:t>may include:</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ListBullet"/>
            </w:pPr>
            <w:r w:rsidRPr="00FD605C">
              <w:t>air filter</w:t>
            </w:r>
          </w:p>
          <w:p w:rsidR="00000000" w:rsidRPr="00FD605C" w:rsidP="00FD605C">
            <w:pPr>
              <w:pStyle w:val="ListBullet"/>
            </w:pPr>
            <w:r w:rsidRPr="00FD605C">
              <w:t>alarm connections</w:t>
            </w:r>
          </w:p>
          <w:p w:rsidR="00000000" w:rsidRPr="00FD605C" w:rsidP="00FD605C">
            <w:pPr>
              <w:pStyle w:val="ListBullet"/>
            </w:pPr>
            <w:r w:rsidRPr="00FD605C">
              <w:t>C/L band splitter tray</w:t>
            </w:r>
          </w:p>
          <w:p w:rsidR="00000000" w:rsidRPr="00FD605C" w:rsidP="00FD605C">
            <w:pPr>
              <w:pStyle w:val="ListBullet"/>
            </w:pPr>
            <w:r w:rsidRPr="00FD605C">
              <w:t>cooling fan assembly</w:t>
            </w:r>
          </w:p>
          <w:p w:rsidR="00000000" w:rsidRPr="00FD605C" w:rsidP="00FD605C">
            <w:pPr>
              <w:pStyle w:val="ListBullet"/>
            </w:pPr>
            <w:r w:rsidRPr="00FD605C">
              <w:t>coupler tray</w:t>
            </w:r>
          </w:p>
          <w:p w:rsidR="00000000" w:rsidRPr="00FD605C" w:rsidP="00FD605C">
            <w:pPr>
              <w:pStyle w:val="ListBullet"/>
            </w:pPr>
            <w:r w:rsidRPr="00FD605C">
              <w:t>craft terminal</w:t>
            </w:r>
          </w:p>
          <w:p w:rsidR="00000000" w:rsidRPr="00FD605C" w:rsidP="00FD605C">
            <w:pPr>
              <w:pStyle w:val="ListBullet"/>
            </w:pPr>
            <w:r w:rsidRPr="00FD605C">
              <w:t>data communications connections</w:t>
            </w:r>
          </w:p>
          <w:p w:rsidR="00000000" w:rsidRPr="00FD605C" w:rsidP="00FD605C">
            <w:pPr>
              <w:pStyle w:val="ListBullet"/>
            </w:pPr>
            <w:r w:rsidRPr="00FD605C">
              <w:t>equaliser tray</w:t>
            </w:r>
          </w:p>
          <w:p w:rsidR="00000000" w:rsidRPr="00FD605C" w:rsidP="00FD605C">
            <w:pPr>
              <w:pStyle w:val="ListBullet"/>
            </w:pPr>
            <w:r w:rsidRPr="00FD605C">
              <w:t>ethernet hub</w:t>
            </w:r>
          </w:p>
          <w:p w:rsidR="00000000" w:rsidRPr="00FD605C" w:rsidP="00FD605C">
            <w:pPr>
              <w:pStyle w:val="ListBullet"/>
            </w:pPr>
            <w:r w:rsidRPr="00FD605C">
              <w:t>fibre management trays</w:t>
            </w:r>
          </w:p>
          <w:p w:rsidR="00000000" w:rsidRPr="00FD605C" w:rsidP="00FD605C">
            <w:pPr>
              <w:pStyle w:val="ListBullet"/>
            </w:pPr>
            <w:r w:rsidRPr="00FD605C">
              <w:t>optical attenuators</w:t>
            </w:r>
          </w:p>
          <w:p w:rsidR="00000000" w:rsidRPr="00FD605C" w:rsidP="00FD605C">
            <w:pPr>
              <w:pStyle w:val="ListBullet"/>
            </w:pPr>
            <w:r w:rsidRPr="00FD605C">
              <w:t>optical fibre patch cords</w:t>
            </w:r>
          </w:p>
          <w:p w:rsidR="00000000" w:rsidRPr="00FD605C" w:rsidP="00FD605C">
            <w:pPr>
              <w:pStyle w:val="ListBullet"/>
            </w:pPr>
            <w:r w:rsidRPr="00FD605C">
              <w:t>optical multiplexer</w:t>
            </w:r>
          </w:p>
          <w:p w:rsidR="00000000" w:rsidRPr="00FD605C" w:rsidP="00FD605C">
            <w:pPr>
              <w:pStyle w:val="ListBullet"/>
            </w:pPr>
            <w:r w:rsidRPr="00FD605C">
              <w:t>optical service channel tray</w:t>
            </w:r>
          </w:p>
          <w:p w:rsidR="00000000" w:rsidRPr="00FD605C" w:rsidP="00FD605C">
            <w:pPr>
              <w:pStyle w:val="ListBullet"/>
            </w:pPr>
            <w:r w:rsidRPr="00FD605C">
              <w:t xml:space="preserve">telemetry connections </w:t>
            </w:r>
          </w:p>
          <w:p w:rsidR="00000000" w:rsidP="00FD605C">
            <w:pPr>
              <w:pStyle w:val="ListBullet"/>
              <w:rPr>
                <w:lang w:val="en-NZ"/>
              </w:rPr>
            </w:pPr>
            <w:r w:rsidRPr="00FD605C">
              <w:t>variable optical attenuators.</w:t>
            </w:r>
          </w:p>
        </w:tc>
      </w:tr>
      <w:tr w:rsidTr="00FD605C">
        <w:tblPrEx>
          <w:tblW w:w="0" w:type="auto"/>
          <w:tblLayout w:type="fixed"/>
          <w:tblCellMar>
            <w:left w:w="62" w:type="dxa"/>
            <w:right w:w="62" w:type="dxa"/>
          </w:tblCellMar>
          <w:tblLook w:val="0000"/>
        </w:tblPrEx>
        <w:tc>
          <w:tcPr>
            <w:tcW w:w="23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605C">
            <w:pPr>
              <w:pStyle w:val="BodyText"/>
              <w:rPr>
                <w:lang w:val="en-NZ"/>
              </w:rPr>
            </w:pPr>
            <w:r w:rsidRPr="00FD605C">
              <w:rPr>
                <w:rStyle w:val="BoldandItalics"/>
              </w:rPr>
              <w:t xml:space="preserve">Legislation </w:t>
            </w:r>
            <w:r w:rsidRPr="00FD605C">
              <w:t>may include:</w:t>
            </w:r>
          </w:p>
        </w:tc>
        <w:tc>
          <w:tcPr>
            <w:tcW w:w="63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605C" w:rsidP="00FD605C">
            <w:pPr>
              <w:pStyle w:val="ListBullet"/>
            </w:pPr>
            <w:r w:rsidRPr="00FD605C">
              <w:t>AS Communications Cabling Manual (CCM) Volume 1</w:t>
            </w:r>
          </w:p>
          <w:p w:rsidR="00000000" w:rsidRPr="00FD605C" w:rsidP="00FD605C">
            <w:pPr>
              <w:pStyle w:val="ListBullet"/>
            </w:pPr>
            <w:r w:rsidRPr="00FD605C">
              <w:t>AS/NZS – relevant codes</w:t>
            </w:r>
          </w:p>
          <w:p w:rsidR="00000000" w:rsidRPr="00FD605C" w:rsidP="00FD605C">
            <w:pPr>
              <w:pStyle w:val="ListBullet"/>
            </w:pPr>
            <w:r w:rsidRPr="00FD605C">
              <w:t>Australian building codes and regulations</w:t>
            </w:r>
          </w:p>
          <w:p w:rsidR="00000000" w:rsidRPr="00FD605C" w:rsidP="00FD605C">
            <w:pPr>
              <w:pStyle w:val="ListBullet"/>
            </w:pPr>
            <w:r w:rsidRPr="00FD605C">
              <w:t>cabling security codes and regulations</w:t>
            </w:r>
          </w:p>
          <w:p w:rsidR="00000000" w:rsidRPr="00FD605C" w:rsidP="00FD605C">
            <w:pPr>
              <w:pStyle w:val="ListBullet"/>
            </w:pPr>
            <w:r w:rsidRPr="00FD605C">
              <w:t>Comms Alliance (CA) standards and codes</w:t>
            </w:r>
          </w:p>
          <w:p w:rsidR="00000000" w:rsidRPr="00FD605C" w:rsidP="00FD605C">
            <w:pPr>
              <w:pStyle w:val="ListBullet"/>
            </w:pPr>
            <w:r w:rsidRPr="00FD605C">
              <w:t>relevant international standards where they are enforced</w:t>
            </w:r>
          </w:p>
          <w:p w:rsidR="00000000" w:rsidRPr="00FD605C" w:rsidP="00FD605C">
            <w:pPr>
              <w:pStyle w:val="ListBullet"/>
            </w:pPr>
            <w:r w:rsidRPr="00FD605C">
              <w:t>technical standards AS/ACIF S008:2006 and AS/ACIF S009:2006</w:t>
            </w:r>
          </w:p>
          <w:p w:rsidR="00000000" w:rsidRPr="00FD605C" w:rsidP="00FD605C">
            <w:pPr>
              <w:pStyle w:val="ListBullet"/>
            </w:pPr>
            <w:r w:rsidRPr="00FD605C">
              <w:t>Telecommunications Act and code of practice</w:t>
            </w:r>
          </w:p>
          <w:p w:rsidR="00000000" w:rsidRPr="00FD605C" w:rsidP="00FD605C">
            <w:pPr>
              <w:pStyle w:val="ListBullet"/>
            </w:pPr>
            <w:r w:rsidRPr="00FD605C">
              <w:t>WHS Acts and rel</w:t>
            </w:r>
            <w:r w:rsidRPr="00FD605C">
              <w:t>evant codes and standards.</w:t>
            </w:r>
          </w:p>
        </w:tc>
      </w:tr>
    </w:tbl>
    <w:p w:rsidR="00000000" w:rsidRPr="00FD605C" w:rsidP="00FD605C">
      <w:pPr>
        <w:pStyle w:val="BodyText"/>
      </w:pPr>
    </w:p>
    <w:p w:rsidR="00000000" w:rsidRPr="00FD605C" w:rsidP="00FD605C">
      <w:pPr>
        <w:pStyle w:val="AllowPageBreak"/>
      </w:pPr>
    </w:p>
    <w:p w:rsidR="00000000" w:rsidRPr="00FD605C" w:rsidP="00FD605C">
      <w:pPr>
        <w:pStyle w:val="Heading1"/>
      </w:pPr>
      <w:bookmarkStart w:id="12" w:name="O_640226"/>
      <w:bookmarkEnd w:id="12"/>
      <w:r w:rsidRPr="00FD605C">
        <w:t>Unit Sector(s)</w:t>
      </w:r>
    </w:p>
    <w:p w:rsidR="00000000" w:rsidRPr="00FD605C" w:rsidP="00FD605C">
      <w:pPr>
        <w:pStyle w:val="BodyText"/>
      </w:pPr>
      <w:r w:rsidRPr="00FD605C">
        <w:t>Telecommunications - Telecommunications networks engineering</w:t>
      </w:r>
    </w:p>
    <w:p w:rsidR="00000000" w:rsidRPr="00FD605C" w:rsidP="00FD605C"/>
    <w:sectPr w:rsidSect="00FD60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5C" w:rsidRPr="009464F8" w:rsidP="00946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4F8" w:rsidP="00FD60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464F8" w:rsidP="00FD605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64F8" w:rsidP="00FD60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5C" w:rsidRPr="009464F8" w:rsidP="009464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4F8" w:rsidRPr="002D2AF8" w:rsidP="00FD605C">
    <w:pPr>
      <w:pStyle w:val="Header"/>
      <w:framePr w:wrap="around"/>
    </w:pPr>
    <w:r>
      <w:fldChar w:fldCharType="begin"/>
    </w:r>
    <w:r>
      <w:instrText xml:space="preserve"> TITLE   \* MERGEFORMAT </w:instrText>
    </w:r>
    <w:r>
      <w:fldChar w:fldCharType="separate"/>
    </w:r>
    <w:r>
      <w:t>ICTTEN4246A Design dense wavelength division multiplexing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9464F8" w:rsidP="00FD60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4A8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65F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4E3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60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605C"/>
    <w:pPr>
      <w:spacing w:before="360" w:after="60"/>
      <w:outlineLvl w:val="0"/>
    </w:pPr>
    <w:rPr>
      <w:sz w:val="32"/>
    </w:rPr>
  </w:style>
  <w:style w:type="paragraph" w:styleId="Heading2">
    <w:name w:val="heading 2"/>
    <w:basedOn w:val="HeadingBase"/>
    <w:next w:val="BodyText"/>
    <w:link w:val="Heading2Char"/>
    <w:qFormat/>
    <w:rsid w:val="00FD605C"/>
    <w:pPr>
      <w:keepLines/>
      <w:spacing w:before="240" w:after="120"/>
      <w:outlineLvl w:val="1"/>
    </w:pPr>
    <w:rPr>
      <w:sz w:val="28"/>
      <w:szCs w:val="40"/>
    </w:rPr>
  </w:style>
  <w:style w:type="paragraph" w:styleId="Heading3">
    <w:name w:val="heading 3"/>
    <w:basedOn w:val="HeadingBase"/>
    <w:next w:val="BodyText"/>
    <w:link w:val="Heading3Char"/>
    <w:qFormat/>
    <w:rsid w:val="00FD605C"/>
    <w:pPr>
      <w:spacing w:before="180" w:after="120"/>
      <w:outlineLvl w:val="2"/>
    </w:pPr>
    <w:rPr>
      <w:spacing w:val="-10"/>
      <w:kern w:val="32"/>
    </w:rPr>
  </w:style>
  <w:style w:type="paragraph" w:styleId="Heading4">
    <w:name w:val="heading 4"/>
    <w:basedOn w:val="HeadingBase"/>
    <w:next w:val="BodyText"/>
    <w:link w:val="Heading4Char"/>
    <w:qFormat/>
    <w:rsid w:val="00FD605C"/>
    <w:pPr>
      <w:spacing w:before="160" w:after="120"/>
      <w:outlineLvl w:val="3"/>
    </w:pPr>
    <w:rPr>
      <w:sz w:val="22"/>
    </w:rPr>
  </w:style>
  <w:style w:type="paragraph" w:styleId="Heading5">
    <w:name w:val="heading 5"/>
    <w:basedOn w:val="HeadingBase"/>
    <w:next w:val="Normal"/>
    <w:link w:val="Heading5Char"/>
    <w:qFormat/>
    <w:rsid w:val="00FD605C"/>
    <w:pPr>
      <w:spacing w:before="80"/>
      <w:outlineLvl w:val="4"/>
    </w:pPr>
    <w:rPr>
      <w:color w:val="918585"/>
      <w:sz w:val="20"/>
    </w:rPr>
  </w:style>
  <w:style w:type="paragraph" w:styleId="Heading6">
    <w:name w:val="heading 6"/>
    <w:basedOn w:val="HeadingBase"/>
    <w:next w:val="Normal"/>
    <w:link w:val="Heading6Char"/>
    <w:qFormat/>
    <w:rsid w:val="00FD605C"/>
    <w:pPr>
      <w:spacing w:before="60"/>
      <w:outlineLvl w:val="5"/>
    </w:pPr>
    <w:rPr>
      <w:color w:val="918585"/>
      <w:sz w:val="20"/>
    </w:rPr>
  </w:style>
  <w:style w:type="paragraph" w:styleId="Heading7">
    <w:name w:val="heading 7"/>
    <w:basedOn w:val="Normal"/>
    <w:next w:val="Normal"/>
    <w:link w:val="Heading7Char"/>
    <w:qFormat/>
    <w:rsid w:val="00FD605C"/>
    <w:pPr>
      <w:ind w:left="720"/>
      <w:outlineLvl w:val="6"/>
    </w:pPr>
    <w:rPr>
      <w:i/>
    </w:rPr>
  </w:style>
  <w:style w:type="paragraph" w:styleId="Heading8">
    <w:name w:val="heading 8"/>
    <w:basedOn w:val="Normal"/>
    <w:next w:val="Normal"/>
    <w:link w:val="Heading8Char"/>
    <w:qFormat/>
    <w:rsid w:val="00FD605C"/>
    <w:pPr>
      <w:ind w:left="720"/>
      <w:outlineLvl w:val="7"/>
    </w:pPr>
    <w:rPr>
      <w:i/>
    </w:rPr>
  </w:style>
  <w:style w:type="paragraph" w:styleId="Heading9">
    <w:name w:val="heading 9"/>
    <w:basedOn w:val="Normal"/>
    <w:next w:val="Normal"/>
    <w:link w:val="Heading9Char"/>
    <w:qFormat/>
    <w:rsid w:val="00FD605C"/>
    <w:pPr>
      <w:ind w:left="720"/>
      <w:outlineLvl w:val="8"/>
    </w:pPr>
    <w:rPr>
      <w:i/>
    </w:rPr>
  </w:style>
  <w:style w:type="character" w:default="1" w:styleId="DefaultParagraphFont">
    <w:name w:val="Default Paragraph Font"/>
    <w:uiPriority w:val="1"/>
    <w:unhideWhenUsed/>
    <w:rsid w:val="00FD60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605C"/>
  </w:style>
  <w:style w:type="character" w:customStyle="1" w:styleId="Heading1Char">
    <w:name w:val="Heading 1 Char"/>
    <w:basedOn w:val="DefaultParagraphFont"/>
    <w:link w:val="Heading1"/>
    <w:rsid w:val="00FD605C"/>
    <w:rPr>
      <w:rFonts w:ascii="Times New Roman" w:eastAsia="Times New Roman" w:hAnsi="Times New Roman" w:cs="Times New Roman"/>
      <w:b/>
      <w:sz w:val="32"/>
      <w:szCs w:val="20"/>
      <w:lang w:eastAsia="en-US"/>
    </w:rPr>
  </w:style>
  <w:style w:type="paragraph" w:styleId="BodyText">
    <w:name w:val="Body Text"/>
    <w:basedOn w:val="Normal"/>
    <w:link w:val="BodyTextChar"/>
    <w:rsid w:val="00FD60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605C"/>
    <w:rPr>
      <w:rFonts w:ascii="Times New Roman" w:eastAsia="Times New Roman" w:hAnsi="Times New Roman" w:cs="Times New Roman"/>
      <w:sz w:val="24"/>
      <w:lang w:eastAsia="en-US"/>
    </w:rPr>
  </w:style>
  <w:style w:type="paragraph" w:styleId="ListBullet">
    <w:name w:val="List Bullet"/>
    <w:basedOn w:val="List"/>
    <w:rsid w:val="00FD605C"/>
    <w:pPr>
      <w:numPr>
        <w:numId w:val="13"/>
      </w:numPr>
      <w:tabs>
        <w:tab w:val="clear" w:pos="340"/>
      </w:tabs>
      <w:spacing w:before="40" w:after="40"/>
    </w:pPr>
  </w:style>
  <w:style w:type="character" w:customStyle="1" w:styleId="SpecialBold">
    <w:name w:val="Special Bold"/>
    <w:basedOn w:val="DefaultParagraphFont"/>
    <w:rsid w:val="00FD605C"/>
    <w:rPr>
      <w:b/>
      <w:spacing w:val="0"/>
    </w:rPr>
  </w:style>
  <w:style w:type="paragraph" w:styleId="ListBullet2">
    <w:name w:val="List Bullet 2"/>
    <w:basedOn w:val="List2"/>
    <w:rsid w:val="00FD605C"/>
    <w:pPr>
      <w:numPr>
        <w:numId w:val="14"/>
      </w:numPr>
      <w:tabs>
        <w:tab w:val="clear" w:pos="680"/>
      </w:tabs>
    </w:pPr>
  </w:style>
  <w:style w:type="character" w:styleId="Emphasis">
    <w:name w:val="Emphasis"/>
    <w:basedOn w:val="DefaultParagraphFont"/>
    <w:qFormat/>
    <w:rsid w:val="00FD605C"/>
    <w:rPr>
      <w:i/>
    </w:rPr>
  </w:style>
  <w:style w:type="paragraph" w:customStyle="1" w:styleId="SuperHeading">
    <w:name w:val="SuperHeading"/>
    <w:basedOn w:val="Normal"/>
    <w:rsid w:val="00FD605C"/>
    <w:pPr>
      <w:spacing w:before="240" w:after="120"/>
      <w:outlineLvl w:val="0"/>
    </w:pPr>
    <w:rPr>
      <w:rFonts w:ascii="Times New Roman" w:hAnsi="Times New Roman"/>
      <w:b/>
      <w:sz w:val="32"/>
    </w:rPr>
  </w:style>
  <w:style w:type="paragraph" w:customStyle="1" w:styleId="AllowPageBreak">
    <w:name w:val="AllowPageBreak"/>
    <w:rsid w:val="00FD60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605C"/>
    <w:rPr>
      <w:b/>
      <w:i/>
      <w:u w:val="none"/>
    </w:rPr>
  </w:style>
  <w:style w:type="character" w:customStyle="1" w:styleId="Heading2Char">
    <w:name w:val="Heading 2 Char"/>
    <w:basedOn w:val="DefaultParagraphFont"/>
    <w:link w:val="Heading2"/>
    <w:rsid w:val="00FD60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60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60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60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60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60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60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605C"/>
    <w:rPr>
      <w:rFonts w:ascii="Courier New" w:eastAsia="Times New Roman" w:hAnsi="Courier New" w:cs="Times New Roman"/>
      <w:i/>
      <w:szCs w:val="20"/>
      <w:lang w:eastAsia="en-US"/>
    </w:rPr>
  </w:style>
  <w:style w:type="paragraph" w:customStyle="1" w:styleId="HeadingBase">
    <w:name w:val="Heading Base"/>
    <w:rsid w:val="00FD60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605C"/>
    <w:pPr>
      <w:tabs>
        <w:tab w:val="right" w:leader="dot" w:pos="9072"/>
      </w:tabs>
      <w:ind w:left="567"/>
    </w:pPr>
    <w:rPr>
      <w:szCs w:val="22"/>
    </w:rPr>
  </w:style>
  <w:style w:type="paragraph" w:customStyle="1" w:styleId="TOCBase">
    <w:name w:val="TOC Base"/>
    <w:rsid w:val="00FD60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605C"/>
    <w:pPr>
      <w:tabs>
        <w:tab w:val="right" w:leader="dot" w:pos="9072"/>
      </w:tabs>
      <w:spacing w:before="40" w:after="40"/>
      <w:ind w:left="284"/>
    </w:pPr>
    <w:rPr>
      <w:rFonts w:ascii="Times New Roman" w:hAnsi="Times New Roman"/>
    </w:rPr>
  </w:style>
  <w:style w:type="paragraph" w:styleId="TOC1">
    <w:name w:val="toc 1"/>
    <w:basedOn w:val="TOCBase"/>
    <w:next w:val="Normal"/>
    <w:rsid w:val="00FD60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60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605C"/>
    <w:rPr>
      <w:rFonts w:ascii="Times New Roman" w:eastAsia="Times New Roman" w:hAnsi="Times New Roman" w:cs="Times New Roman"/>
      <w:sz w:val="16"/>
      <w:lang w:eastAsia="en-US"/>
    </w:rPr>
  </w:style>
  <w:style w:type="paragraph" w:styleId="Title">
    <w:name w:val="Title"/>
    <w:basedOn w:val="HeadingBase"/>
    <w:link w:val="TitleChar"/>
    <w:qFormat/>
    <w:rsid w:val="00FD605C"/>
    <w:pPr>
      <w:spacing w:before="5040"/>
      <w:jc w:val="center"/>
    </w:pPr>
    <w:rPr>
      <w:sz w:val="48"/>
      <w:szCs w:val="72"/>
      <w:lang w:val="en-US"/>
    </w:rPr>
  </w:style>
  <w:style w:type="character" w:customStyle="1" w:styleId="TitleChar">
    <w:name w:val="Title Char"/>
    <w:basedOn w:val="DefaultParagraphFont"/>
    <w:link w:val="Title"/>
    <w:rsid w:val="00FD60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605C"/>
    <w:pPr>
      <w:tabs>
        <w:tab w:val="left" w:pos="3600"/>
        <w:tab w:val="left" w:pos="3958"/>
      </w:tabs>
    </w:pPr>
  </w:style>
  <w:style w:type="paragraph" w:styleId="List">
    <w:name w:val="List"/>
    <w:basedOn w:val="BodyText"/>
    <w:next w:val="BodyText"/>
    <w:rsid w:val="00FD605C"/>
    <w:pPr>
      <w:tabs>
        <w:tab w:val="left" w:pos="340"/>
      </w:tabs>
      <w:spacing w:before="60" w:after="60"/>
      <w:ind w:left="340" w:hanging="340"/>
    </w:pPr>
  </w:style>
  <w:style w:type="paragraph" w:customStyle="1" w:styleId="Note">
    <w:name w:val="Note"/>
    <w:basedOn w:val="BodyText"/>
    <w:rsid w:val="00FD60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605C"/>
    <w:pPr>
      <w:framePr w:wrap="auto" w:hAnchor="text" w:y="6049"/>
    </w:pPr>
    <w:rPr>
      <w:color w:val="000000"/>
      <w:sz w:val="40"/>
    </w:rPr>
  </w:style>
  <w:style w:type="paragraph" w:customStyle="1" w:styleId="TOCTitle">
    <w:name w:val="TOCTitle"/>
    <w:basedOn w:val="Heading1"/>
    <w:rsid w:val="00FD605C"/>
    <w:pPr>
      <w:spacing w:after="240"/>
      <w:jc w:val="center"/>
      <w:outlineLvl w:val="9"/>
    </w:pPr>
    <w:rPr>
      <w:caps/>
    </w:rPr>
  </w:style>
  <w:style w:type="paragraph" w:customStyle="1" w:styleId="Version">
    <w:name w:val="Version"/>
    <w:rsid w:val="00FD60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605C"/>
    <w:pPr>
      <w:keepNext w:val="0"/>
      <w:tabs>
        <w:tab w:val="right" w:pos="4176"/>
      </w:tabs>
      <w:ind w:left="198" w:hanging="198"/>
    </w:pPr>
    <w:rPr>
      <w:rFonts w:ascii="Garamond" w:hAnsi="Garamond"/>
    </w:rPr>
  </w:style>
  <w:style w:type="paragraph" w:styleId="IndexHeading">
    <w:name w:val="index heading"/>
    <w:basedOn w:val="Normal"/>
    <w:next w:val="Index1"/>
    <w:semiHidden/>
    <w:rsid w:val="00FD605C"/>
    <w:pPr>
      <w:spacing w:before="120" w:after="120"/>
    </w:pPr>
    <w:rPr>
      <w:rFonts w:ascii="Arial" w:hAnsi="Arial"/>
      <w:b/>
      <w:color w:val="918585"/>
      <w:sz w:val="24"/>
    </w:rPr>
  </w:style>
  <w:style w:type="paragraph" w:styleId="Header">
    <w:name w:val="header"/>
    <w:basedOn w:val="Normal"/>
    <w:link w:val="HeaderChar"/>
    <w:rsid w:val="00FD60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605C"/>
    <w:rPr>
      <w:rFonts w:ascii="Times New Roman" w:eastAsia="Times New Roman" w:hAnsi="Times New Roman" w:cs="Times New Roman"/>
      <w:sz w:val="16"/>
      <w:szCs w:val="20"/>
      <w:lang w:val="en-GB" w:eastAsia="en-US"/>
    </w:rPr>
  </w:style>
  <w:style w:type="paragraph" w:customStyle="1" w:styleId="Chapter">
    <w:name w:val="Chapter"/>
    <w:basedOn w:val="Normal"/>
    <w:rsid w:val="00FD605C"/>
    <w:pPr>
      <w:spacing w:before="240"/>
    </w:pPr>
    <w:rPr>
      <w:rFonts w:ascii="Times New Roman" w:hAnsi="Times New Roman"/>
      <w:smallCaps/>
      <w:spacing w:val="80"/>
      <w:sz w:val="28"/>
    </w:rPr>
  </w:style>
  <w:style w:type="paragraph" w:customStyle="1" w:styleId="InChapter">
    <w:name w:val="InChapter"/>
    <w:basedOn w:val="Heading3"/>
    <w:rsid w:val="00FD605C"/>
    <w:pPr>
      <w:spacing w:after="240"/>
      <w:outlineLvl w:val="9"/>
    </w:pPr>
    <w:rPr>
      <w:noProof/>
    </w:rPr>
  </w:style>
  <w:style w:type="paragraph" w:styleId="Index2">
    <w:name w:val="index 2"/>
    <w:basedOn w:val="Normal"/>
    <w:next w:val="Normal"/>
    <w:semiHidden/>
    <w:rsid w:val="00FD605C"/>
    <w:pPr>
      <w:tabs>
        <w:tab w:val="right" w:pos="4176"/>
      </w:tabs>
      <w:ind w:left="568" w:hanging="284"/>
    </w:pPr>
    <w:rPr>
      <w:rFonts w:ascii="Garamond" w:hAnsi="Garamond"/>
    </w:rPr>
  </w:style>
  <w:style w:type="paragraph" w:customStyle="1" w:styleId="Byline">
    <w:name w:val="Byline"/>
    <w:rsid w:val="00FD60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605C"/>
    <w:pPr>
      <w:tabs>
        <w:tab w:val="clear" w:pos="3600"/>
        <w:tab w:val="clear" w:pos="3958"/>
      </w:tabs>
      <w:jc w:val="right"/>
    </w:pPr>
  </w:style>
  <w:style w:type="paragraph" w:styleId="Caption">
    <w:name w:val="caption"/>
    <w:basedOn w:val="BodyText"/>
    <w:next w:val="Normal"/>
    <w:qFormat/>
    <w:rsid w:val="00FD605C"/>
    <w:pPr>
      <w:framePr w:w="2268" w:hSpace="181" w:vSpace="181" w:wrap="around" w:vAnchor="text" w:hAnchor="page" w:x="1135" w:y="285" w:anchorLock="1"/>
    </w:pPr>
    <w:rPr>
      <w:i/>
    </w:rPr>
  </w:style>
  <w:style w:type="paragraph" w:customStyle="1" w:styleId="MiniTOCTitle">
    <w:name w:val="MiniTOCTitle"/>
    <w:basedOn w:val="Heading4"/>
    <w:rsid w:val="00FD605C"/>
    <w:pPr>
      <w:spacing w:before="240"/>
      <w:outlineLvl w:val="9"/>
    </w:pPr>
    <w:rPr>
      <w:noProof/>
      <w:sz w:val="24"/>
    </w:rPr>
  </w:style>
  <w:style w:type="paragraph" w:customStyle="1" w:styleId="MiniTOCItem">
    <w:name w:val="MiniTOCItem"/>
    <w:basedOn w:val="ListBullet"/>
    <w:rsid w:val="00FD605C"/>
    <w:pPr>
      <w:numPr>
        <w:numId w:val="0"/>
      </w:numPr>
      <w:tabs>
        <w:tab w:val="right" w:leader="dot" w:pos="6521"/>
      </w:tabs>
      <w:spacing w:before="0" w:after="0"/>
    </w:pPr>
  </w:style>
  <w:style w:type="paragraph" w:customStyle="1" w:styleId="TOFTitle">
    <w:name w:val="TOFTitle"/>
    <w:basedOn w:val="TOCTitle"/>
    <w:rsid w:val="00FD605C"/>
  </w:style>
  <w:style w:type="paragraph" w:styleId="TableofFigures">
    <w:name w:val="table of figures"/>
    <w:basedOn w:val="Normal"/>
    <w:next w:val="Normal"/>
    <w:semiHidden/>
    <w:rsid w:val="00FD605C"/>
    <w:pPr>
      <w:tabs>
        <w:tab w:val="right" w:leader="dot" w:pos="9072"/>
      </w:tabs>
      <w:ind w:left="970" w:hanging="403"/>
    </w:pPr>
    <w:rPr>
      <w:rFonts w:ascii="Times New Roman" w:hAnsi="Times New Roman"/>
      <w:b/>
    </w:rPr>
  </w:style>
  <w:style w:type="paragraph" w:styleId="ListNumber">
    <w:name w:val="List Number"/>
    <w:basedOn w:val="List"/>
    <w:rsid w:val="00FD605C"/>
    <w:pPr>
      <w:numPr>
        <w:numId w:val="11"/>
      </w:numPr>
    </w:pPr>
  </w:style>
  <w:style w:type="character" w:customStyle="1" w:styleId="WingdingSymbols">
    <w:name w:val="Wingding Symbols"/>
    <w:rsid w:val="00FD605C"/>
    <w:rPr>
      <w:rFonts w:ascii="Wingdings" w:hAnsi="Wingdings"/>
    </w:rPr>
  </w:style>
  <w:style w:type="paragraph" w:customStyle="1" w:styleId="TableHeading">
    <w:name w:val="Table Heading"/>
    <w:basedOn w:val="HeadingBase"/>
    <w:rsid w:val="00FD605C"/>
    <w:pPr>
      <w:keepLines/>
      <w:pBdr>
        <w:bottom w:val="single" w:sz="6" w:space="1" w:color="918585"/>
      </w:pBdr>
      <w:spacing w:before="240"/>
    </w:pPr>
  </w:style>
  <w:style w:type="character" w:customStyle="1" w:styleId="HotSpot">
    <w:name w:val="HotSpot"/>
    <w:rsid w:val="00FD605C"/>
    <w:rPr>
      <w:color w:val="0033CC"/>
      <w:u w:val="none"/>
    </w:rPr>
  </w:style>
  <w:style w:type="paragraph" w:customStyle="1" w:styleId="BodyTextRight">
    <w:name w:val="Body Text Right"/>
    <w:basedOn w:val="BodyText"/>
    <w:rsid w:val="00FD605C"/>
    <w:pPr>
      <w:spacing w:before="0" w:after="0"/>
      <w:jc w:val="right"/>
    </w:pPr>
  </w:style>
  <w:style w:type="paragraph" w:styleId="Index3">
    <w:name w:val="index 3"/>
    <w:basedOn w:val="ListNumber2"/>
    <w:next w:val="Normal"/>
    <w:semiHidden/>
    <w:rsid w:val="00FD605C"/>
    <w:pPr>
      <w:numPr>
        <w:numId w:val="0"/>
      </w:numPr>
      <w:tabs>
        <w:tab w:val="right" w:leader="dot" w:pos="4176"/>
      </w:tabs>
    </w:pPr>
  </w:style>
  <w:style w:type="paragraph" w:styleId="ListNumber2">
    <w:name w:val="List Number 2"/>
    <w:basedOn w:val="List2"/>
    <w:rsid w:val="00FD605C"/>
    <w:pPr>
      <w:numPr>
        <w:numId w:val="10"/>
      </w:numPr>
      <w:tabs>
        <w:tab w:val="clear" w:pos="1060"/>
      </w:tabs>
    </w:pPr>
  </w:style>
  <w:style w:type="paragraph" w:customStyle="1" w:styleId="MarginNote">
    <w:name w:val="Margin Note"/>
    <w:basedOn w:val="BodyText"/>
    <w:rsid w:val="00FD60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60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60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605C"/>
    <w:rPr>
      <w:sz w:val="32"/>
    </w:rPr>
  </w:style>
  <w:style w:type="paragraph" w:customStyle="1" w:styleId="HeadingProcedure">
    <w:name w:val="Heading Procedure"/>
    <w:basedOn w:val="HeadingBase"/>
    <w:next w:val="Normal"/>
    <w:rsid w:val="00FD605C"/>
    <w:pPr>
      <w:tabs>
        <w:tab w:val="left" w:pos="0"/>
      </w:tabs>
      <w:spacing w:before="120" w:after="60"/>
    </w:pPr>
    <w:rPr>
      <w:i/>
      <w:color w:val="918585"/>
      <w:sz w:val="22"/>
    </w:rPr>
  </w:style>
  <w:style w:type="paragraph" w:customStyle="1" w:styleId="TableBodyText">
    <w:name w:val="Table Body Text"/>
    <w:basedOn w:val="BodyText"/>
    <w:rsid w:val="00FD605C"/>
    <w:pPr>
      <w:spacing w:before="60" w:after="60"/>
    </w:pPr>
  </w:style>
  <w:style w:type="paragraph" w:styleId="ListContinue">
    <w:name w:val="List Continue"/>
    <w:basedOn w:val="List"/>
    <w:rsid w:val="00FD605C"/>
    <w:pPr>
      <w:ind w:firstLine="0"/>
    </w:pPr>
  </w:style>
  <w:style w:type="paragraph" w:customStyle="1" w:styleId="ListNote">
    <w:name w:val="List Note"/>
    <w:basedOn w:val="List"/>
    <w:rsid w:val="00FD605C"/>
    <w:pPr>
      <w:pBdr>
        <w:top w:val="single" w:sz="6" w:space="2" w:color="918585"/>
        <w:bottom w:val="single" w:sz="6" w:space="2" w:color="918585"/>
      </w:pBdr>
      <w:tabs>
        <w:tab w:val="left" w:pos="1021"/>
      </w:tabs>
      <w:ind w:firstLine="0"/>
    </w:pPr>
  </w:style>
  <w:style w:type="paragraph" w:customStyle="1" w:styleId="Warning">
    <w:name w:val="Warning"/>
    <w:basedOn w:val="BodyText"/>
    <w:rsid w:val="00FD605C"/>
    <w:pPr>
      <w:shd w:val="clear" w:color="auto" w:fill="D9D9D9"/>
      <w:tabs>
        <w:tab w:val="left" w:pos="992"/>
      </w:tabs>
      <w:ind w:left="119" w:right="119"/>
    </w:pPr>
    <w:rPr>
      <w:sz w:val="20"/>
    </w:rPr>
  </w:style>
  <w:style w:type="paragraph" w:customStyle="1" w:styleId="MarginIcons">
    <w:name w:val="Margin Icons"/>
    <w:basedOn w:val="BodyText"/>
    <w:rsid w:val="00FD60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605C"/>
    <w:rPr>
      <w:rFonts w:ascii="Courier New" w:hAnsi="Courier New"/>
    </w:rPr>
  </w:style>
  <w:style w:type="paragraph" w:customStyle="1" w:styleId="NoteBullet">
    <w:name w:val="Note Bullet"/>
    <w:basedOn w:val="Note"/>
    <w:rsid w:val="00FD605C"/>
    <w:pPr>
      <w:tabs>
        <w:tab w:val="clear" w:pos="680"/>
      </w:tabs>
      <w:spacing w:before="60" w:after="60"/>
    </w:pPr>
  </w:style>
  <w:style w:type="paragraph" w:customStyle="1" w:styleId="SubHeading2">
    <w:name w:val="SubHeading2"/>
    <w:basedOn w:val="HeadingBase"/>
    <w:rsid w:val="00FD605C"/>
    <w:pPr>
      <w:spacing w:before="240" w:after="60"/>
    </w:pPr>
    <w:rPr>
      <w:sz w:val="20"/>
    </w:rPr>
  </w:style>
  <w:style w:type="paragraph" w:customStyle="1" w:styleId="SubHeading1">
    <w:name w:val="SubHeading1"/>
    <w:basedOn w:val="HeadingBase"/>
    <w:rsid w:val="00FD605C"/>
    <w:pPr>
      <w:spacing w:before="240" w:after="60"/>
    </w:pPr>
    <w:rPr>
      <w:color w:val="918585"/>
      <w:sz w:val="22"/>
    </w:rPr>
  </w:style>
  <w:style w:type="paragraph" w:customStyle="1" w:styleId="SideHeading">
    <w:name w:val="Side Heading"/>
    <w:basedOn w:val="HeadingBase"/>
    <w:rsid w:val="00FD60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605C"/>
    <w:pPr>
      <w:numPr>
        <w:numId w:val="12"/>
      </w:numPr>
    </w:pPr>
  </w:style>
  <w:style w:type="paragraph" w:styleId="PlainText">
    <w:name w:val="Plain Text"/>
    <w:basedOn w:val="Normal"/>
    <w:link w:val="PlainTextChar"/>
    <w:rsid w:val="00FD605C"/>
    <w:rPr>
      <w:sz w:val="20"/>
    </w:rPr>
  </w:style>
  <w:style w:type="character" w:customStyle="1" w:styleId="PlainTextChar">
    <w:name w:val="Plain Text Char"/>
    <w:basedOn w:val="DefaultParagraphFont"/>
    <w:link w:val="PlainText"/>
    <w:rsid w:val="00FD605C"/>
    <w:rPr>
      <w:rFonts w:ascii="Courier New" w:eastAsia="Times New Roman" w:hAnsi="Courier New" w:cs="Times New Roman"/>
      <w:sz w:val="20"/>
      <w:szCs w:val="20"/>
      <w:lang w:eastAsia="en-US"/>
    </w:rPr>
  </w:style>
  <w:style w:type="character" w:customStyle="1" w:styleId="MenuOption">
    <w:name w:val="Menu Option"/>
    <w:basedOn w:val="DefaultParagraphFont"/>
    <w:rsid w:val="00FD605C"/>
    <w:rPr>
      <w:b/>
      <w:smallCaps/>
    </w:rPr>
  </w:style>
  <w:style w:type="paragraph" w:customStyle="1" w:styleId="TableListNumber">
    <w:name w:val="Table List Number"/>
    <w:basedOn w:val="ListNumber"/>
    <w:rsid w:val="00FD605C"/>
    <w:pPr>
      <w:numPr>
        <w:numId w:val="0"/>
      </w:numPr>
    </w:pPr>
  </w:style>
  <w:style w:type="paragraph" w:styleId="TOC4">
    <w:name w:val="toc 4"/>
    <w:basedOn w:val="TOCBase"/>
    <w:next w:val="Normal"/>
    <w:semiHidden/>
    <w:rsid w:val="00FD605C"/>
    <w:pPr>
      <w:tabs>
        <w:tab w:val="right" w:leader="dot" w:pos="9071"/>
      </w:tabs>
      <w:ind w:left="1701"/>
    </w:pPr>
  </w:style>
  <w:style w:type="paragraph" w:customStyle="1" w:styleId="ListAlpha">
    <w:name w:val="List Alpha"/>
    <w:basedOn w:val="List"/>
    <w:rsid w:val="00FD605C"/>
    <w:pPr>
      <w:numPr>
        <w:numId w:val="9"/>
      </w:numPr>
    </w:pPr>
  </w:style>
  <w:style w:type="paragraph" w:customStyle="1" w:styleId="ListAlpha2">
    <w:name w:val="List Alpha 2"/>
    <w:basedOn w:val="List2"/>
    <w:rsid w:val="00FD605C"/>
    <w:pPr>
      <w:numPr>
        <w:numId w:val="8"/>
      </w:numPr>
    </w:pPr>
  </w:style>
  <w:style w:type="paragraph" w:styleId="List2">
    <w:name w:val="List 2"/>
    <w:basedOn w:val="BodyText"/>
    <w:rsid w:val="00FD605C"/>
    <w:pPr>
      <w:tabs>
        <w:tab w:val="left" w:pos="680"/>
      </w:tabs>
      <w:spacing w:before="60" w:after="60"/>
      <w:ind w:left="680" w:hanging="340"/>
    </w:pPr>
  </w:style>
  <w:style w:type="paragraph" w:styleId="List3">
    <w:name w:val="List 3"/>
    <w:basedOn w:val="BodyText"/>
    <w:rsid w:val="00FD605C"/>
    <w:pPr>
      <w:tabs>
        <w:tab w:val="left" w:pos="1021"/>
      </w:tabs>
      <w:spacing w:before="60" w:after="60"/>
      <w:ind w:left="1020" w:hanging="340"/>
    </w:pPr>
  </w:style>
  <w:style w:type="paragraph" w:styleId="List4">
    <w:name w:val="List 4"/>
    <w:basedOn w:val="BodyText"/>
    <w:rsid w:val="00FD605C"/>
    <w:pPr>
      <w:tabs>
        <w:tab w:val="left" w:pos="1361"/>
      </w:tabs>
      <w:spacing w:before="60" w:after="60"/>
      <w:ind w:left="1361" w:hanging="340"/>
    </w:pPr>
  </w:style>
  <w:style w:type="paragraph" w:styleId="List5">
    <w:name w:val="List 5"/>
    <w:basedOn w:val="BodyText"/>
    <w:rsid w:val="00FD605C"/>
    <w:pPr>
      <w:tabs>
        <w:tab w:val="left" w:pos="1701"/>
      </w:tabs>
      <w:spacing w:before="60" w:after="60"/>
      <w:ind w:left="1701" w:hanging="340"/>
    </w:pPr>
  </w:style>
  <w:style w:type="paragraph" w:styleId="ListBullet3">
    <w:name w:val="List Bullet 3"/>
    <w:basedOn w:val="List3"/>
    <w:rsid w:val="00FD605C"/>
    <w:pPr>
      <w:numPr>
        <w:numId w:val="15"/>
      </w:numPr>
      <w:tabs>
        <w:tab w:val="clear" w:pos="1021"/>
      </w:tabs>
      <w:ind w:left="1037" w:hanging="357"/>
    </w:pPr>
  </w:style>
  <w:style w:type="paragraph" w:styleId="ListBullet4">
    <w:name w:val="List Bullet 4"/>
    <w:basedOn w:val="List4"/>
    <w:rsid w:val="00FD605C"/>
    <w:pPr>
      <w:numPr>
        <w:numId w:val="3"/>
      </w:numPr>
    </w:pPr>
  </w:style>
  <w:style w:type="paragraph" w:styleId="ListBullet5">
    <w:name w:val="List Bullet 5"/>
    <w:basedOn w:val="List5"/>
    <w:rsid w:val="00FD605C"/>
    <w:pPr>
      <w:numPr>
        <w:numId w:val="4"/>
      </w:numPr>
    </w:pPr>
  </w:style>
  <w:style w:type="paragraph" w:styleId="ListContinue2">
    <w:name w:val="List Continue 2"/>
    <w:basedOn w:val="List2"/>
    <w:rsid w:val="00FD605C"/>
    <w:pPr>
      <w:ind w:firstLine="0"/>
    </w:pPr>
  </w:style>
  <w:style w:type="paragraph" w:styleId="ListContinue3">
    <w:name w:val="List Continue 3"/>
    <w:basedOn w:val="List3"/>
    <w:rsid w:val="00FD605C"/>
    <w:pPr>
      <w:ind w:left="1021" w:firstLine="0"/>
    </w:pPr>
  </w:style>
  <w:style w:type="paragraph" w:styleId="ListContinue4">
    <w:name w:val="List Continue 4"/>
    <w:basedOn w:val="List4"/>
    <w:rsid w:val="00FD605C"/>
    <w:pPr>
      <w:ind w:firstLine="0"/>
    </w:pPr>
  </w:style>
  <w:style w:type="paragraph" w:styleId="ListContinue5">
    <w:name w:val="List Continue 5"/>
    <w:basedOn w:val="List5"/>
    <w:rsid w:val="00FD605C"/>
    <w:pPr>
      <w:ind w:firstLine="0"/>
    </w:pPr>
  </w:style>
  <w:style w:type="paragraph" w:styleId="ListNumber3">
    <w:name w:val="List Number 3"/>
    <w:basedOn w:val="List3"/>
    <w:rsid w:val="00FD605C"/>
    <w:pPr>
      <w:numPr>
        <w:numId w:val="5"/>
      </w:numPr>
    </w:pPr>
  </w:style>
  <w:style w:type="paragraph" w:styleId="ListNumber4">
    <w:name w:val="List Number 4"/>
    <w:basedOn w:val="List4"/>
    <w:rsid w:val="00FD605C"/>
    <w:pPr>
      <w:numPr>
        <w:numId w:val="6"/>
      </w:numPr>
    </w:pPr>
  </w:style>
  <w:style w:type="paragraph" w:styleId="ListNumber5">
    <w:name w:val="List Number 5"/>
    <w:basedOn w:val="List5"/>
    <w:rsid w:val="00FD605C"/>
    <w:pPr>
      <w:numPr>
        <w:numId w:val="7"/>
      </w:numPr>
    </w:pPr>
  </w:style>
  <w:style w:type="paragraph" w:styleId="BlockText">
    <w:name w:val="Block Text"/>
    <w:basedOn w:val="Normal"/>
    <w:rsid w:val="00FD605C"/>
    <w:pPr>
      <w:spacing w:after="120"/>
      <w:ind w:left="1440" w:right="1440"/>
    </w:pPr>
  </w:style>
  <w:style w:type="character" w:customStyle="1" w:styleId="Subscript">
    <w:name w:val="Subscript"/>
    <w:basedOn w:val="DefaultParagraphFont"/>
    <w:rsid w:val="00FD605C"/>
    <w:rPr>
      <w:sz w:val="16"/>
      <w:vertAlign w:val="subscript"/>
    </w:rPr>
  </w:style>
  <w:style w:type="character" w:customStyle="1" w:styleId="Superscript">
    <w:name w:val="Superscript"/>
    <w:basedOn w:val="DefaultParagraphFont"/>
    <w:rsid w:val="00FD605C"/>
    <w:rPr>
      <w:sz w:val="16"/>
      <w:vertAlign w:val="superscript"/>
    </w:rPr>
  </w:style>
  <w:style w:type="character" w:customStyle="1" w:styleId="Symbols">
    <w:name w:val="Symbols"/>
    <w:basedOn w:val="DefaultParagraphFont"/>
    <w:rsid w:val="00FD605C"/>
    <w:rPr>
      <w:rFonts w:ascii="Symbol" w:hAnsi="Symbol"/>
    </w:rPr>
  </w:style>
  <w:style w:type="character" w:customStyle="1" w:styleId="MenuOptions">
    <w:name w:val="Menu Options"/>
    <w:basedOn w:val="DefaultParagraphFont"/>
    <w:rsid w:val="00FD605C"/>
    <w:rPr>
      <w:rFonts w:ascii="Arial Narrow" w:hAnsi="Arial Narrow"/>
      <w:smallCaps/>
    </w:rPr>
  </w:style>
  <w:style w:type="character" w:customStyle="1" w:styleId="Buttons">
    <w:name w:val="Buttons"/>
    <w:basedOn w:val="DefaultParagraphFont"/>
    <w:rsid w:val="00FD605C"/>
    <w:rPr>
      <w:b/>
    </w:rPr>
  </w:style>
  <w:style w:type="character" w:customStyle="1" w:styleId="Underlined">
    <w:name w:val="Underlined"/>
    <w:basedOn w:val="DefaultParagraphFont"/>
    <w:rsid w:val="00FD605C"/>
    <w:rPr>
      <w:u w:val="single"/>
    </w:rPr>
  </w:style>
  <w:style w:type="paragraph" w:customStyle="1" w:styleId="TableBodyTextRight">
    <w:name w:val="Table Body Text Right"/>
    <w:basedOn w:val="TableBodyText"/>
    <w:rsid w:val="00FD605C"/>
    <w:pPr>
      <w:widowControl w:val="0"/>
      <w:autoSpaceDE w:val="0"/>
      <w:autoSpaceDN w:val="0"/>
      <w:adjustRightInd w:val="0"/>
      <w:jc w:val="right"/>
    </w:pPr>
    <w:rPr>
      <w:rFonts w:cs="Arial"/>
      <w:szCs w:val="18"/>
    </w:rPr>
  </w:style>
  <w:style w:type="paragraph" w:customStyle="1" w:styleId="CopyrightText">
    <w:name w:val="Copyright Text"/>
    <w:basedOn w:val="BodyText"/>
    <w:rsid w:val="00FD605C"/>
    <w:rPr>
      <w:sz w:val="18"/>
    </w:rPr>
  </w:style>
  <w:style w:type="paragraph" w:customStyle="1" w:styleId="BodySmallRight">
    <w:name w:val="Body Small Right"/>
    <w:basedOn w:val="BodyTextRight"/>
    <w:rsid w:val="00FD605C"/>
    <w:rPr>
      <w:sz w:val="18"/>
      <w:szCs w:val="18"/>
    </w:rPr>
  </w:style>
  <w:style w:type="paragraph" w:customStyle="1" w:styleId="MarginEdition">
    <w:name w:val="Margin Edition"/>
    <w:basedOn w:val="MarginNote"/>
    <w:rsid w:val="00FD605C"/>
    <w:pPr>
      <w:spacing w:before="0" w:after="0"/>
    </w:pPr>
    <w:rPr>
      <w:rFonts w:ascii="Times New Roman" w:hAnsi="Times New Roman"/>
      <w:color w:val="999999"/>
    </w:rPr>
  </w:style>
  <w:style w:type="paragraph" w:customStyle="1" w:styleId="Spacer">
    <w:name w:val="Spacer"/>
    <w:basedOn w:val="Normal"/>
    <w:rsid w:val="00FD605C"/>
    <w:rPr>
      <w:sz w:val="2"/>
      <w:szCs w:val="2"/>
    </w:rPr>
  </w:style>
  <w:style w:type="character" w:customStyle="1" w:styleId="Small">
    <w:name w:val="Small"/>
    <w:basedOn w:val="DefaultParagraphFont"/>
    <w:rsid w:val="00FD605C"/>
    <w:rPr>
      <w:sz w:val="16"/>
    </w:rPr>
  </w:style>
  <w:style w:type="paragraph" w:customStyle="1" w:styleId="WideTable">
    <w:name w:val="Wide Table"/>
    <w:basedOn w:val="Normal"/>
    <w:rsid w:val="00FD605C"/>
    <w:pPr>
      <w:ind w:left="-1418"/>
    </w:pPr>
    <w:rPr>
      <w:sz w:val="2"/>
      <w:szCs w:val="2"/>
    </w:rPr>
  </w:style>
  <w:style w:type="character" w:styleId="PageNumber">
    <w:name w:val="page number"/>
    <w:basedOn w:val="DefaultParagraphFont"/>
    <w:rsid w:val="00FD605C"/>
  </w:style>
  <w:style w:type="paragraph" w:styleId="Quote">
    <w:name w:val="Quote"/>
    <w:basedOn w:val="Heading1"/>
    <w:link w:val="QuoteChar"/>
    <w:qFormat/>
    <w:rsid w:val="00FD605C"/>
    <w:rPr>
      <w:b w:val="0"/>
      <w:sz w:val="72"/>
      <w:szCs w:val="72"/>
      <w:lang w:val="en-NZ"/>
    </w:rPr>
  </w:style>
  <w:style w:type="character" w:customStyle="1" w:styleId="QuoteChar">
    <w:name w:val="Quote Char"/>
    <w:basedOn w:val="DefaultParagraphFont"/>
    <w:link w:val="Quote"/>
    <w:rsid w:val="00FD60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605C"/>
    <w:pPr>
      <w:pageBreakBefore/>
    </w:pPr>
  </w:style>
  <w:style w:type="paragraph" w:customStyle="1" w:styleId="Border">
    <w:name w:val="Border"/>
    <w:basedOn w:val="Normal"/>
    <w:qFormat/>
    <w:rsid w:val="00FD60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605C"/>
    <w:rPr>
      <w:b/>
      <w:bCs/>
      <w:i/>
      <w:iCs/>
      <w:color w:val="auto"/>
    </w:rPr>
  </w:style>
  <w:style w:type="paragraph" w:styleId="IntenseQuote">
    <w:name w:val="Intense Quote"/>
    <w:basedOn w:val="Normal"/>
    <w:next w:val="Normal"/>
    <w:link w:val="IntenseQuoteChar"/>
    <w:uiPriority w:val="30"/>
    <w:qFormat/>
    <w:rsid w:val="00FD60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60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605C"/>
    <w:rPr>
      <w:smallCaps/>
      <w:color w:val="auto"/>
      <w:u w:val="single"/>
    </w:rPr>
  </w:style>
  <w:style w:type="character" w:styleId="IntenseReference">
    <w:name w:val="Intense Reference"/>
    <w:basedOn w:val="DefaultParagraphFont"/>
    <w:uiPriority w:val="32"/>
    <w:qFormat/>
    <w:rsid w:val="00FD605C"/>
    <w:rPr>
      <w:b/>
      <w:bCs/>
      <w:smallCaps/>
      <w:color w:val="auto"/>
      <w:spacing w:val="5"/>
      <w:u w:val="single"/>
    </w:rPr>
  </w:style>
  <w:style w:type="paragraph" w:customStyle="1" w:styleId="2ColumnHeading">
    <w:name w:val="2Column Heading"/>
    <w:basedOn w:val="BodyText"/>
    <w:qFormat/>
    <w:rsid w:val="00FD605C"/>
    <w:pPr>
      <w:spacing w:after="60"/>
      <w:ind w:left="-2268"/>
    </w:pPr>
    <w:rPr>
      <w:b/>
    </w:rPr>
  </w:style>
  <w:style w:type="paragraph" w:customStyle="1" w:styleId="Heading1TOC">
    <w:name w:val="Heading1 TOC"/>
    <w:basedOn w:val="Normal"/>
    <w:qFormat/>
    <w:rsid w:val="00FD605C"/>
    <w:pPr>
      <w:spacing w:before="240" w:after="120"/>
    </w:pPr>
    <w:rPr>
      <w:rFonts w:ascii="Times New Roman" w:hAnsi="Times New Roman"/>
      <w:b/>
      <w:sz w:val="32"/>
    </w:rPr>
  </w:style>
  <w:style w:type="paragraph" w:customStyle="1" w:styleId="Heading2TOC">
    <w:name w:val="Heading2 TOC"/>
    <w:basedOn w:val="Normal"/>
    <w:qFormat/>
    <w:rsid w:val="00FD605C"/>
    <w:pPr>
      <w:spacing w:before="240" w:after="60"/>
    </w:pPr>
    <w:rPr>
      <w:rFonts w:ascii="Times New Roman" w:hAnsi="Times New Roman"/>
      <w:b/>
      <w:sz w:val="28"/>
    </w:rPr>
  </w:style>
  <w:style w:type="character" w:customStyle="1" w:styleId="Underline">
    <w:name w:val="Underline"/>
    <w:basedOn w:val="DefaultParagraphFont"/>
    <w:qFormat/>
    <w:rsid w:val="00FD605C"/>
    <w:rPr>
      <w:u w:val="single"/>
    </w:rPr>
  </w:style>
  <w:style w:type="paragraph" w:styleId="BalloonText">
    <w:name w:val="Balloon Text"/>
    <w:basedOn w:val="Normal"/>
    <w:link w:val="BalloonTextChar"/>
    <w:rsid w:val="00FD605C"/>
    <w:rPr>
      <w:rFonts w:ascii="Tahoma" w:hAnsi="Tahoma" w:cs="Tahoma"/>
      <w:sz w:val="16"/>
      <w:szCs w:val="16"/>
    </w:rPr>
  </w:style>
  <w:style w:type="character" w:customStyle="1" w:styleId="BalloonTextChar">
    <w:name w:val="Balloon Text Char"/>
    <w:basedOn w:val="DefaultParagraphFont"/>
    <w:link w:val="BalloonText"/>
    <w:rsid w:val="00FD60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60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60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605C"/>
    <w:rPr>
      <w:b/>
      <w:color w:val="660033"/>
      <w:spacing w:val="0"/>
    </w:rPr>
  </w:style>
  <w:style w:type="paragraph" w:customStyle="1" w:styleId="Nameditemlist">
    <w:name w:val="Named item list"/>
    <w:basedOn w:val="BodyText"/>
    <w:qFormat/>
    <w:rsid w:val="00FD60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1151</Words>
  <Characters>7269</Characters>
  <Application>Microsoft Office Word</Application>
  <DocSecurity>0</DocSecurity>
  <Lines>256</Lines>
  <Paragraphs>144</Paragraphs>
  <ScaleCrop>false</ScaleCrop>
  <Company>Author-it Software Corporation Ltd.</Company>
  <LinksUpToDate>false</LinksUpToDate>
  <CharactersWithSpaces>8348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ICTTEN4246A Design dense wavelength division multiplexing installations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2014-02-07T09:47:02Z</dcterms:created>
  <dcterms:modified xsi:type="dcterms:W3CDTF">2014-02-06T04:22:00Z</dcterms:modified>
</cp:coreProperties>
</file>