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2E0" w:rsidP="001922E0">
      <w:pPr>
        <w:pStyle w:val="Title"/>
      </w:pPr>
      <w:r>
        <w:fldChar w:fldCharType="begin"/>
      </w:r>
      <w:r>
        <w:instrText xml:space="preserve"> TITLE   \* MERGEFORMAT </w:instrText>
      </w:r>
      <w:r>
        <w:fldChar w:fldCharType="separate"/>
      </w:r>
      <w:r>
        <w:t>ICTTEN4245A Design infrastructure for telecommunications network installations</w:t>
      </w:r>
      <w:r>
        <w:fldChar w:fldCharType="end"/>
      </w:r>
    </w:p>
    <w:p w:rsidR="001922E0" w:rsidP="001922E0">
      <w:pPr>
        <w:pStyle w:val="Version"/>
        <w:sectPr w:rsidSect="00A316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6DA" w:rsidP="00A316DA">
      <w:pPr>
        <w:pStyle w:val="SuperHeading"/>
      </w:pPr>
      <w:r w:rsidRPr="00A316DA">
        <w:t>ICTTEN4245A Design infrastructure for telecommunications network installations</w:t>
      </w:r>
    </w:p>
    <w:p w:rsidR="00000000" w:rsidRPr="00A316DA" w:rsidP="00A316DA">
      <w:pPr>
        <w:pStyle w:val="Heading1"/>
      </w:pPr>
      <w:bookmarkStart w:id="1" w:name="O_640200"/>
      <w:bookmarkEnd w:id="1"/>
      <w:r w:rsidRPr="00A316DA">
        <w:t>Modification History</w:t>
      </w:r>
    </w:p>
    <w:tbl>
      <w:tblPr>
        <w:tblW w:w="0" w:type="auto"/>
        <w:tblLayout w:type="fixed"/>
        <w:tblCellMar>
          <w:left w:w="62" w:type="dxa"/>
          <w:right w:w="62" w:type="dxa"/>
        </w:tblCellMar>
        <w:tblLook w:val="0000"/>
      </w:tblPr>
      <w:tblGrid>
        <w:gridCol w:w="2565"/>
        <w:gridCol w:w="6180"/>
      </w:tblGrid>
      <w:tr w:rsidTr="00A316D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BodyText"/>
            </w:pPr>
            <w:r w:rsidRPr="00A316DA">
              <w:rPr>
                <w:rStyle w:val="SpecialBold"/>
              </w:rPr>
              <w:t>Release</w:t>
            </w:r>
          </w:p>
        </w:tc>
        <w:tc>
          <w:tcPr>
            <w:tcW w:w="6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SpecialBold"/>
              </w:rPr>
              <w:t>Comments</w:t>
            </w:r>
          </w:p>
        </w:tc>
      </w:tr>
      <w:tr w:rsidTr="00A316D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t>Release 1</w:t>
            </w:r>
          </w:p>
        </w:tc>
        <w:tc>
          <w:tcPr>
            <w:tcW w:w="6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BodyText"/>
            </w:pPr>
            <w:r w:rsidRPr="00A316DA">
              <w:t xml:space="preserve">This version first released with </w:t>
            </w:r>
            <w:r w:rsidRPr="00A316DA">
              <w:rPr>
                <w:rStyle w:val="Emphasis"/>
              </w:rPr>
              <w:t>ICT10 Integrated Telecommunications Training Package Version 3.0</w:t>
            </w:r>
            <w:r w:rsidRPr="00A316DA">
              <w:t>.</w:t>
            </w:r>
          </w:p>
        </w:tc>
      </w:tr>
    </w:tbl>
    <w:p w:rsidR="00000000" w:rsidRPr="00A316DA" w:rsidP="00A316DA">
      <w:pPr>
        <w:pStyle w:val="BodyText"/>
      </w:pPr>
    </w:p>
    <w:p w:rsidR="00000000" w:rsidRPr="00A316DA" w:rsidP="00A316DA">
      <w:pPr>
        <w:pStyle w:val="AllowPageBreak"/>
      </w:pPr>
    </w:p>
    <w:p w:rsidR="00000000" w:rsidRPr="00A316DA" w:rsidP="00A316DA">
      <w:pPr>
        <w:pStyle w:val="Heading1"/>
      </w:pPr>
      <w:bookmarkStart w:id="2" w:name="O_640201"/>
      <w:bookmarkEnd w:id="2"/>
      <w:r w:rsidRPr="00A316DA">
        <w:t>Unit Descriptor</w:t>
      </w:r>
    </w:p>
    <w:p w:rsidR="00000000" w:rsidRPr="00A316DA" w:rsidP="00A316DA">
      <w:pPr>
        <w:pStyle w:val="BodyText"/>
      </w:pPr>
      <w:r w:rsidRPr="00A316DA">
        <w:t>This unit describes the performance outcomes, skills and knowledge required to design supporting infrastructure for telecommunications network installations.</w:t>
      </w:r>
    </w:p>
    <w:p w:rsidR="00000000" w:rsidRPr="00A316DA" w:rsidP="00A316DA">
      <w:pPr>
        <w:pStyle w:val="BodyText"/>
      </w:pPr>
    </w:p>
    <w:p w:rsidR="00000000" w:rsidRPr="00A316DA" w:rsidP="00A316DA">
      <w:pPr>
        <w:pStyle w:val="BodyText"/>
      </w:pPr>
      <w:r w:rsidRPr="00A316DA">
        <w:t xml:space="preserve">This includes carrier grade switching, transmission and access equipment </w:t>
      </w:r>
      <w:r w:rsidRPr="00A316DA">
        <w:t>and associated media, power and monitoring equipment and alarm systems, fibre distribution hubs (FDHs), and remote power feeds.</w:t>
      </w:r>
    </w:p>
    <w:p w:rsidR="00000000" w:rsidRPr="00A316DA" w:rsidP="00A316DA">
      <w:pPr>
        <w:pStyle w:val="AllowPageBreak"/>
      </w:pPr>
    </w:p>
    <w:p w:rsidR="00000000" w:rsidRPr="00A316DA" w:rsidP="00A316DA">
      <w:pPr>
        <w:pStyle w:val="Heading1"/>
      </w:pPr>
      <w:bookmarkStart w:id="3" w:name="O_640202"/>
      <w:bookmarkEnd w:id="3"/>
      <w:r w:rsidRPr="00A316DA">
        <w:t>Application of the Unit</w:t>
      </w:r>
    </w:p>
    <w:p w:rsidR="00000000" w:rsidRPr="00A316DA" w:rsidP="00A316DA">
      <w:pPr>
        <w:pStyle w:val="BodyText"/>
      </w:pPr>
      <w:r w:rsidRPr="00A316DA">
        <w:t>Field officers, design technicians and technical supervisors from carriers, contractors</w:t>
      </w:r>
      <w:r w:rsidRPr="00A316DA">
        <w:t xml:space="preserve"> and other service providers apply the skills and knowledge in this unit.</w:t>
      </w:r>
    </w:p>
    <w:p w:rsidR="00000000" w:rsidRPr="00A316DA" w:rsidP="00A316DA">
      <w:pPr>
        <w:pStyle w:val="BodyText"/>
      </w:pPr>
    </w:p>
    <w:p w:rsidR="00000000" w:rsidRPr="00A316DA" w:rsidP="00A316DA">
      <w:pPr>
        <w:pStyle w:val="BodyText"/>
      </w:pPr>
      <w:r w:rsidRPr="00A316DA">
        <w:t>This unit may apply to switching, transmission and radio networks and the various transmission paths, including cable, optical fibre, radio, microwave and satellite.</w:t>
      </w:r>
    </w:p>
    <w:p w:rsidR="00000000" w:rsidRPr="00A316DA" w:rsidP="00A316DA">
      <w:pPr>
        <w:pStyle w:val="BodyText"/>
      </w:pPr>
    </w:p>
    <w:p w:rsidR="00000000" w:rsidRPr="00A316DA" w:rsidP="00A316DA">
      <w:pPr>
        <w:pStyle w:val="BodyText"/>
      </w:pPr>
      <w:r w:rsidRPr="00A316DA">
        <w:t>This unit is o</w:t>
      </w:r>
      <w:r w:rsidRPr="00A316DA">
        <w:t>ne in a sequence of units that cover network design activities including:</w:t>
      </w:r>
    </w:p>
    <w:p w:rsidR="00000000" w:rsidRPr="00A316DA" w:rsidP="00A316DA">
      <w:pPr>
        <w:pStyle w:val="BodyText"/>
      </w:pPr>
    </w:p>
    <w:p w:rsidR="00000000" w:rsidRPr="00A316DA" w:rsidP="00A316DA">
      <w:pPr>
        <w:pStyle w:val="ListBullet"/>
      </w:pPr>
      <w:r w:rsidRPr="00A316DA">
        <w:t>design drawings and specifications</w:t>
      </w:r>
    </w:p>
    <w:p w:rsidR="00000000" w:rsidRPr="00A316DA" w:rsidP="00A316DA">
      <w:pPr>
        <w:pStyle w:val="ListBullet"/>
      </w:pPr>
      <w:r w:rsidRPr="00A316DA">
        <w:t>designing a dense wavelength division multiplexing (DWDM) system</w:t>
      </w:r>
    </w:p>
    <w:p w:rsidR="00000000" w:rsidRPr="00A316DA" w:rsidP="00A316DA">
      <w:pPr>
        <w:pStyle w:val="ListBullet"/>
      </w:pPr>
      <w:r w:rsidRPr="00A316DA">
        <w:t>designing infrastructure</w:t>
      </w:r>
    </w:p>
    <w:p w:rsidR="00000000" w:rsidRPr="00A316DA" w:rsidP="00A316DA">
      <w:pPr>
        <w:pStyle w:val="ListBullet"/>
      </w:pPr>
      <w:r w:rsidRPr="00A316DA">
        <w:t>estimating and quoting</w:t>
      </w:r>
    </w:p>
    <w:p w:rsidR="00000000" w:rsidRPr="00A316DA" w:rsidP="00A316DA">
      <w:pPr>
        <w:pStyle w:val="ListBullet"/>
      </w:pPr>
      <w:r w:rsidRPr="00A316DA">
        <w:t>site survey.</w:t>
      </w:r>
    </w:p>
    <w:p w:rsidR="00000000" w:rsidRPr="00A316DA" w:rsidP="00A316DA">
      <w:pPr>
        <w:pStyle w:val="AllowPageBreak"/>
      </w:pPr>
    </w:p>
    <w:p w:rsidR="00000000" w:rsidRPr="00A316DA" w:rsidP="00A316DA">
      <w:pPr>
        <w:pStyle w:val="Heading1"/>
      </w:pPr>
      <w:bookmarkStart w:id="4" w:name="O_640203"/>
      <w:bookmarkEnd w:id="4"/>
      <w:r w:rsidRPr="00A316DA">
        <w:t>Licensing/Regulatory Information</w:t>
      </w:r>
    </w:p>
    <w:p w:rsidR="00000000" w:rsidRPr="00A316DA" w:rsidP="00A316DA">
      <w:pPr>
        <w:pStyle w:val="BodyText"/>
      </w:pPr>
      <w:r w:rsidRPr="00A316DA">
        <w:t>Licensing, legislative, regulatory and certification requirements apply to working at heights. If an elevated work platform (EWP) is required, verify state or territory law requirements for a licence to operate an EWP. User</w:t>
      </w:r>
      <w:r w:rsidRPr="00A316DA">
        <w:t>s should confirm requirements with the relevant federal, state or territory authority.</w:t>
      </w:r>
    </w:p>
    <w:p w:rsidR="00000000" w:rsidRPr="00A316DA" w:rsidP="00A316DA">
      <w:pPr>
        <w:pStyle w:val="BodyText"/>
      </w:pPr>
    </w:p>
    <w:p w:rsidR="00000000" w:rsidRPr="00A316DA" w:rsidP="00A316DA">
      <w:pPr>
        <w:pStyle w:val="BodyText"/>
      </w:pPr>
      <w:r w:rsidRPr="00A316DA">
        <w:t>If working at heights, achievement of the unit ‘CPCPCM2015A Work safely on roofs’ from the CPC08 Construction, Plumbing and Services Training Package fulfils this requi</w:t>
      </w:r>
      <w:r w:rsidRPr="00A316DA">
        <w:t>rement.</w:t>
      </w:r>
    </w:p>
    <w:p w:rsidR="00000000" w:rsidRPr="00A316DA" w:rsidP="00A316DA">
      <w:pPr>
        <w:pStyle w:val="AllowPageBreak"/>
      </w:pPr>
    </w:p>
    <w:p w:rsidR="00000000" w:rsidRPr="00A316DA" w:rsidP="00A316DA">
      <w:pPr>
        <w:pStyle w:val="Heading1"/>
      </w:pPr>
      <w:bookmarkStart w:id="5" w:name="O_640204"/>
      <w:bookmarkEnd w:id="5"/>
      <w:r w:rsidRPr="00A316DA">
        <w:t>Pre-Requisites</w:t>
      </w:r>
    </w:p>
    <w:p w:rsidR="00000000" w:rsidRPr="00A316DA" w:rsidP="00A316DA">
      <w:pPr>
        <w:pStyle w:val="BodyText"/>
      </w:pPr>
      <w:r w:rsidRPr="00A316DA">
        <w:t>Nil</w:t>
      </w:r>
    </w:p>
    <w:p w:rsidR="00000000" w:rsidRPr="00A316DA" w:rsidP="00A316DA">
      <w:pPr>
        <w:pStyle w:val="AllowPageBreak"/>
      </w:pPr>
    </w:p>
    <w:p w:rsidR="00000000" w:rsidRPr="00A316DA" w:rsidP="00A316DA">
      <w:pPr>
        <w:pStyle w:val="Heading1"/>
      </w:pPr>
      <w:bookmarkStart w:id="6" w:name="O_640205"/>
      <w:bookmarkEnd w:id="6"/>
      <w:r w:rsidRPr="00A316DA">
        <w:t>Employability Skills Information</w:t>
      </w:r>
    </w:p>
    <w:p w:rsidR="00000000" w:rsidRPr="00A316DA" w:rsidP="00A316DA">
      <w:pPr>
        <w:pStyle w:val="BodyText"/>
      </w:pPr>
      <w:r w:rsidRPr="00A316DA">
        <w:t>This unit contains employability skills.</w:t>
      </w:r>
    </w:p>
    <w:p w:rsidR="00000000" w:rsidRPr="00A316DA" w:rsidP="00A316DA">
      <w:pPr>
        <w:pStyle w:val="AllowPageBreak"/>
      </w:pPr>
    </w:p>
    <w:p w:rsidR="00000000" w:rsidRPr="00A316DA" w:rsidP="00A316DA">
      <w:pPr>
        <w:pStyle w:val="Heading1"/>
      </w:pPr>
      <w:bookmarkStart w:id="7" w:name="O_640206"/>
      <w:bookmarkEnd w:id="7"/>
      <w:r w:rsidRPr="00A316DA">
        <w:t>Elements and Performance Criteria Pre-Content</w:t>
      </w:r>
    </w:p>
    <w:tbl>
      <w:tblPr>
        <w:tblW w:w="0" w:type="auto"/>
        <w:tblLayout w:type="fixed"/>
        <w:tblCellMar>
          <w:left w:w="62" w:type="dxa"/>
          <w:right w:w="62" w:type="dxa"/>
        </w:tblCellMar>
        <w:tblLook w:val="0000"/>
      </w:tblPr>
      <w:tblGrid>
        <w:gridCol w:w="2447"/>
        <w:gridCol w:w="6298"/>
      </w:tblGrid>
      <w:tr w:rsidTr="00A316DA">
        <w:tblPrEx>
          <w:tblW w:w="0" w:type="auto"/>
          <w:tblLayout w:type="fixed"/>
          <w:tblCellMar>
            <w:left w:w="62" w:type="dxa"/>
            <w:right w:w="62" w:type="dxa"/>
          </w:tblCellMar>
          <w:tblLook w:val="0000"/>
        </w:tblPrEx>
        <w:trPr>
          <w:tblHeader/>
        </w:trPr>
        <w:tc>
          <w:tcPr>
            <w:tcW w:w="244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316DA" w:rsidP="00A316DA">
            <w:pPr>
              <w:pStyle w:val="BodyText"/>
            </w:pPr>
            <w:r w:rsidRPr="00A316DA">
              <w:rPr>
                <w:rStyle w:val="SpecialBold"/>
              </w:rPr>
              <w:t>Elements</w:t>
            </w:r>
          </w:p>
        </w:tc>
        <w:tc>
          <w:tcPr>
            <w:tcW w:w="629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SpecialBold"/>
              </w:rPr>
              <w:t>Performance Criteria</w:t>
            </w:r>
          </w:p>
        </w:tc>
      </w:tr>
      <w:tr w:rsidTr="00A316DA">
        <w:tblPrEx>
          <w:tblW w:w="0" w:type="auto"/>
          <w:tblLayout w:type="fixed"/>
          <w:tblCellMar>
            <w:left w:w="62" w:type="dxa"/>
            <w:right w:w="62" w:type="dxa"/>
          </w:tblCellMar>
          <w:tblLook w:val="0000"/>
        </w:tblPrEx>
        <w:tc>
          <w:tcPr>
            <w:tcW w:w="244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BodyText"/>
            </w:pPr>
            <w:r w:rsidRPr="00A316DA">
              <w:rPr>
                <w:rStyle w:val="Emphasis"/>
              </w:rPr>
              <w:t>Elements describe the essential outcomes of a unit of competency.</w:t>
            </w:r>
          </w:p>
        </w:tc>
        <w:tc>
          <w:tcPr>
            <w:tcW w:w="629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BodyText"/>
            </w:pPr>
            <w:r w:rsidRPr="00A316DA">
              <w:rPr>
                <w:rStyle w:val="Emphasis"/>
              </w:rPr>
              <w:t>Performance criteria describe the performance needed to demonstrate achievement of the element. Where bold italicised text is used, further information is detailed in the required skills and</w:t>
            </w:r>
            <w:r w:rsidRPr="00A316DA">
              <w:rPr>
                <w:rStyle w:val="Emphasis"/>
              </w:rPr>
              <w:t xml:space="preserve"> knowledge section and the range statement. Assessment of performance is to be consistent with the evidence guide.</w:t>
            </w:r>
          </w:p>
        </w:tc>
      </w:tr>
    </w:tbl>
    <w:p w:rsidR="00000000" w:rsidRPr="00A316DA" w:rsidP="00A316DA">
      <w:pPr>
        <w:pStyle w:val="BodyText"/>
      </w:pPr>
    </w:p>
    <w:p w:rsidR="00000000" w:rsidRPr="00A316DA" w:rsidP="00A316DA">
      <w:pPr>
        <w:pStyle w:val="AllowPageBreak"/>
      </w:pPr>
    </w:p>
    <w:p w:rsidR="00000000" w:rsidRPr="00A316DA" w:rsidP="00A316DA">
      <w:pPr>
        <w:pStyle w:val="Heading1"/>
      </w:pPr>
      <w:bookmarkStart w:id="8" w:name="O_640207"/>
      <w:bookmarkEnd w:id="8"/>
      <w:r w:rsidRPr="00A316DA">
        <w:t>Elements and Performance Criteria</w:t>
      </w:r>
    </w:p>
    <w:tbl>
      <w:tblPr>
        <w:tblW w:w="0" w:type="auto"/>
        <w:tblLayout w:type="fixed"/>
        <w:tblCellMar>
          <w:left w:w="62" w:type="dxa"/>
          <w:right w:w="62" w:type="dxa"/>
        </w:tblCellMar>
        <w:tblLook w:val="0000"/>
      </w:tblPr>
      <w:tblGrid>
        <w:gridCol w:w="2471"/>
        <w:gridCol w:w="6274"/>
      </w:tblGrid>
      <w:tr w:rsidTr="00A316DA">
        <w:tblPrEx>
          <w:tblW w:w="0" w:type="auto"/>
          <w:tblLayout w:type="fixed"/>
          <w:tblCellMar>
            <w:left w:w="62" w:type="dxa"/>
            <w:right w:w="62" w:type="dxa"/>
          </w:tblCellMar>
          <w:tblLook w:val="0000"/>
        </w:tblPrEx>
        <w:tc>
          <w:tcPr>
            <w:tcW w:w="2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t>1. Prepare for design of infrastructure work</w:t>
            </w:r>
          </w:p>
        </w:tc>
        <w:tc>
          <w:tcPr>
            <w:tcW w:w="6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BodyText"/>
            </w:pPr>
            <w:r w:rsidRPr="00A316DA">
              <w:t>1.1 Review preparation to ensure work compl</w:t>
            </w:r>
            <w:r w:rsidRPr="00A316DA">
              <w:t xml:space="preserve">ies with requirements of </w:t>
            </w:r>
            <w:r w:rsidRPr="00A316DA">
              <w:rPr>
                <w:rStyle w:val="BoldandItalics"/>
              </w:rPr>
              <w:t>relevant legislation, codes, regulations and standards</w:t>
            </w:r>
          </w:p>
          <w:p w:rsidR="00000000" w:rsidRPr="00A316DA" w:rsidP="00A316DA">
            <w:pPr>
              <w:pStyle w:val="BodyText"/>
            </w:pPr>
            <w:r w:rsidRPr="00A316DA">
              <w:t xml:space="preserve">1.2 Notify </w:t>
            </w:r>
            <w:r w:rsidRPr="00A316DA">
              <w:rPr>
                <w:rStyle w:val="BoldandItalics"/>
              </w:rPr>
              <w:t xml:space="preserve">customer </w:t>
            </w:r>
            <w:r w:rsidRPr="00A316DA">
              <w:t>to arrange site access and obtain plans and specifications</w:t>
            </w:r>
          </w:p>
          <w:p w:rsidR="00000000" w:rsidRPr="00A316DA" w:rsidP="00A316DA">
            <w:pPr>
              <w:pStyle w:val="BodyText"/>
            </w:pPr>
            <w:r w:rsidRPr="00A316DA">
              <w:t xml:space="preserve">1.3 Conduct </w:t>
            </w:r>
            <w:r w:rsidRPr="00A316DA">
              <w:rPr>
                <w:rStyle w:val="BoldandItalics"/>
              </w:rPr>
              <w:t xml:space="preserve">site survey </w:t>
            </w:r>
            <w:r w:rsidRPr="00A316DA">
              <w:t xml:space="preserve">to verify that </w:t>
            </w:r>
            <w:r w:rsidRPr="00A316DA">
              <w:rPr>
                <w:rStyle w:val="BoldandItalics"/>
              </w:rPr>
              <w:t xml:space="preserve">infrastructure </w:t>
            </w:r>
            <w:r w:rsidRPr="00A316DA">
              <w:t>design requirements can be met</w:t>
            </w:r>
          </w:p>
          <w:p w:rsidR="00000000" w:rsidRPr="00A316DA" w:rsidP="00A316DA">
            <w:pPr>
              <w:pStyle w:val="BodyText"/>
            </w:pPr>
            <w:r w:rsidRPr="00A316DA">
              <w:t xml:space="preserve">1.4 Identify site </w:t>
            </w:r>
            <w:r w:rsidRPr="00A316DA">
              <w:rPr>
                <w:rStyle w:val="BoldandItalics"/>
              </w:rPr>
              <w:t xml:space="preserve">hazards </w:t>
            </w:r>
            <w:r w:rsidRPr="00A316DA">
              <w:t>and notify appropriate personnel to make site safe</w:t>
            </w:r>
          </w:p>
          <w:p w:rsidR="00000000" w:rsidRPr="00A316DA" w:rsidP="00A316DA">
            <w:pPr>
              <w:pStyle w:val="BodyText"/>
            </w:pPr>
            <w:r w:rsidRPr="00A316DA">
              <w:t>1.5 Develop a design activity schedule to minimise disruption to the workplace according to relevant regulations and standards</w:t>
            </w:r>
          </w:p>
          <w:p w:rsidR="00000000" w:rsidP="00A316DA">
            <w:pPr>
              <w:pStyle w:val="BodyText"/>
              <w:rPr>
                <w:lang w:val="en-NZ"/>
              </w:rPr>
            </w:pPr>
            <w:r w:rsidRPr="00A316DA">
              <w:t xml:space="preserve">1.6 Discuss </w:t>
            </w:r>
            <w:r w:rsidRPr="00A316DA">
              <w:rPr>
                <w:rStyle w:val="BoldandItalics"/>
              </w:rPr>
              <w:t xml:space="preserve">material supplies, safety equipment, resources, tools and test equipment </w:t>
            </w:r>
            <w:r w:rsidRPr="00A316DA">
              <w:t xml:space="preserve">with the construction group so that they are available when required for installation </w:t>
            </w:r>
          </w:p>
        </w:tc>
      </w:tr>
      <w:tr w:rsidTr="00A316DA">
        <w:tblPrEx>
          <w:tblW w:w="0" w:type="auto"/>
          <w:tblLayout w:type="fixed"/>
          <w:tblCellMar>
            <w:left w:w="62" w:type="dxa"/>
            <w:right w:w="62" w:type="dxa"/>
          </w:tblCellMar>
          <w:tblLook w:val="0000"/>
        </w:tblPrEx>
        <w:tc>
          <w:tcPr>
            <w:tcW w:w="2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t>2. Design network equipment infrastructure</w:t>
            </w:r>
          </w:p>
        </w:tc>
        <w:tc>
          <w:tcPr>
            <w:tcW w:w="6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BodyText"/>
            </w:pPr>
            <w:r w:rsidRPr="00A316DA">
              <w:t>2.1 Prepare infrastructure designs according to elec</w:t>
            </w:r>
            <w:r w:rsidRPr="00A316DA">
              <w:t>trical safety and work health and safety (WHS) and environmental requirements after consultation with operational staff</w:t>
            </w:r>
          </w:p>
          <w:p w:rsidR="00000000" w:rsidRPr="00A316DA" w:rsidP="00A316DA">
            <w:pPr>
              <w:pStyle w:val="BodyText"/>
            </w:pPr>
            <w:r w:rsidRPr="00A316DA">
              <w:t>2.2 Design metal superstructure to house equipment according to manufacturer specifications</w:t>
            </w:r>
          </w:p>
          <w:p w:rsidR="00000000" w:rsidP="00A316DA">
            <w:pPr>
              <w:pStyle w:val="BodyText"/>
              <w:rPr>
                <w:lang w:val="en-NZ"/>
              </w:rPr>
            </w:pPr>
            <w:r w:rsidRPr="00A316DA">
              <w:t>2.3 Design cable pathways, including cable d</w:t>
            </w:r>
            <w:r w:rsidRPr="00A316DA">
              <w:t>istribution frames and support materials, according to specifications</w:t>
            </w:r>
          </w:p>
        </w:tc>
      </w:tr>
      <w:tr w:rsidTr="00A316DA">
        <w:tblPrEx>
          <w:tblW w:w="0" w:type="auto"/>
          <w:tblLayout w:type="fixed"/>
          <w:tblCellMar>
            <w:left w:w="62" w:type="dxa"/>
            <w:right w:w="62" w:type="dxa"/>
          </w:tblCellMar>
          <w:tblLook w:val="0000"/>
        </w:tblPrEx>
        <w:tc>
          <w:tcPr>
            <w:tcW w:w="2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t>3. Design power infrastructure</w:t>
            </w:r>
          </w:p>
        </w:tc>
        <w:tc>
          <w:tcPr>
            <w:tcW w:w="6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BodyText"/>
            </w:pPr>
            <w:r w:rsidRPr="00A316DA">
              <w:t>3.1 Design power supply and earthing according to specifications and standard electrical practices</w:t>
            </w:r>
          </w:p>
          <w:p w:rsidR="00000000" w:rsidRPr="00A316DA" w:rsidP="00A316DA">
            <w:pPr>
              <w:pStyle w:val="BodyText"/>
            </w:pPr>
            <w:r w:rsidRPr="00A316DA">
              <w:t xml:space="preserve">3.2 Design battery and rectifier equipment for project </w:t>
            </w:r>
            <w:r w:rsidRPr="00A316DA">
              <w:t>according to manufacturer and WHS requirements</w:t>
            </w:r>
          </w:p>
          <w:p w:rsidR="00000000" w:rsidP="00A316DA">
            <w:pPr>
              <w:pStyle w:val="BodyText"/>
              <w:rPr>
                <w:lang w:val="en-NZ"/>
              </w:rPr>
            </w:pPr>
            <w:r w:rsidRPr="00A316DA">
              <w:t>3.3 Design high Ohmeric distribution (HOD) and associated power distribution systems</w:t>
            </w:r>
          </w:p>
        </w:tc>
      </w:tr>
      <w:tr w:rsidTr="00A316DA">
        <w:tblPrEx>
          <w:tblW w:w="0" w:type="auto"/>
          <w:tblLayout w:type="fixed"/>
          <w:tblCellMar>
            <w:left w:w="62" w:type="dxa"/>
            <w:right w:w="62" w:type="dxa"/>
          </w:tblCellMar>
          <w:tblLook w:val="0000"/>
        </w:tblPrEx>
        <w:tc>
          <w:tcPr>
            <w:tcW w:w="2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t>4. Design and monitor DC power distribution work</w:t>
            </w:r>
          </w:p>
        </w:tc>
        <w:tc>
          <w:tcPr>
            <w:tcW w:w="6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BodyText"/>
            </w:pPr>
            <w:r w:rsidRPr="00A316DA">
              <w:t xml:space="preserve">4.1 Design </w:t>
            </w:r>
            <w:r w:rsidRPr="00A316DA">
              <w:rPr>
                <w:rStyle w:val="BoldandItalics"/>
              </w:rPr>
              <w:t xml:space="preserve">power distribution work </w:t>
            </w:r>
            <w:r w:rsidRPr="00A316DA">
              <w:t xml:space="preserve">to meet electrical safety requirements </w:t>
            </w:r>
            <w:r w:rsidRPr="00A316DA">
              <w:t>and certifications</w:t>
            </w:r>
          </w:p>
          <w:p w:rsidR="00000000" w:rsidRPr="00A316DA" w:rsidP="00A316DA">
            <w:pPr>
              <w:pStyle w:val="BodyText"/>
            </w:pPr>
            <w:r w:rsidRPr="00A316DA">
              <w:t xml:space="preserve">4.2 Monitor electrical work by </w:t>
            </w:r>
            <w:r w:rsidRPr="00A316DA">
              <w:rPr>
                <w:rStyle w:val="BoldandItalics"/>
              </w:rPr>
              <w:t xml:space="preserve">qualified personnel </w:t>
            </w:r>
            <w:r w:rsidRPr="00A316DA">
              <w:t>to ensure compliance with installation plan</w:t>
            </w:r>
          </w:p>
          <w:p w:rsidR="00000000" w:rsidP="00A316DA">
            <w:pPr>
              <w:pStyle w:val="BodyText"/>
              <w:rPr>
                <w:lang w:val="en-NZ"/>
              </w:rPr>
            </w:pPr>
            <w:r w:rsidRPr="00A316DA">
              <w:t>4.3 Identify and rectify faults where possible or escalate according to enterprise policy</w:t>
            </w:r>
          </w:p>
        </w:tc>
      </w:tr>
      <w:tr w:rsidTr="00A316DA">
        <w:tblPrEx>
          <w:tblW w:w="0" w:type="auto"/>
          <w:tblLayout w:type="fixed"/>
          <w:tblCellMar>
            <w:left w:w="62" w:type="dxa"/>
            <w:right w:w="62" w:type="dxa"/>
          </w:tblCellMar>
          <w:tblLook w:val="0000"/>
        </w:tblPrEx>
        <w:tc>
          <w:tcPr>
            <w:tcW w:w="2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t>5. Complete documentation and restore site</w:t>
            </w:r>
          </w:p>
        </w:tc>
        <w:tc>
          <w:tcPr>
            <w:tcW w:w="6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BodyText"/>
            </w:pPr>
            <w:r w:rsidRPr="00A316DA">
              <w:t>5.1 Atta</w:t>
            </w:r>
            <w:r w:rsidRPr="00A316DA">
              <w:t xml:space="preserve">ch infrastructure </w:t>
            </w:r>
            <w:r w:rsidRPr="00A316DA">
              <w:rPr>
                <w:rStyle w:val="BoldandItalics"/>
              </w:rPr>
              <w:t xml:space="preserve">labels and designations </w:t>
            </w:r>
            <w:r w:rsidRPr="00A316DA">
              <w:t>according to enterprise requirements</w:t>
            </w:r>
          </w:p>
          <w:p w:rsidR="00000000" w:rsidRPr="00A316DA" w:rsidP="00A316DA">
            <w:pPr>
              <w:pStyle w:val="BodyText"/>
            </w:pPr>
            <w:r w:rsidRPr="00A316DA">
              <w:t>5.2 Complete inspection sheets and declare asset ready for next stage of installation using appropriate sign-off documentation</w:t>
            </w:r>
          </w:p>
          <w:p w:rsidR="00000000" w:rsidRPr="00A316DA" w:rsidP="00A316DA">
            <w:pPr>
              <w:pStyle w:val="BodyText"/>
            </w:pPr>
            <w:r w:rsidRPr="00A316DA">
              <w:t>5.3 Clean up and prepare site in readiness for nex</w:t>
            </w:r>
            <w:r w:rsidRPr="00A316DA">
              <w:t>t installation phase</w:t>
            </w:r>
          </w:p>
          <w:p w:rsidR="00000000" w:rsidRPr="00A316DA" w:rsidP="00A316DA">
            <w:pPr>
              <w:pStyle w:val="BodyText"/>
            </w:pPr>
            <w:r w:rsidRPr="00A316DA">
              <w:t>5.4 Notify carrier and obtain sign-off</w:t>
            </w:r>
          </w:p>
        </w:tc>
      </w:tr>
    </w:tbl>
    <w:p w:rsidR="00000000" w:rsidRPr="00A316DA" w:rsidP="00A316DA">
      <w:pPr>
        <w:pStyle w:val="BodyText"/>
      </w:pPr>
    </w:p>
    <w:p w:rsidR="00000000" w:rsidRPr="00A316DA" w:rsidP="00A316DA">
      <w:pPr>
        <w:pStyle w:val="AllowPageBreak"/>
      </w:pPr>
    </w:p>
    <w:p w:rsidR="00000000" w:rsidRPr="00A316DA" w:rsidP="00A316DA">
      <w:pPr>
        <w:pStyle w:val="Heading1"/>
      </w:pPr>
      <w:bookmarkStart w:id="9" w:name="O_640208"/>
      <w:bookmarkEnd w:id="9"/>
      <w:r w:rsidRPr="00A316DA">
        <w:t>Required Skills and Knowledge</w:t>
      </w:r>
    </w:p>
    <w:p w:rsidR="00000000" w:rsidRPr="00A316DA" w:rsidP="00A316DA">
      <w:pPr>
        <w:pStyle w:val="BodyText"/>
      </w:pPr>
      <w:r w:rsidRPr="00A316DA">
        <w:rPr>
          <w:rStyle w:val="Emphasis"/>
        </w:rPr>
        <w:t>This section describes the skills and knowledge required for this unit.</w:t>
      </w:r>
    </w:p>
    <w:p w:rsidR="00000000" w:rsidRPr="00A316DA" w:rsidP="00A316DA">
      <w:pPr>
        <w:pStyle w:val="BodyText"/>
      </w:pPr>
    </w:p>
    <w:p w:rsidR="00000000" w:rsidRPr="00A316DA" w:rsidP="00A316DA">
      <w:pPr>
        <w:pStyle w:val="BodyText"/>
      </w:pPr>
      <w:r w:rsidRPr="00A316DA">
        <w:rPr>
          <w:rStyle w:val="SpecialBold"/>
        </w:rPr>
        <w:t>Required skills</w:t>
      </w:r>
    </w:p>
    <w:p w:rsidR="00000000" w:rsidRPr="00A316DA" w:rsidP="00A316DA">
      <w:pPr>
        <w:pStyle w:val="BodyText"/>
      </w:pPr>
    </w:p>
    <w:p w:rsidR="00000000" w:rsidRPr="00A316DA" w:rsidP="00A316DA">
      <w:pPr>
        <w:pStyle w:val="ListBullet"/>
      </w:pPr>
      <w:r w:rsidRPr="00A316DA">
        <w:t>analytical skills to compare and evaluate most effective technical solutions</w:t>
      </w:r>
    </w:p>
    <w:p w:rsidR="00000000" w:rsidRPr="00A316DA" w:rsidP="00A316DA">
      <w:pPr>
        <w:pStyle w:val="ListBullet"/>
      </w:pPr>
      <w:r w:rsidRPr="00A316DA">
        <w:t>communication skills to:</w:t>
      </w:r>
    </w:p>
    <w:p w:rsidR="00000000" w:rsidRPr="00A316DA" w:rsidP="00A316DA">
      <w:pPr>
        <w:pStyle w:val="ListBullet2"/>
      </w:pPr>
      <w:r w:rsidRPr="00A316DA">
        <w:t>liaise with carriers to ensure requirements are known</w:t>
      </w:r>
    </w:p>
    <w:p w:rsidR="00000000" w:rsidRPr="00A316DA" w:rsidP="00A316DA">
      <w:pPr>
        <w:pStyle w:val="ListBullet2"/>
      </w:pPr>
      <w:r w:rsidRPr="00A316DA">
        <w:t>negotiate approvals and contract arrangements with suppliers and contractors</w:t>
      </w:r>
    </w:p>
    <w:p w:rsidR="00000000" w:rsidRPr="00A316DA" w:rsidP="00A316DA">
      <w:pPr>
        <w:pStyle w:val="ListBullet"/>
      </w:pPr>
      <w:r w:rsidRPr="00A316DA">
        <w:t>literacy skills to:</w:t>
      </w:r>
    </w:p>
    <w:p w:rsidR="00000000" w:rsidRPr="00A316DA" w:rsidP="00A316DA">
      <w:pPr>
        <w:pStyle w:val="ListBullet2"/>
      </w:pPr>
      <w:r w:rsidRPr="00A316DA">
        <w:t>document technical requirements and procedures</w:t>
      </w:r>
    </w:p>
    <w:p w:rsidR="00000000" w:rsidRPr="00A316DA" w:rsidP="00A316DA">
      <w:pPr>
        <w:pStyle w:val="ListBullet2"/>
      </w:pPr>
      <w:r w:rsidRPr="00A316DA">
        <w:t>interpret technical specifications and related documentation</w:t>
      </w:r>
    </w:p>
    <w:p w:rsidR="00000000" w:rsidRPr="00A316DA" w:rsidP="00A316DA">
      <w:pPr>
        <w:pStyle w:val="ListBullet"/>
      </w:pPr>
      <w:r w:rsidRPr="00A316DA">
        <w:t>numeracy skills to calculate budget requirements and limitations</w:t>
      </w:r>
    </w:p>
    <w:p w:rsidR="00000000" w:rsidRPr="00A316DA" w:rsidP="00A316DA">
      <w:pPr>
        <w:pStyle w:val="ListBullet"/>
      </w:pPr>
      <w:r w:rsidRPr="00A316DA">
        <w:t>planning and organising skills to:</w:t>
      </w:r>
    </w:p>
    <w:p w:rsidR="00000000" w:rsidRPr="00A316DA" w:rsidP="00A316DA">
      <w:pPr>
        <w:pStyle w:val="ListBullet2"/>
      </w:pPr>
      <w:r w:rsidRPr="00A316DA">
        <w:t>make site access and equipment delivery arrang</w:t>
      </w:r>
      <w:r w:rsidRPr="00A316DA">
        <w:t>ements</w:t>
      </w:r>
    </w:p>
    <w:p w:rsidR="00000000" w:rsidRPr="00A316DA" w:rsidP="00A316DA">
      <w:pPr>
        <w:pStyle w:val="ListBullet2"/>
      </w:pPr>
      <w:r w:rsidRPr="00A316DA">
        <w:t>set out project requirements and priorities</w:t>
      </w:r>
    </w:p>
    <w:p w:rsidR="00000000" w:rsidRPr="00A316DA" w:rsidP="00A316DA">
      <w:pPr>
        <w:pStyle w:val="ListBullet"/>
      </w:pPr>
      <w:r w:rsidRPr="00A316DA">
        <w:t>problem-solving skills to account for unexpected variations to requirements</w:t>
      </w:r>
    </w:p>
    <w:p w:rsidR="00000000" w:rsidRPr="00A316DA" w:rsidP="00A316DA">
      <w:pPr>
        <w:pStyle w:val="ListBullet"/>
      </w:pPr>
      <w:r w:rsidRPr="00A316DA">
        <w:t>technical skills to:</w:t>
      </w:r>
    </w:p>
    <w:p w:rsidR="00000000" w:rsidRPr="00A316DA" w:rsidP="00A316DA">
      <w:pPr>
        <w:pStyle w:val="ListBullet2"/>
      </w:pPr>
      <w:r w:rsidRPr="00A316DA">
        <w:t>perform cabling and terminating designs</w:t>
      </w:r>
    </w:p>
    <w:p w:rsidR="00000000" w:rsidRPr="00A316DA" w:rsidP="00A316DA">
      <w:pPr>
        <w:pStyle w:val="ListBullet2"/>
      </w:pPr>
      <w:r w:rsidRPr="00A316DA">
        <w:t>use design tools to:</w:t>
      </w:r>
    </w:p>
    <w:p w:rsidR="00000000" w:rsidRPr="00A316DA" w:rsidP="00A316DA">
      <w:pPr>
        <w:pStyle w:val="ListBullet3"/>
      </w:pPr>
      <w:r w:rsidRPr="00A316DA">
        <w:t>affix supports, cable trays and racks to sur</w:t>
      </w:r>
      <w:r w:rsidRPr="00A316DA">
        <w:t>faces</w:t>
      </w:r>
    </w:p>
    <w:p w:rsidR="00000000" w:rsidRPr="00A316DA" w:rsidP="00A316DA">
      <w:pPr>
        <w:pStyle w:val="ListBullet3"/>
      </w:pPr>
      <w:r w:rsidRPr="00A316DA">
        <w:t>assemble infrastructure</w:t>
      </w:r>
    </w:p>
    <w:p w:rsidR="001922E0" w:rsidP="00A316DA">
      <w:pPr>
        <w:pStyle w:val="ListBullet3"/>
      </w:pPr>
      <w:r w:rsidRPr="00A316DA">
        <w:t>work with construction materials.</w:t>
      </w:r>
    </w:p>
    <w:p w:rsidR="001922E0" w:rsidP="00A316DA">
      <w:pPr>
        <w:pStyle w:val="ListBullet3"/>
      </w:pPr>
    </w:p>
    <w:p w:rsidR="00000000" w:rsidRPr="00A316DA" w:rsidP="00A316DA">
      <w:pPr>
        <w:pStyle w:val="BodyText"/>
      </w:pPr>
      <w:r w:rsidRPr="00A316DA">
        <w:rPr>
          <w:rStyle w:val="SpecialBold"/>
        </w:rPr>
        <w:t>Required knowledge</w:t>
      </w:r>
    </w:p>
    <w:p w:rsidR="00000000" w:rsidRPr="00A316DA" w:rsidP="00A316DA">
      <w:pPr>
        <w:pStyle w:val="BodyText"/>
      </w:pPr>
    </w:p>
    <w:p w:rsidR="00000000" w:rsidRPr="00A316DA" w:rsidP="00A316DA">
      <w:pPr>
        <w:pStyle w:val="ListBullet"/>
      </w:pPr>
      <w:r w:rsidRPr="00A316DA">
        <w:t>cabling types, connectors and cabling structures</w:t>
      </w:r>
    </w:p>
    <w:p w:rsidR="00000000" w:rsidRPr="00A316DA" w:rsidP="00A316DA">
      <w:pPr>
        <w:pStyle w:val="ListBullet"/>
      </w:pPr>
      <w:r w:rsidRPr="00A316DA">
        <w:t>common carrier telecommunications applications and related equipment</w:t>
      </w:r>
    </w:p>
    <w:p w:rsidR="00000000" w:rsidRPr="00A316DA" w:rsidP="00A316DA">
      <w:pPr>
        <w:pStyle w:val="ListBullet"/>
      </w:pPr>
      <w:r w:rsidRPr="00A316DA">
        <w:t>connections to carrier infrastructure or equipment</w:t>
      </w:r>
    </w:p>
    <w:p w:rsidR="00000000" w:rsidRPr="00A316DA" w:rsidP="00A316DA">
      <w:pPr>
        <w:pStyle w:val="ListBullet"/>
      </w:pPr>
      <w:r w:rsidRPr="00A316DA">
        <w:t>current legislation relating to installation of telecommunications equipment and connection to carrier services</w:t>
      </w:r>
    </w:p>
    <w:p w:rsidR="00000000" w:rsidRPr="00A316DA" w:rsidP="00A316DA">
      <w:pPr>
        <w:pStyle w:val="ListBullet"/>
      </w:pPr>
      <w:r w:rsidRPr="00A316DA">
        <w:t>environmental impacts, including options for green ICT installations</w:t>
      </w:r>
    </w:p>
    <w:p w:rsidR="00000000" w:rsidRPr="00A316DA" w:rsidP="00A316DA">
      <w:pPr>
        <w:pStyle w:val="ListBullet"/>
      </w:pPr>
      <w:r w:rsidRPr="00A316DA">
        <w:t>interface and interconnect solutions</w:t>
      </w:r>
    </w:p>
    <w:p w:rsidR="00000000" w:rsidRPr="00A316DA" w:rsidP="00A316DA">
      <w:pPr>
        <w:pStyle w:val="ListBullet"/>
      </w:pPr>
      <w:r w:rsidRPr="00A316DA">
        <w:t>network power requirements and electri</w:t>
      </w:r>
      <w:r w:rsidRPr="00A316DA">
        <w:t>cal safety</w:t>
      </w:r>
    </w:p>
    <w:p w:rsidR="00000000" w:rsidRPr="00A316DA" w:rsidP="00A316DA">
      <w:pPr>
        <w:pStyle w:val="ListBullet"/>
      </w:pPr>
      <w:r w:rsidRPr="00A316DA">
        <w:t>network topologies</w:t>
      </w:r>
    </w:p>
    <w:p w:rsidR="00000000" w:rsidRPr="00A316DA" w:rsidP="00A316DA">
      <w:pPr>
        <w:pStyle w:val="ListBullet"/>
      </w:pPr>
      <w:r w:rsidRPr="00A316DA">
        <w:t>overview knowledge of network and transmission equipment</w:t>
      </w:r>
    </w:p>
    <w:p w:rsidR="00000000" w:rsidRPr="00A316DA" w:rsidP="00A316DA">
      <w:pPr>
        <w:pStyle w:val="ListBullet"/>
      </w:pPr>
      <w:r w:rsidRPr="00A316DA">
        <w:t>warranty information for equipment supplies and contractor work guarantees</w:t>
      </w:r>
    </w:p>
    <w:p w:rsidR="00000000" w:rsidRPr="00A316DA" w:rsidP="00A316DA">
      <w:pPr>
        <w:pStyle w:val="ListBullet"/>
      </w:pPr>
      <w:r w:rsidRPr="00A316DA">
        <w:t>WHS requirements for:</w:t>
      </w:r>
    </w:p>
    <w:p w:rsidR="00000000" w:rsidRPr="00A316DA" w:rsidP="00A316DA">
      <w:pPr>
        <w:pStyle w:val="ListBullet2"/>
      </w:pPr>
      <w:r w:rsidRPr="00A316DA">
        <w:t>confined spaces</w:t>
      </w:r>
    </w:p>
    <w:p w:rsidR="00000000" w:rsidRPr="00A316DA" w:rsidP="00A316DA">
      <w:pPr>
        <w:pStyle w:val="ListBullet2"/>
      </w:pPr>
      <w:r w:rsidRPr="00A316DA">
        <w:t>electrical safety</w:t>
      </w:r>
    </w:p>
    <w:p w:rsidR="00000000" w:rsidRPr="00A316DA" w:rsidP="00A316DA">
      <w:pPr>
        <w:pStyle w:val="ListBullet2"/>
      </w:pPr>
      <w:r w:rsidRPr="00A316DA">
        <w:t>heights</w:t>
      </w:r>
    </w:p>
    <w:p w:rsidR="00000000" w:rsidRPr="00A316DA" w:rsidP="00A316DA">
      <w:pPr>
        <w:pStyle w:val="ListBullet2"/>
      </w:pPr>
      <w:r w:rsidRPr="00A316DA">
        <w:t>lifting</w:t>
      </w:r>
    </w:p>
    <w:p w:rsidR="00000000" w:rsidRPr="00A316DA" w:rsidP="00A316DA">
      <w:pPr>
        <w:pStyle w:val="ListBullet2"/>
      </w:pPr>
      <w:r w:rsidRPr="00A316DA">
        <w:t>materials handling</w:t>
      </w:r>
    </w:p>
    <w:p w:rsidR="00000000" w:rsidRPr="00A316DA" w:rsidP="00A316DA">
      <w:pPr>
        <w:pStyle w:val="ListBullet2"/>
      </w:pPr>
      <w:r w:rsidRPr="00A316DA">
        <w:t>physical hazards.</w:t>
      </w:r>
    </w:p>
    <w:p w:rsidR="00000000" w:rsidRPr="00A316DA" w:rsidP="00A316DA">
      <w:pPr>
        <w:pStyle w:val="AllowPageBreak"/>
      </w:pPr>
    </w:p>
    <w:p w:rsidR="00000000" w:rsidRPr="00A316DA" w:rsidP="00A316DA">
      <w:pPr>
        <w:pStyle w:val="Heading1"/>
      </w:pPr>
      <w:bookmarkStart w:id="10" w:name="O_640209"/>
      <w:bookmarkEnd w:id="10"/>
      <w:r w:rsidRPr="00A316DA">
        <w:t>Evidence Guide</w:t>
      </w:r>
    </w:p>
    <w:p w:rsidR="00000000" w:rsidRPr="00A316DA" w:rsidP="00A316DA">
      <w:pPr>
        <w:pStyle w:val="BodyText"/>
      </w:pPr>
      <w:r w:rsidRPr="00A316DA">
        <w:rPr>
          <w:rStyle w:val="Emphasis"/>
        </w:rPr>
        <w:t xml:space="preserve">The evidence guide provides advice on assessment and must be read in conjunction with the performance criteria, required skills and knowledge, range statement and the Assessment Guidelines for the Training </w:t>
      </w:r>
      <w:r w:rsidRPr="00A316DA">
        <w:rPr>
          <w:rStyle w:val="Emphasis"/>
        </w:rPr>
        <w:t>Package.</w:t>
      </w:r>
    </w:p>
    <w:p w:rsidR="00000000" w:rsidRPr="00A316DA" w:rsidP="00A316DA">
      <w:pPr>
        <w:pStyle w:val="BodyText"/>
      </w:pPr>
    </w:p>
    <w:tbl>
      <w:tblPr>
        <w:tblW w:w="0" w:type="auto"/>
        <w:tblLayout w:type="fixed"/>
        <w:tblCellMar>
          <w:left w:w="62" w:type="dxa"/>
          <w:right w:w="62" w:type="dxa"/>
        </w:tblCellMar>
        <w:tblLook w:val="0000"/>
      </w:tblPr>
      <w:tblGrid>
        <w:gridCol w:w="2520"/>
        <w:gridCol w:w="6225"/>
      </w:tblGrid>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p>
        </w:tc>
      </w:tr>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BodyText"/>
            </w:pPr>
            <w:r w:rsidRPr="00A316DA">
              <w:t>Evidence of the ability to:</w:t>
            </w:r>
          </w:p>
          <w:p w:rsidR="00000000" w:rsidRPr="00A316DA" w:rsidP="00A316DA">
            <w:pPr>
              <w:pStyle w:val="BodyText"/>
            </w:pPr>
          </w:p>
          <w:p w:rsidR="00000000" w:rsidRPr="00A316DA" w:rsidP="00A316DA">
            <w:pPr>
              <w:pStyle w:val="ListBullet"/>
            </w:pPr>
            <w:r w:rsidRPr="00A316DA">
              <w:t>conduct a site survey to identify infrastructure features, including:</w:t>
            </w:r>
          </w:p>
          <w:p w:rsidR="00000000" w:rsidRPr="00A316DA" w:rsidP="00A316DA">
            <w:pPr>
              <w:pStyle w:val="ListBullet2"/>
            </w:pPr>
            <w:r w:rsidRPr="00A316DA">
              <w:t>potential earthing locations</w:t>
            </w:r>
          </w:p>
          <w:p w:rsidR="00000000" w:rsidRPr="00A316DA" w:rsidP="00A316DA">
            <w:pPr>
              <w:pStyle w:val="ListBullet2"/>
            </w:pPr>
            <w:r w:rsidRPr="00A316DA">
              <w:t>cable routes</w:t>
            </w:r>
          </w:p>
          <w:p w:rsidR="00000000" w:rsidRPr="00A316DA" w:rsidP="00A316DA">
            <w:pPr>
              <w:pStyle w:val="ListBullet2"/>
            </w:pPr>
            <w:r w:rsidRPr="00A316DA">
              <w:t>locations for cables trays, data cabinets, telecommunication enclosures, and distributors</w:t>
            </w:r>
          </w:p>
          <w:p w:rsidR="00000000" w:rsidRPr="00A316DA" w:rsidP="00A316DA">
            <w:pPr>
              <w:pStyle w:val="ListBullet"/>
            </w:pPr>
            <w:r w:rsidRPr="00A316DA">
              <w:t>design infrastructure for access network</w:t>
            </w:r>
          </w:p>
          <w:p w:rsidR="00000000" w:rsidRPr="00A316DA" w:rsidP="00A316DA">
            <w:pPr>
              <w:pStyle w:val="ListBullet"/>
            </w:pPr>
            <w:r w:rsidRPr="00A316DA">
              <w:t>design protective earth and functional earth installations</w:t>
            </w:r>
          </w:p>
          <w:p w:rsidR="00000000" w:rsidRPr="00A316DA" w:rsidP="00A316DA">
            <w:pPr>
              <w:pStyle w:val="ListBullet"/>
            </w:pPr>
            <w:r w:rsidRPr="00A316DA">
              <w:t>design power infrastructure</w:t>
            </w:r>
          </w:p>
          <w:p w:rsidR="00000000" w:rsidP="00A316DA">
            <w:pPr>
              <w:pStyle w:val="ListBullet"/>
              <w:rPr>
                <w:lang w:val="en-NZ"/>
              </w:rPr>
            </w:pPr>
            <w:r w:rsidRPr="00A316DA">
              <w:t>design and monitor DC power distribution work.</w:t>
            </w:r>
          </w:p>
        </w:tc>
      </w:tr>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BodyText"/>
            </w:pPr>
            <w:r w:rsidRPr="00A316DA">
              <w:t>Assessment must ensure:</w:t>
            </w:r>
          </w:p>
          <w:p w:rsidR="00000000" w:rsidRPr="00A316DA" w:rsidP="00A316DA">
            <w:pPr>
              <w:pStyle w:val="BodyText"/>
            </w:pPr>
          </w:p>
          <w:p w:rsidR="00000000" w:rsidRPr="00A316DA" w:rsidP="00A316DA">
            <w:pPr>
              <w:pStyle w:val="ListBullet"/>
            </w:pPr>
            <w:r w:rsidRPr="00A316DA">
              <w:t>site where installation of supporting infrastructure may be conducted</w:t>
            </w:r>
          </w:p>
          <w:p w:rsidR="00000000" w:rsidRPr="00A316DA" w:rsidP="00A316DA">
            <w:pPr>
              <w:pStyle w:val="ListBullet"/>
            </w:pPr>
            <w:r w:rsidRPr="00A316DA">
              <w:t>use of plant, tools and equipment currently used in industry</w:t>
            </w:r>
          </w:p>
          <w:p w:rsidR="00000000" w:rsidP="00A316DA">
            <w:pPr>
              <w:pStyle w:val="ListBullet"/>
              <w:rPr>
                <w:lang w:val="en-NZ"/>
              </w:rPr>
            </w:pPr>
            <w:r w:rsidRPr="00A316DA">
              <w:t>relevant regulatory and equipment documentation that impacts on work activities.</w:t>
            </w:r>
          </w:p>
        </w:tc>
      </w:tr>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BodyText"/>
            </w:pPr>
            <w:r w:rsidRPr="00A316DA">
              <w:t>A range of assessment methods should be used to assess practical skills and knowledge. The f</w:t>
            </w:r>
            <w:r w:rsidRPr="00A316DA">
              <w:t>ollowing examples are appropriate for this unit:</w:t>
            </w:r>
          </w:p>
          <w:p w:rsidR="00000000" w:rsidRPr="00A316DA" w:rsidP="00A316DA">
            <w:pPr>
              <w:pStyle w:val="BodyText"/>
            </w:pPr>
          </w:p>
          <w:p w:rsidR="00000000" w:rsidRPr="00A316DA" w:rsidP="00A316DA">
            <w:pPr>
              <w:pStyle w:val="ListBullet"/>
            </w:pPr>
            <w:r w:rsidRPr="00A316DA">
              <w:t>direct observation of the candidate designing metal superstructure to house equipment</w:t>
            </w:r>
          </w:p>
          <w:p w:rsidR="00000000" w:rsidRPr="00A316DA" w:rsidP="00A316DA">
            <w:pPr>
              <w:pStyle w:val="ListBullet"/>
            </w:pPr>
            <w:r w:rsidRPr="00A316DA">
              <w:t>direct observation of the candidate designing protective earth and functional earth installations</w:t>
            </w:r>
          </w:p>
          <w:p w:rsidR="00000000" w:rsidRPr="00A316DA" w:rsidP="00A316DA">
            <w:pPr>
              <w:pStyle w:val="ListBullet"/>
            </w:pPr>
            <w:r w:rsidRPr="00A316DA">
              <w:t>review of design draw</w:t>
            </w:r>
            <w:r w:rsidRPr="00A316DA">
              <w:t>ings prepared by the candidate</w:t>
            </w:r>
          </w:p>
          <w:p w:rsidR="00000000" w:rsidP="00A316DA">
            <w:pPr>
              <w:pStyle w:val="ListBullet"/>
              <w:rPr>
                <w:lang w:val="en-NZ"/>
              </w:rPr>
            </w:pPr>
            <w:r w:rsidRPr="00A316DA">
              <w:t xml:space="preserve">oral or written questioning to assess knowledge of design issues, </w:t>
            </w:r>
            <w:r w:rsidRPr="00A316DA">
              <w:t>types of systems and applications.</w:t>
            </w:r>
          </w:p>
        </w:tc>
      </w:tr>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BodyText"/>
            </w:pPr>
            <w:r w:rsidRPr="00A316DA">
              <w:t>Holistic assessment with other units relevant to the industry sector, workplace and job role is recommended, for example:</w:t>
            </w:r>
          </w:p>
          <w:p w:rsidR="00000000" w:rsidRPr="00A316DA" w:rsidP="00A316DA">
            <w:pPr>
              <w:pStyle w:val="BodyText"/>
            </w:pPr>
          </w:p>
          <w:p w:rsidR="00000000" w:rsidRPr="00A316DA" w:rsidP="00A316DA">
            <w:pPr>
              <w:pStyle w:val="ListBullet"/>
            </w:pPr>
            <w:r w:rsidRPr="00A316DA">
              <w:t>ICTNPL4247A Apply compliance requirements to telecommunications work</w:t>
            </w:r>
          </w:p>
          <w:p w:rsidR="00000000" w:rsidRPr="00A316DA" w:rsidP="00A316DA">
            <w:pPr>
              <w:pStyle w:val="ListBullet"/>
            </w:pPr>
            <w:r w:rsidRPr="00A316DA">
              <w:t>ICTTEN4241A Design network projects</w:t>
            </w:r>
          </w:p>
          <w:p w:rsidR="00000000" w:rsidRPr="00A316DA" w:rsidP="00A316DA">
            <w:pPr>
              <w:pStyle w:val="ListBullet"/>
            </w:pPr>
            <w:r w:rsidRPr="00A316DA">
              <w:t>ICTTEN4242A Conduct site su</w:t>
            </w:r>
            <w:r w:rsidRPr="00A316DA">
              <w:t>rveys to identify carrier installation requirements</w:t>
            </w:r>
          </w:p>
          <w:p w:rsidR="00000000" w:rsidRPr="00A316DA" w:rsidP="00A316DA">
            <w:pPr>
              <w:pStyle w:val="ListBullet"/>
            </w:pPr>
            <w:r w:rsidRPr="00A316DA">
              <w:t>ICTTEN4243A Prepare design drawings and specifications for telecommunications installations</w:t>
            </w:r>
          </w:p>
          <w:p w:rsidR="00000000" w:rsidRPr="00A316DA" w:rsidP="00A316DA">
            <w:pPr>
              <w:pStyle w:val="ListBullet"/>
            </w:pPr>
            <w:r w:rsidRPr="00A316DA">
              <w:t>ICTTEN4244A Estimate and quote for carrier telecommunications equipment installations</w:t>
            </w:r>
          </w:p>
          <w:p w:rsidR="00000000" w:rsidRPr="00A316DA" w:rsidP="00A316DA">
            <w:pPr>
              <w:pStyle w:val="ListBullet"/>
            </w:pPr>
            <w:r w:rsidRPr="00A316DA">
              <w:t>ICTTEN4246A Design dense w</w:t>
            </w:r>
            <w:r w:rsidRPr="00A316DA">
              <w:t>avelength division multiplexing installations.</w:t>
            </w:r>
          </w:p>
          <w:p w:rsidR="00000000" w:rsidRPr="00A316DA" w:rsidP="00A316DA">
            <w:pPr>
              <w:pStyle w:val="BodyText"/>
            </w:pPr>
          </w:p>
          <w:p w:rsidR="00000000" w:rsidRPr="00A316DA" w:rsidP="00A316DA">
            <w:pPr>
              <w:pStyle w:val="BodyText"/>
            </w:pPr>
            <w:r w:rsidRPr="00A316DA">
              <w:t>Aboriginal people and other people from a non-English speaking background may have second language issues.</w:t>
            </w:r>
          </w:p>
          <w:p w:rsidR="00000000" w:rsidRPr="00A316DA" w:rsidP="00A316DA">
            <w:pPr>
              <w:pStyle w:val="BodyText"/>
            </w:pPr>
          </w:p>
          <w:p w:rsidR="00000000" w:rsidRPr="00A316DA" w:rsidP="00A316DA">
            <w:pPr>
              <w:pStyle w:val="BodyText"/>
            </w:pPr>
            <w:r w:rsidRPr="00A316DA">
              <w:t>Access must be provided to appropriate learning and assessment support when required.</w:t>
            </w:r>
          </w:p>
          <w:p w:rsidR="00000000" w:rsidRPr="00A316DA" w:rsidP="00A316DA">
            <w:pPr>
              <w:pStyle w:val="BodyText"/>
            </w:pPr>
          </w:p>
          <w:p w:rsidR="00000000" w:rsidRPr="00A316DA" w:rsidP="00A316DA">
            <w:pPr>
              <w:pStyle w:val="BodyText"/>
            </w:pPr>
            <w:r w:rsidRPr="00A316DA">
              <w:t>Assessment pr</w:t>
            </w:r>
            <w:r w:rsidRPr="00A316DA">
              <w:t>ocesses and techniques must be culturally appropriate, and appropriate to the oral communication skill level, and language and literacy capacity of the candidate and the work being performed.</w:t>
            </w:r>
          </w:p>
          <w:p w:rsidR="00000000" w:rsidRPr="00A316DA" w:rsidP="00A316DA">
            <w:pPr>
              <w:pStyle w:val="BodyText"/>
            </w:pPr>
          </w:p>
          <w:p w:rsidR="00000000" w:rsidRPr="00A316DA" w:rsidP="00A316DA">
            <w:pPr>
              <w:pStyle w:val="BodyText"/>
            </w:pPr>
            <w:r w:rsidRPr="00A316DA">
              <w:t>In all cases where practical assessment is used it will be comb</w:t>
            </w:r>
            <w:r w:rsidRPr="00A316DA">
              <w:t>ined with targeted questioning to assess required knowledge. Questioning techniques should not require language, literacy and numeracy skills beyond those required in this unit of competency.</w:t>
            </w:r>
          </w:p>
          <w:p w:rsidR="00000000" w:rsidRPr="00A316DA" w:rsidP="00A316DA">
            <w:pPr>
              <w:pStyle w:val="BodyText"/>
            </w:pPr>
          </w:p>
          <w:p w:rsidR="00000000" w:rsidRPr="00A316DA" w:rsidP="00A316DA">
            <w:pPr>
              <w:pStyle w:val="BodyText"/>
            </w:pPr>
            <w:r w:rsidRPr="00A316DA">
              <w:t>Where applicable, physical resources should include equipment m</w:t>
            </w:r>
            <w:r w:rsidRPr="00A316DA">
              <w:t>odified for people with special needs.</w:t>
            </w:r>
          </w:p>
        </w:tc>
      </w:tr>
    </w:tbl>
    <w:p w:rsidR="00000000" w:rsidRPr="00A316DA" w:rsidP="00A316DA">
      <w:pPr>
        <w:pStyle w:val="BodyText"/>
      </w:pPr>
    </w:p>
    <w:p w:rsidR="00000000" w:rsidRPr="00A316DA" w:rsidP="00A316DA">
      <w:pPr>
        <w:pStyle w:val="AllowPageBreak"/>
      </w:pPr>
    </w:p>
    <w:p w:rsidR="00000000" w:rsidRPr="00A316DA" w:rsidP="00A316DA">
      <w:pPr>
        <w:pStyle w:val="Heading1"/>
      </w:pPr>
      <w:bookmarkStart w:id="11" w:name="O_640210"/>
      <w:bookmarkEnd w:id="11"/>
      <w:r w:rsidRPr="00A316DA">
        <w:t>Range Statement</w:t>
      </w:r>
    </w:p>
    <w:p w:rsidR="00000000" w:rsidRPr="00A316DA" w:rsidP="00A316DA">
      <w:pPr>
        <w:pStyle w:val="BodyText"/>
      </w:pPr>
      <w:r w:rsidRPr="00A316DA">
        <w:rPr>
          <w:rStyle w:val="Emphasis"/>
        </w:rPr>
        <w:t xml:space="preserve">The range statement relates to the unit of competency as a whole. It allows for different work environments and situations that may affect </w:t>
      </w:r>
      <w:r w:rsidRPr="00A316DA">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A316DA">
        <w:rPr>
          <w:rStyle w:val="Emphasis"/>
        </w:rPr>
        <w:t>m, and local industry and regional contexts) may also be included.</w:t>
      </w:r>
    </w:p>
    <w:p w:rsidR="00000000" w:rsidRPr="00A316DA" w:rsidP="00A316DA">
      <w:pPr>
        <w:pStyle w:val="BodyText"/>
      </w:pPr>
    </w:p>
    <w:tbl>
      <w:tblPr>
        <w:tblW w:w="0" w:type="auto"/>
        <w:tblLayout w:type="fixed"/>
        <w:tblCellMar>
          <w:left w:w="62" w:type="dxa"/>
          <w:right w:w="62" w:type="dxa"/>
        </w:tblCellMar>
        <w:tblLook w:val="0000"/>
      </w:tblPr>
      <w:tblGrid>
        <w:gridCol w:w="2520"/>
        <w:gridCol w:w="6225"/>
      </w:tblGrid>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BoldandItalics"/>
              </w:rPr>
              <w:t xml:space="preserve">Relevant legislation, codes, regulations and standards </w:t>
            </w:r>
            <w:r w:rsidRPr="00A316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ListBullet"/>
            </w:pPr>
            <w:r w:rsidRPr="00A316DA">
              <w:t>appropriate licences:</w:t>
            </w:r>
          </w:p>
          <w:p w:rsidR="00000000" w:rsidRPr="00A316DA" w:rsidP="00A316DA">
            <w:pPr>
              <w:pStyle w:val="ListBullet2"/>
            </w:pPr>
            <w:r w:rsidRPr="00A316DA">
              <w:t>crane</w:t>
            </w:r>
          </w:p>
          <w:p w:rsidR="00000000" w:rsidRPr="00A316DA" w:rsidP="00A316DA">
            <w:pPr>
              <w:pStyle w:val="ListBullet2"/>
            </w:pPr>
            <w:r w:rsidRPr="00A316DA">
              <w:t>forklift</w:t>
            </w:r>
          </w:p>
          <w:p w:rsidR="00000000" w:rsidRPr="00A316DA" w:rsidP="00A316DA">
            <w:pPr>
              <w:pStyle w:val="ListBullet2"/>
            </w:pPr>
            <w:r w:rsidRPr="00A316DA">
              <w:t>winch</w:t>
            </w:r>
          </w:p>
          <w:p w:rsidR="00000000" w:rsidRPr="00A316DA" w:rsidP="00A316DA">
            <w:pPr>
              <w:pStyle w:val="ListBullet"/>
            </w:pPr>
            <w:r w:rsidRPr="00A316DA">
              <w:t>AS Communications Cabling Manual (CCM) Volume 1</w:t>
            </w:r>
          </w:p>
          <w:p w:rsidR="00000000" w:rsidRPr="00A316DA" w:rsidP="00A316DA">
            <w:pPr>
              <w:pStyle w:val="ListBullet"/>
            </w:pPr>
            <w:r w:rsidRPr="00A316DA">
              <w:t>AS/ACIF S008:2006</w:t>
            </w:r>
          </w:p>
          <w:p w:rsidR="00000000" w:rsidRPr="00A316DA" w:rsidP="00A316DA">
            <w:pPr>
              <w:pStyle w:val="ListBullet"/>
            </w:pPr>
            <w:r w:rsidRPr="00A316DA">
              <w:t>AS/ACIF S009:2006</w:t>
            </w:r>
          </w:p>
          <w:p w:rsidR="00000000" w:rsidRPr="00A316DA" w:rsidP="00A316DA">
            <w:pPr>
              <w:pStyle w:val="ListBullet"/>
            </w:pPr>
            <w:r w:rsidRPr="00A316DA">
              <w:t>AS/NZS 3000:2007</w:t>
            </w:r>
          </w:p>
          <w:p w:rsidR="00000000" w:rsidRPr="00A316DA" w:rsidP="00A316DA">
            <w:pPr>
              <w:pStyle w:val="ListBullet"/>
            </w:pPr>
            <w:r w:rsidRPr="00A316DA">
              <w:t>AS/NZS 3080:2003</w:t>
            </w:r>
          </w:p>
          <w:p w:rsidR="00000000" w:rsidRPr="00A316DA" w:rsidP="00A316DA">
            <w:pPr>
              <w:pStyle w:val="ListBullet"/>
            </w:pPr>
            <w:r w:rsidRPr="00A316DA">
              <w:t>AS/NZS 3084:2003</w:t>
            </w:r>
          </w:p>
          <w:p w:rsidR="00000000" w:rsidRPr="00A316DA" w:rsidP="00A316DA">
            <w:pPr>
              <w:pStyle w:val="ListBullet"/>
            </w:pPr>
            <w:r w:rsidRPr="00A316DA">
              <w:t>AS/NZS 3085.1:2004</w:t>
            </w:r>
          </w:p>
          <w:p w:rsidR="00000000" w:rsidRPr="00A316DA" w:rsidP="00A316DA">
            <w:pPr>
              <w:pStyle w:val="ListBullet"/>
            </w:pPr>
            <w:r w:rsidRPr="00A316DA">
              <w:t>AS/NZS IEC 61935.1:2006</w:t>
            </w:r>
          </w:p>
          <w:p w:rsidR="00000000" w:rsidRPr="00A316DA" w:rsidP="00A316DA">
            <w:pPr>
              <w:pStyle w:val="ListBullet"/>
            </w:pPr>
            <w:r w:rsidRPr="00A316DA">
              <w:t>AS/NZS IEC 61935.2:2006</w:t>
            </w:r>
          </w:p>
          <w:p w:rsidR="00000000" w:rsidRPr="00A316DA" w:rsidP="00A316DA">
            <w:pPr>
              <w:pStyle w:val="ListBullet"/>
            </w:pPr>
            <w:r w:rsidRPr="00A316DA">
              <w:t>AS/NZS ISO/IEC 14763.3:2007</w:t>
            </w:r>
          </w:p>
          <w:p w:rsidR="00000000" w:rsidRPr="00A316DA" w:rsidP="00A316DA">
            <w:pPr>
              <w:pStyle w:val="ListBullet"/>
            </w:pPr>
            <w:r w:rsidRPr="00A316DA">
              <w:t>AS/NZS ISO/IEC 15018:2005</w:t>
            </w:r>
          </w:p>
          <w:p w:rsidR="00000000" w:rsidRPr="00A316DA" w:rsidP="00A316DA">
            <w:pPr>
              <w:pStyle w:val="ListBullet"/>
            </w:pPr>
            <w:r w:rsidRPr="00A316DA">
              <w:t xml:space="preserve">AS/NZS ISO/IEC 24702:2007 </w:t>
            </w:r>
          </w:p>
          <w:p w:rsidR="00000000" w:rsidRPr="00A316DA" w:rsidP="00A316DA">
            <w:pPr>
              <w:pStyle w:val="ListBullet"/>
            </w:pPr>
            <w:r w:rsidRPr="00A316DA">
              <w:t>Australian Construction Industry Forum (ACIF) standards and codes</w:t>
            </w:r>
          </w:p>
          <w:p w:rsidR="00000000" w:rsidRPr="00A316DA" w:rsidP="00A316DA">
            <w:pPr>
              <w:pStyle w:val="ListBullet"/>
            </w:pPr>
            <w:r w:rsidRPr="00A316DA">
              <w:t>cabling security codes and regulations</w:t>
            </w:r>
          </w:p>
          <w:p w:rsidR="00000000" w:rsidRPr="00A316DA" w:rsidP="00A316DA">
            <w:pPr>
              <w:pStyle w:val="ListBullet"/>
            </w:pPr>
            <w:r w:rsidRPr="00A316DA">
              <w:t>Environment Protection Acts</w:t>
            </w:r>
          </w:p>
          <w:p w:rsidR="00000000" w:rsidP="00A316DA">
            <w:pPr>
              <w:pStyle w:val="ListBullet"/>
              <w:rPr>
                <w:lang w:val="en-NZ"/>
              </w:rPr>
            </w:pPr>
            <w:r w:rsidRPr="00A316DA">
              <w:t>WHS Acts and relevant codes and standards.</w:t>
            </w:r>
          </w:p>
        </w:tc>
      </w:tr>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BoldandItalics"/>
              </w:rPr>
              <w:t xml:space="preserve">Customer </w:t>
            </w:r>
            <w:r w:rsidRPr="00A316DA">
              <w:t>may be: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ListBullet"/>
            </w:pPr>
            <w:r w:rsidRPr="00A316DA">
              <w:t>architect</w:t>
            </w:r>
          </w:p>
          <w:p w:rsidR="00000000" w:rsidRPr="00A316DA" w:rsidP="00A316DA">
            <w:pPr>
              <w:pStyle w:val="ListBullet"/>
            </w:pPr>
            <w:r w:rsidRPr="00A316DA">
              <w:t>asset manager</w:t>
            </w:r>
          </w:p>
          <w:p w:rsidR="00000000" w:rsidRPr="00A316DA" w:rsidP="00A316DA">
            <w:pPr>
              <w:pStyle w:val="ListBullet"/>
            </w:pPr>
            <w:r w:rsidRPr="00A316DA">
              <w:t xml:space="preserve">builder </w:t>
            </w:r>
          </w:p>
          <w:p w:rsidR="00000000" w:rsidRPr="00A316DA" w:rsidP="00A316DA">
            <w:pPr>
              <w:pStyle w:val="ListBullet"/>
            </w:pPr>
            <w:r w:rsidRPr="00A316DA">
              <w:t>nominated representative</w:t>
            </w:r>
          </w:p>
          <w:p w:rsidR="00000000" w:rsidRPr="00A316DA" w:rsidP="00A316DA">
            <w:pPr>
              <w:pStyle w:val="ListBullet"/>
            </w:pPr>
            <w:r w:rsidRPr="00A316DA">
              <w:t>pro</w:t>
            </w:r>
            <w:r w:rsidRPr="00A316DA">
              <w:t>ject manager</w:t>
            </w:r>
          </w:p>
          <w:p w:rsidR="00000000" w:rsidP="00A316DA">
            <w:pPr>
              <w:pStyle w:val="ListBullet"/>
              <w:rPr>
                <w:lang w:val="en-NZ"/>
              </w:rPr>
            </w:pPr>
            <w:r w:rsidRPr="00A316DA">
              <w:t>service provider.</w:t>
            </w:r>
          </w:p>
        </w:tc>
      </w:tr>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BoldandItalics"/>
              </w:rPr>
              <w:t xml:space="preserve">Site survey </w:t>
            </w:r>
            <w:r w:rsidRPr="00A316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ListBullet"/>
            </w:pPr>
            <w:r w:rsidRPr="00A316DA">
              <w:t xml:space="preserve">access </w:t>
            </w:r>
          </w:p>
          <w:p w:rsidR="00000000" w:rsidRPr="00A316DA" w:rsidP="00A316DA">
            <w:pPr>
              <w:pStyle w:val="ListBullet"/>
            </w:pPr>
            <w:r w:rsidRPr="00A316DA">
              <w:t>cable tunnels</w:t>
            </w:r>
          </w:p>
          <w:p w:rsidR="00000000" w:rsidRPr="00A316DA" w:rsidP="00A316DA">
            <w:pPr>
              <w:pStyle w:val="ListBullet"/>
            </w:pPr>
            <w:r w:rsidRPr="00A316DA">
              <w:t>equipment bays</w:t>
            </w:r>
          </w:p>
          <w:p w:rsidR="00000000" w:rsidRPr="00A316DA" w:rsidP="00A316DA">
            <w:pPr>
              <w:pStyle w:val="ListBullet"/>
            </w:pPr>
            <w:r w:rsidRPr="00A316DA">
              <w:t>floor layout</w:t>
            </w:r>
          </w:p>
          <w:p w:rsidR="00000000" w:rsidRPr="00A316DA" w:rsidP="00A316DA">
            <w:pPr>
              <w:pStyle w:val="ListBullet"/>
            </w:pPr>
            <w:r w:rsidRPr="00A316DA">
              <w:t>floor loadings</w:t>
            </w:r>
          </w:p>
          <w:p w:rsidR="00000000" w:rsidRPr="00A316DA" w:rsidP="00A316DA">
            <w:pPr>
              <w:pStyle w:val="ListBullet"/>
            </w:pPr>
            <w:r w:rsidRPr="00A316DA">
              <w:t>lighting</w:t>
            </w:r>
          </w:p>
          <w:p w:rsidR="00000000" w:rsidRPr="00A316DA" w:rsidP="00A316DA">
            <w:pPr>
              <w:pStyle w:val="ListBullet"/>
            </w:pPr>
            <w:r w:rsidRPr="00A316DA">
              <w:t>preparation area</w:t>
            </w:r>
          </w:p>
          <w:p w:rsidR="00000000" w:rsidRPr="00A316DA" w:rsidP="00A316DA">
            <w:pPr>
              <w:pStyle w:val="ListBullet"/>
            </w:pPr>
            <w:r w:rsidRPr="00A316DA">
              <w:t>roof structures</w:t>
            </w:r>
          </w:p>
          <w:p w:rsidR="00000000" w:rsidRPr="00A316DA" w:rsidP="00A316DA">
            <w:pPr>
              <w:pStyle w:val="ListBullet"/>
            </w:pPr>
            <w:r w:rsidRPr="00A316DA">
              <w:t>ventilation requirements</w:t>
            </w:r>
          </w:p>
          <w:p w:rsidR="00000000" w:rsidP="00A316DA">
            <w:pPr>
              <w:pStyle w:val="ListBullet"/>
              <w:rPr>
                <w:lang w:val="en-NZ"/>
              </w:rPr>
            </w:pPr>
            <w:r w:rsidRPr="00A316DA">
              <w:t>wall structures.</w:t>
            </w:r>
          </w:p>
        </w:tc>
      </w:tr>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BoldandItalics"/>
              </w:rPr>
              <w:t xml:space="preserve">Infrastructure </w:t>
            </w:r>
            <w:r w:rsidRPr="00A316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ListBullet"/>
            </w:pPr>
            <w:r w:rsidRPr="00A316DA">
              <w:t>air conditioning requirements</w:t>
            </w:r>
          </w:p>
          <w:p w:rsidR="00000000" w:rsidRPr="00A316DA" w:rsidP="00A316DA">
            <w:pPr>
              <w:pStyle w:val="ListBullet"/>
            </w:pPr>
            <w:r w:rsidRPr="00A316DA">
              <w:t>alarm panels</w:t>
            </w:r>
          </w:p>
          <w:p w:rsidR="00000000" w:rsidRPr="00A316DA" w:rsidP="00A316DA">
            <w:pPr>
              <w:pStyle w:val="ListBullet"/>
            </w:pPr>
            <w:r w:rsidRPr="00A316DA">
              <w:t>cable entries</w:t>
            </w:r>
          </w:p>
          <w:p w:rsidR="00000000" w:rsidRPr="00A316DA" w:rsidP="00A316DA">
            <w:pPr>
              <w:pStyle w:val="ListBullet"/>
            </w:pPr>
            <w:r w:rsidRPr="00A316DA">
              <w:t>distribution frames</w:t>
            </w:r>
          </w:p>
          <w:p w:rsidR="00000000" w:rsidRPr="00A316DA" w:rsidP="00A316DA">
            <w:pPr>
              <w:pStyle w:val="ListBullet"/>
            </w:pPr>
            <w:r w:rsidRPr="00A316DA">
              <w:t>duct and cable trays</w:t>
            </w:r>
          </w:p>
          <w:p w:rsidR="00000000" w:rsidRPr="00A316DA" w:rsidP="00A316DA">
            <w:pPr>
              <w:pStyle w:val="ListBullet"/>
            </w:pPr>
            <w:r w:rsidRPr="00A316DA">
              <w:t>electrical supply</w:t>
            </w:r>
          </w:p>
          <w:p w:rsidR="00000000" w:rsidRPr="00A316DA" w:rsidP="00A316DA">
            <w:pPr>
              <w:pStyle w:val="ListBullet"/>
            </w:pPr>
            <w:r w:rsidRPr="00A316DA">
              <w:t>equipment racks</w:t>
            </w:r>
          </w:p>
          <w:p w:rsidR="00000000" w:rsidRPr="00A316DA" w:rsidP="00A316DA">
            <w:pPr>
              <w:pStyle w:val="ListBullet"/>
            </w:pPr>
            <w:r w:rsidRPr="00A316DA">
              <w:t>power supplies</w:t>
            </w:r>
          </w:p>
          <w:p w:rsidR="00000000" w:rsidP="00A316DA">
            <w:pPr>
              <w:pStyle w:val="ListBullet"/>
              <w:rPr>
                <w:lang w:val="en-NZ"/>
              </w:rPr>
            </w:pPr>
            <w:r w:rsidRPr="00A316DA">
              <w:t>radio structure.</w:t>
            </w:r>
          </w:p>
        </w:tc>
      </w:tr>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BoldandItalics"/>
              </w:rPr>
              <w:t xml:space="preserve">Hazards </w:t>
            </w:r>
            <w:r w:rsidRPr="00A316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ListBullet"/>
            </w:pPr>
            <w:r w:rsidRPr="00A316DA">
              <w:t>building debris</w:t>
            </w:r>
          </w:p>
          <w:p w:rsidR="00000000" w:rsidRPr="00A316DA" w:rsidP="00A316DA">
            <w:pPr>
              <w:pStyle w:val="ListBullet"/>
            </w:pPr>
            <w:r w:rsidRPr="00A316DA">
              <w:t>earth potential rise (EPR)</w:t>
            </w:r>
          </w:p>
          <w:p w:rsidR="00000000" w:rsidRPr="00A316DA" w:rsidP="00A316DA">
            <w:pPr>
              <w:pStyle w:val="ListBullet"/>
            </w:pPr>
            <w:r w:rsidRPr="00A316DA">
              <w:t>glass fibre</w:t>
            </w:r>
          </w:p>
          <w:p w:rsidR="00000000" w:rsidRPr="00A316DA" w:rsidP="00A316DA">
            <w:pPr>
              <w:pStyle w:val="ListBullet"/>
            </w:pPr>
            <w:r w:rsidRPr="00A316DA">
              <w:t>live power lines</w:t>
            </w:r>
          </w:p>
          <w:p w:rsidR="00000000" w:rsidRPr="00A316DA" w:rsidP="00A316DA">
            <w:pPr>
              <w:pStyle w:val="ListBullet"/>
            </w:pPr>
            <w:r w:rsidRPr="00A316DA">
              <w:t>manual handling</w:t>
            </w:r>
          </w:p>
          <w:p w:rsidR="00000000" w:rsidRPr="00A316DA" w:rsidP="00A316DA">
            <w:pPr>
              <w:pStyle w:val="ListBullet"/>
            </w:pPr>
            <w:r w:rsidRPr="00A316DA">
              <w:t>mud and water</w:t>
            </w:r>
          </w:p>
          <w:p w:rsidR="00000000" w:rsidRPr="00A316DA" w:rsidP="00A316DA">
            <w:pPr>
              <w:pStyle w:val="ListBullet"/>
            </w:pPr>
            <w:r w:rsidRPr="00A316DA">
              <w:t>natural gas and other gas build-up</w:t>
            </w:r>
          </w:p>
          <w:p w:rsidR="00000000" w:rsidRPr="00A316DA" w:rsidP="00A316DA">
            <w:pPr>
              <w:pStyle w:val="ListBullet"/>
            </w:pPr>
            <w:r w:rsidRPr="00A316DA">
              <w:t>needle stick injury</w:t>
            </w:r>
          </w:p>
          <w:p w:rsidR="00000000" w:rsidRPr="00A316DA" w:rsidP="00A316DA">
            <w:pPr>
              <w:pStyle w:val="ListBullet"/>
            </w:pPr>
            <w:r w:rsidRPr="00A316DA">
              <w:t>optical fibre cable, which may contain hazardous light</w:t>
            </w:r>
          </w:p>
          <w:p w:rsidR="00000000" w:rsidRPr="00A316DA" w:rsidP="00A316DA">
            <w:pPr>
              <w:pStyle w:val="ListBullet"/>
            </w:pPr>
            <w:r w:rsidRPr="00A316DA">
              <w:t>radio frequency (RF) equipment emitting radiation</w:t>
            </w:r>
          </w:p>
          <w:p w:rsidR="00000000" w:rsidRPr="00A316DA" w:rsidP="00A316DA">
            <w:pPr>
              <w:pStyle w:val="ListBullet"/>
            </w:pPr>
            <w:r w:rsidRPr="00A316DA">
              <w:t>remote power feeding services that operate at above telecommunications network voltage (TNV)</w:t>
            </w:r>
          </w:p>
          <w:p w:rsidR="00000000" w:rsidP="00A316DA">
            <w:pPr>
              <w:pStyle w:val="ListBullet"/>
              <w:rPr>
                <w:lang w:val="en-NZ"/>
              </w:rPr>
            </w:pPr>
            <w:r w:rsidRPr="00A316DA">
              <w:t>vermin.</w:t>
            </w:r>
          </w:p>
        </w:tc>
      </w:tr>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BoldandItalics"/>
              </w:rPr>
              <w:t xml:space="preserve">Material supplies </w:t>
            </w:r>
            <w:r w:rsidRPr="00A316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ListBullet"/>
            </w:pPr>
            <w:r w:rsidRPr="00A316DA">
              <w:t>back shelf cards</w:t>
            </w:r>
          </w:p>
          <w:p w:rsidR="00000000" w:rsidRPr="00A316DA" w:rsidP="00A316DA">
            <w:pPr>
              <w:pStyle w:val="ListBullet"/>
            </w:pPr>
            <w:r w:rsidRPr="00A316DA">
              <w:t>cable racks</w:t>
            </w:r>
          </w:p>
          <w:p w:rsidR="00000000" w:rsidRPr="00A316DA" w:rsidP="00A316DA">
            <w:pPr>
              <w:pStyle w:val="ListBullet"/>
            </w:pPr>
            <w:r w:rsidRPr="00A316DA">
              <w:t>cable trays, nuts and bolts</w:t>
            </w:r>
          </w:p>
          <w:p w:rsidR="00000000" w:rsidRPr="00A316DA" w:rsidP="00A316DA">
            <w:pPr>
              <w:pStyle w:val="ListBullet"/>
            </w:pPr>
            <w:r w:rsidRPr="00A316DA">
              <w:t>distribution frames or blocks</w:t>
            </w:r>
          </w:p>
          <w:p w:rsidR="00000000" w:rsidRPr="00A316DA" w:rsidP="00A316DA">
            <w:pPr>
              <w:pStyle w:val="ListBullet"/>
            </w:pPr>
            <w:r w:rsidRPr="00A316DA">
              <w:t>earth terminal and rod</w:t>
            </w:r>
          </w:p>
          <w:p w:rsidR="00000000" w:rsidRPr="00A316DA" w:rsidP="00A316DA">
            <w:pPr>
              <w:pStyle w:val="ListBullet"/>
            </w:pPr>
            <w:r w:rsidRPr="00A316DA">
              <w:t>frames and c</w:t>
            </w:r>
            <w:r w:rsidRPr="00A316DA">
              <w:t>abinets</w:t>
            </w:r>
          </w:p>
          <w:p w:rsidR="00000000" w:rsidRPr="00A316DA" w:rsidP="00A316DA">
            <w:pPr>
              <w:pStyle w:val="ListBullet"/>
            </w:pPr>
            <w:r w:rsidRPr="00A316DA">
              <w:t>insulation blocks</w:t>
            </w:r>
          </w:p>
          <w:p w:rsidR="00000000" w:rsidRPr="00A316DA" w:rsidP="00A316DA">
            <w:pPr>
              <w:pStyle w:val="ListBullet"/>
            </w:pPr>
            <w:r w:rsidRPr="00A316DA">
              <w:t>iron support structures</w:t>
            </w:r>
          </w:p>
          <w:p w:rsidR="00000000" w:rsidRPr="00A316DA" w:rsidP="00A316DA">
            <w:pPr>
              <w:pStyle w:val="ListBullet"/>
            </w:pPr>
            <w:r w:rsidRPr="00A316DA">
              <w:t>jumper wire</w:t>
            </w:r>
          </w:p>
          <w:p w:rsidR="00000000" w:rsidRPr="00A316DA" w:rsidP="00A316DA">
            <w:pPr>
              <w:pStyle w:val="ListBullet"/>
            </w:pPr>
            <w:r w:rsidRPr="00A316DA">
              <w:t>lacing, twine and cable ties</w:t>
            </w:r>
          </w:p>
          <w:p w:rsidR="00000000" w:rsidRPr="00A316DA" w:rsidP="00A316DA">
            <w:pPr>
              <w:pStyle w:val="ListBullet"/>
            </w:pPr>
            <w:r w:rsidRPr="00A316DA">
              <w:t>patch panels</w:t>
            </w:r>
          </w:p>
          <w:p w:rsidR="00000000" w:rsidP="00A316DA">
            <w:pPr>
              <w:pStyle w:val="ListBullet"/>
              <w:rPr>
                <w:lang w:val="en-NZ"/>
              </w:rPr>
            </w:pPr>
            <w:r w:rsidRPr="00A316DA">
              <w:t>termination blocks.</w:t>
            </w:r>
          </w:p>
        </w:tc>
      </w:tr>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BoldandItalics"/>
              </w:rPr>
              <w:t xml:space="preserve">Safety equipment </w:t>
            </w:r>
            <w:r w:rsidRPr="00A316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ListBullet"/>
            </w:pPr>
            <w:r w:rsidRPr="00A316DA">
              <w:t>electrical isolators</w:t>
            </w:r>
          </w:p>
          <w:p w:rsidR="00000000" w:rsidRPr="00A316DA" w:rsidP="00A316DA">
            <w:pPr>
              <w:pStyle w:val="ListBullet"/>
            </w:pPr>
            <w:r w:rsidRPr="00A316DA">
              <w:t>elevated work platforms (EWP)</w:t>
            </w:r>
          </w:p>
          <w:p w:rsidR="00000000" w:rsidRPr="00A316DA" w:rsidP="00A316DA">
            <w:pPr>
              <w:pStyle w:val="ListBullet"/>
            </w:pPr>
            <w:r w:rsidRPr="00A316DA">
              <w:t>harnesses</w:t>
            </w:r>
          </w:p>
          <w:p w:rsidR="00000000" w:rsidRPr="00A316DA" w:rsidP="00A316DA">
            <w:pPr>
              <w:pStyle w:val="ListBullet"/>
            </w:pPr>
            <w:r w:rsidRPr="00A316DA">
              <w:t>manual lifters</w:t>
            </w:r>
          </w:p>
          <w:p w:rsidR="00000000" w:rsidRPr="00A316DA" w:rsidP="00A316DA">
            <w:pPr>
              <w:pStyle w:val="ListBullet"/>
            </w:pPr>
            <w:r w:rsidRPr="00A316DA">
              <w:t>personal protective equipment:</w:t>
            </w:r>
          </w:p>
          <w:p w:rsidR="00000000" w:rsidRPr="00A316DA" w:rsidP="00A316DA">
            <w:pPr>
              <w:pStyle w:val="ListBullet2"/>
            </w:pPr>
            <w:r w:rsidRPr="00A316DA">
              <w:t>acid proof clothing</w:t>
            </w:r>
          </w:p>
          <w:p w:rsidR="00000000" w:rsidRPr="00A316DA" w:rsidP="00A316DA">
            <w:pPr>
              <w:pStyle w:val="ListBullet2"/>
            </w:pPr>
            <w:r w:rsidRPr="00A316DA">
              <w:t>earmuffs</w:t>
            </w:r>
          </w:p>
          <w:p w:rsidR="00000000" w:rsidRPr="00A316DA" w:rsidP="00A316DA">
            <w:pPr>
              <w:pStyle w:val="ListBullet2"/>
            </w:pPr>
            <w:r w:rsidRPr="00A316DA">
              <w:t>face masks</w:t>
            </w:r>
          </w:p>
          <w:p w:rsidR="00000000" w:rsidRPr="00A316DA" w:rsidP="00A316DA">
            <w:pPr>
              <w:pStyle w:val="ListBullet2"/>
            </w:pPr>
            <w:r w:rsidRPr="00A316DA">
              <w:t xml:space="preserve">gloves </w:t>
            </w:r>
          </w:p>
          <w:p w:rsidR="00000000" w:rsidRPr="00A316DA" w:rsidP="00A316DA">
            <w:pPr>
              <w:pStyle w:val="ListBullet2"/>
            </w:pPr>
            <w:r w:rsidRPr="00A316DA">
              <w:t>head protection</w:t>
            </w:r>
          </w:p>
          <w:p w:rsidR="00000000" w:rsidRPr="00A316DA" w:rsidP="00A316DA">
            <w:pPr>
              <w:pStyle w:val="ListBullet2"/>
            </w:pPr>
            <w:r w:rsidRPr="00A316DA">
              <w:t>kneepads</w:t>
            </w:r>
          </w:p>
          <w:p w:rsidR="00000000" w:rsidRPr="00A316DA" w:rsidP="00A316DA">
            <w:pPr>
              <w:pStyle w:val="ListBullet2"/>
            </w:pPr>
            <w:r w:rsidRPr="00A316DA">
              <w:t>safety boots</w:t>
            </w:r>
          </w:p>
          <w:p w:rsidR="00000000" w:rsidRPr="00A316DA" w:rsidP="00A316DA">
            <w:pPr>
              <w:pStyle w:val="ListBullet2"/>
            </w:pPr>
            <w:r w:rsidRPr="00A316DA">
              <w:t>safety glasses</w:t>
            </w:r>
          </w:p>
          <w:p w:rsidR="00000000" w:rsidP="00A316DA">
            <w:pPr>
              <w:pStyle w:val="ListBullet"/>
              <w:rPr>
                <w:lang w:val="en-NZ"/>
              </w:rPr>
            </w:pPr>
            <w:r w:rsidRPr="00A316DA">
              <w:t>safety barriers.</w:t>
            </w:r>
          </w:p>
        </w:tc>
      </w:tr>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BoldandItalics"/>
              </w:rPr>
              <w:t xml:space="preserve">Resources </w:t>
            </w:r>
            <w:r w:rsidRPr="00A316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ListBullet"/>
            </w:pPr>
            <w:r w:rsidRPr="00A316DA">
              <w:t>finance</w:t>
            </w:r>
          </w:p>
          <w:p w:rsidR="00000000" w:rsidRPr="00A316DA" w:rsidP="00A316DA">
            <w:pPr>
              <w:pStyle w:val="ListBullet"/>
            </w:pPr>
            <w:r w:rsidRPr="00A316DA">
              <w:t>labour</w:t>
            </w:r>
          </w:p>
          <w:p w:rsidR="00000000" w:rsidRPr="00A316DA" w:rsidP="00A316DA">
            <w:pPr>
              <w:pStyle w:val="ListBullet"/>
            </w:pPr>
            <w:r w:rsidRPr="00A316DA">
              <w:t>materials</w:t>
            </w:r>
          </w:p>
          <w:p w:rsidR="00000000" w:rsidRPr="00A316DA" w:rsidP="00A316DA">
            <w:pPr>
              <w:pStyle w:val="ListBullet"/>
            </w:pPr>
            <w:r w:rsidRPr="00A316DA">
              <w:t>tools and test equipment</w:t>
            </w:r>
          </w:p>
          <w:p w:rsidR="00000000" w:rsidP="00A316DA">
            <w:pPr>
              <w:pStyle w:val="ListBullet"/>
              <w:rPr>
                <w:lang w:val="en-NZ"/>
              </w:rPr>
            </w:pPr>
            <w:r w:rsidRPr="00A316DA">
              <w:t>vehicles.</w:t>
            </w:r>
          </w:p>
        </w:tc>
      </w:tr>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BoldandItalics"/>
              </w:rPr>
              <w:t xml:space="preserve">Tools and test equipment </w:t>
            </w:r>
            <w:r w:rsidRPr="00A316DA">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ListBullet"/>
            </w:pPr>
            <w:r w:rsidRPr="00A316DA">
              <w:t>test equipment:</w:t>
            </w:r>
          </w:p>
          <w:p w:rsidR="00000000" w:rsidRPr="00A316DA" w:rsidP="00A316DA">
            <w:pPr>
              <w:pStyle w:val="ListBullet2"/>
            </w:pPr>
            <w:r w:rsidRPr="00A316DA">
              <w:t>anti-static testers</w:t>
            </w:r>
          </w:p>
          <w:p w:rsidR="00000000" w:rsidRPr="00A316DA" w:rsidP="00A316DA">
            <w:pPr>
              <w:pStyle w:val="ListBullet2"/>
            </w:pPr>
            <w:r w:rsidRPr="00A316DA">
              <w:t>cable testers</w:t>
            </w:r>
          </w:p>
          <w:p w:rsidR="00000000" w:rsidRPr="00A316DA" w:rsidP="00A316DA">
            <w:pPr>
              <w:pStyle w:val="ListBullet2"/>
            </w:pPr>
            <w:r w:rsidRPr="00A316DA">
              <w:t>displacement tools</w:t>
            </w:r>
          </w:p>
          <w:p w:rsidR="00000000" w:rsidRPr="00A316DA" w:rsidP="00A316DA">
            <w:pPr>
              <w:pStyle w:val="ListBullet2"/>
            </w:pPr>
            <w:r w:rsidRPr="00A316DA">
              <w:t>humidity and temperature testers</w:t>
            </w:r>
          </w:p>
          <w:p w:rsidR="00000000" w:rsidRPr="00A316DA" w:rsidP="00A316DA">
            <w:pPr>
              <w:pStyle w:val="ListBullet2"/>
            </w:pPr>
            <w:r w:rsidRPr="00A316DA">
              <w:t>insulation testers</w:t>
            </w:r>
          </w:p>
          <w:p w:rsidR="00000000" w:rsidRPr="00A316DA" w:rsidP="00A316DA">
            <w:pPr>
              <w:pStyle w:val="ListBullet2"/>
            </w:pPr>
            <w:r w:rsidRPr="00A316DA">
              <w:t>load testers</w:t>
            </w:r>
          </w:p>
          <w:p w:rsidR="00000000" w:rsidRPr="00A316DA" w:rsidP="00A316DA">
            <w:pPr>
              <w:pStyle w:val="ListBullet2"/>
            </w:pPr>
            <w:r w:rsidRPr="00A316DA">
              <w:t>multimeters</w:t>
            </w:r>
          </w:p>
          <w:p w:rsidR="00000000" w:rsidRPr="00A316DA" w:rsidP="00A316DA">
            <w:pPr>
              <w:pStyle w:val="ListBullet2"/>
            </w:pPr>
            <w:r w:rsidRPr="00A316DA">
              <w:t>optical fibre power meters</w:t>
            </w:r>
          </w:p>
          <w:p w:rsidR="00000000" w:rsidRPr="00A316DA" w:rsidP="00A316DA">
            <w:pPr>
              <w:pStyle w:val="ListBullet2"/>
            </w:pPr>
            <w:r w:rsidRPr="00A316DA">
              <w:t>oscilloscopes</w:t>
            </w:r>
          </w:p>
          <w:p w:rsidR="00000000" w:rsidRPr="00A316DA" w:rsidP="00A316DA">
            <w:pPr>
              <w:pStyle w:val="ListBullet2"/>
            </w:pPr>
            <w:r w:rsidRPr="00A316DA">
              <w:t>tong meters</w:t>
            </w:r>
          </w:p>
          <w:p w:rsidR="00000000" w:rsidRPr="00A316DA" w:rsidP="00A316DA">
            <w:pPr>
              <w:pStyle w:val="ListBullet2"/>
            </w:pPr>
            <w:r w:rsidRPr="00A316DA">
              <w:t>volt meters</w:t>
            </w:r>
          </w:p>
          <w:p w:rsidR="00000000" w:rsidRPr="00A316DA" w:rsidP="00A316DA">
            <w:pPr>
              <w:pStyle w:val="ListBullet"/>
            </w:pPr>
            <w:r w:rsidRPr="00A316DA">
              <w:t>tools:</w:t>
            </w:r>
          </w:p>
          <w:p w:rsidR="00000000" w:rsidRPr="00A316DA" w:rsidP="00A316DA">
            <w:pPr>
              <w:pStyle w:val="ListBullet2"/>
            </w:pPr>
            <w:r w:rsidRPr="00A316DA">
              <w:t xml:space="preserve">anti-static wrist strap </w:t>
            </w:r>
          </w:p>
          <w:p w:rsidR="00000000" w:rsidRPr="00A316DA" w:rsidP="00A316DA">
            <w:pPr>
              <w:pStyle w:val="ListBullet2"/>
            </w:pPr>
            <w:r w:rsidRPr="00A316DA">
              <w:t>PC board or sub-rack removal tool</w:t>
            </w:r>
          </w:p>
          <w:p w:rsidR="00000000" w:rsidRPr="00A316DA" w:rsidP="00A316DA">
            <w:pPr>
              <w:pStyle w:val="ListBullet2"/>
            </w:pPr>
            <w:r w:rsidRPr="00A316DA">
              <w:t>pliers</w:t>
            </w:r>
          </w:p>
          <w:p w:rsidR="00000000" w:rsidRPr="00A316DA" w:rsidP="00A316DA">
            <w:pPr>
              <w:pStyle w:val="ListBullet2"/>
            </w:pPr>
            <w:r w:rsidRPr="00A316DA">
              <w:t>power drills</w:t>
            </w:r>
          </w:p>
          <w:p w:rsidR="00000000" w:rsidRPr="00A316DA" w:rsidP="00A316DA">
            <w:pPr>
              <w:pStyle w:val="ListBullet2"/>
            </w:pPr>
            <w:r w:rsidRPr="00A316DA">
              <w:t>screwdrivers</w:t>
            </w:r>
          </w:p>
          <w:p w:rsidR="00000000" w:rsidRPr="00A316DA" w:rsidP="00A316DA">
            <w:pPr>
              <w:pStyle w:val="ListBullet2"/>
            </w:pPr>
            <w:r w:rsidRPr="00A316DA">
              <w:t>sockets</w:t>
            </w:r>
          </w:p>
          <w:p w:rsidR="00000000" w:rsidRPr="00A316DA" w:rsidP="00A316DA">
            <w:pPr>
              <w:pStyle w:val="ListBullet2"/>
            </w:pPr>
            <w:r w:rsidRPr="00A316DA">
              <w:t>soldering irons</w:t>
            </w:r>
          </w:p>
          <w:p w:rsidR="00000000" w:rsidP="00A316DA">
            <w:pPr>
              <w:pStyle w:val="ListBullet2"/>
              <w:rPr>
                <w:lang w:val="en-NZ"/>
              </w:rPr>
            </w:pPr>
            <w:r w:rsidRPr="00A316DA">
              <w:t>spanners.</w:t>
            </w:r>
          </w:p>
        </w:tc>
      </w:tr>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BoldandItalics"/>
              </w:rPr>
              <w:t xml:space="preserve">WHS and environmental requirements </w:t>
            </w:r>
            <w:r w:rsidRPr="00A316DA">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ListBullet"/>
            </w:pPr>
            <w:r w:rsidRPr="00A316DA">
              <w:t>decommissioning and isolating work site and lines before work begins</w:t>
            </w:r>
          </w:p>
          <w:p w:rsidR="00000000" w:rsidRPr="00A316DA" w:rsidP="00A316DA">
            <w:pPr>
              <w:pStyle w:val="ListBullet"/>
            </w:pPr>
            <w:r w:rsidRPr="00A316DA">
              <w:t>environmental considerations:</w:t>
            </w:r>
          </w:p>
          <w:p w:rsidR="00000000" w:rsidRPr="00A316DA" w:rsidP="00A316DA">
            <w:pPr>
              <w:pStyle w:val="ListBullet2"/>
            </w:pPr>
            <w:r w:rsidRPr="00A316DA">
              <w:t>clean-up protection</w:t>
            </w:r>
          </w:p>
          <w:p w:rsidR="00000000" w:rsidRPr="00A316DA" w:rsidP="00A316DA">
            <w:pPr>
              <w:pStyle w:val="ListBullet2"/>
            </w:pPr>
            <w:r w:rsidRPr="00A316DA">
              <w:t>stormwater protection</w:t>
            </w:r>
          </w:p>
          <w:p w:rsidR="00000000" w:rsidRPr="00A316DA" w:rsidP="00A316DA">
            <w:pPr>
              <w:pStyle w:val="ListBullet2"/>
            </w:pPr>
            <w:r w:rsidRPr="00A316DA">
              <w:t>waste management</w:t>
            </w:r>
          </w:p>
          <w:p w:rsidR="00000000" w:rsidRPr="00A316DA" w:rsidP="00A316DA">
            <w:pPr>
              <w:pStyle w:val="ListBullet"/>
            </w:pPr>
            <w:r w:rsidRPr="00A316DA">
              <w:t>identifying other services, including power and gas</w:t>
            </w:r>
          </w:p>
          <w:p w:rsidR="00000000" w:rsidRPr="00A316DA" w:rsidP="00A316DA">
            <w:pPr>
              <w:pStyle w:val="ListBullet"/>
            </w:pPr>
            <w:r w:rsidRPr="00A316DA">
              <w:t>safety equipment:</w:t>
            </w:r>
          </w:p>
          <w:p w:rsidR="00000000" w:rsidRPr="00A316DA" w:rsidP="00A316DA">
            <w:pPr>
              <w:pStyle w:val="ListBullet2"/>
            </w:pPr>
            <w:r w:rsidRPr="00A316DA">
              <w:t>flashing lights</w:t>
            </w:r>
          </w:p>
          <w:p w:rsidR="00000000" w:rsidRPr="00A316DA" w:rsidP="00A316DA">
            <w:pPr>
              <w:pStyle w:val="ListBullet2"/>
            </w:pPr>
            <w:r w:rsidRPr="00A316DA">
              <w:t>gas and other hazard detection equipment</w:t>
            </w:r>
          </w:p>
          <w:p w:rsidR="00000000" w:rsidRPr="00A316DA" w:rsidP="00A316DA">
            <w:pPr>
              <w:pStyle w:val="ListBullet2"/>
            </w:pPr>
            <w:r w:rsidRPr="00A316DA">
              <w:t>safety barriers</w:t>
            </w:r>
          </w:p>
          <w:p w:rsidR="00000000" w:rsidRPr="00A316DA" w:rsidP="00A316DA">
            <w:pPr>
              <w:pStyle w:val="ListBullet2"/>
            </w:pPr>
            <w:r w:rsidRPr="00A316DA">
              <w:t>trench guards</w:t>
            </w:r>
          </w:p>
          <w:p w:rsidR="00000000" w:rsidRPr="00A316DA" w:rsidP="00A316DA">
            <w:pPr>
              <w:pStyle w:val="ListBullet2"/>
            </w:pPr>
            <w:r w:rsidRPr="00A316DA">
              <w:t>warning</w:t>
            </w:r>
            <w:r w:rsidRPr="00A316DA">
              <w:t xml:space="preserve"> signs and tapes</w:t>
            </w:r>
          </w:p>
          <w:p w:rsidR="00000000" w:rsidRPr="00A316DA" w:rsidP="00A316DA">
            <w:pPr>
              <w:pStyle w:val="ListBullet2"/>
            </w:pPr>
            <w:r w:rsidRPr="00A316DA">
              <w:t>witches hats</w:t>
            </w:r>
          </w:p>
          <w:p w:rsidR="00000000" w:rsidRPr="00A316DA" w:rsidP="00A316DA">
            <w:pPr>
              <w:pStyle w:val="ListBullet"/>
            </w:pPr>
            <w:r w:rsidRPr="00A316DA">
              <w:t>safe work practices, such as the safe use and handling of:</w:t>
            </w:r>
          </w:p>
          <w:p w:rsidR="00000000" w:rsidRPr="00A316DA" w:rsidP="00A316DA">
            <w:pPr>
              <w:pStyle w:val="ListBullet2"/>
            </w:pPr>
            <w:r w:rsidRPr="00A316DA">
              <w:t>asbestos</w:t>
            </w:r>
          </w:p>
          <w:p w:rsidR="00000000" w:rsidRPr="00A316DA" w:rsidP="00A316DA">
            <w:pPr>
              <w:pStyle w:val="ListBullet2"/>
            </w:pPr>
            <w:r w:rsidRPr="00A316DA">
              <w:t>chemicals</w:t>
            </w:r>
          </w:p>
          <w:p w:rsidR="00000000" w:rsidRPr="00A316DA" w:rsidP="00A316DA">
            <w:pPr>
              <w:pStyle w:val="ListBullet2"/>
            </w:pPr>
            <w:r w:rsidRPr="00A316DA">
              <w:t>materials</w:t>
            </w:r>
          </w:p>
          <w:p w:rsidR="00000000" w:rsidRPr="00A316DA" w:rsidP="00A316DA">
            <w:pPr>
              <w:pStyle w:val="ListBullet2"/>
            </w:pPr>
            <w:r w:rsidRPr="00A316DA">
              <w:t>tools and equipment</w:t>
            </w:r>
          </w:p>
          <w:p w:rsidR="00000000" w:rsidRPr="00A316DA" w:rsidP="00A316DA">
            <w:pPr>
              <w:pStyle w:val="ListBullet2"/>
            </w:pPr>
            <w:r w:rsidRPr="00A316DA">
              <w:t>work platforms</w:t>
            </w:r>
          </w:p>
          <w:p w:rsidR="00000000" w:rsidRPr="00A316DA" w:rsidP="00A316DA">
            <w:pPr>
              <w:pStyle w:val="ListBullet"/>
            </w:pPr>
            <w:r w:rsidRPr="00A316DA">
              <w:t>special access requirements</w:t>
            </w:r>
          </w:p>
          <w:p w:rsidR="00000000" w:rsidP="00A316DA">
            <w:pPr>
              <w:pStyle w:val="ListBullet"/>
              <w:rPr>
                <w:lang w:val="en-NZ"/>
              </w:rPr>
            </w:pPr>
            <w:r w:rsidRPr="00A316DA">
              <w:t>suitable light and ventilation.</w:t>
            </w:r>
          </w:p>
        </w:tc>
      </w:tr>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BoldandItalics"/>
              </w:rPr>
              <w:t xml:space="preserve">Power distribution work </w:t>
            </w:r>
            <w:r w:rsidRPr="00A316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ListBullet"/>
            </w:pPr>
            <w:r w:rsidRPr="00A316DA">
              <w:t>240V rectifier panels</w:t>
            </w:r>
          </w:p>
          <w:p w:rsidR="00000000" w:rsidRPr="00A316DA" w:rsidP="00A316DA">
            <w:pPr>
              <w:pStyle w:val="ListBullet"/>
            </w:pPr>
            <w:r w:rsidRPr="00A316DA">
              <w:t>back-up motor generator set</w:t>
            </w:r>
          </w:p>
          <w:p w:rsidR="00000000" w:rsidRPr="00A316DA" w:rsidP="00A316DA">
            <w:pPr>
              <w:pStyle w:val="ListBullet"/>
            </w:pPr>
            <w:r w:rsidRPr="00A316DA">
              <w:t>certifying electrical installation</w:t>
            </w:r>
          </w:p>
          <w:p w:rsidR="00000000" w:rsidRPr="00A316DA" w:rsidP="00A316DA">
            <w:pPr>
              <w:pStyle w:val="ListBullet"/>
            </w:pPr>
            <w:r w:rsidRPr="00A316DA">
              <w:t>installation of power distribution panel and cables</w:t>
            </w:r>
          </w:p>
          <w:p w:rsidR="00000000" w:rsidRPr="00A316DA" w:rsidP="00A316DA">
            <w:pPr>
              <w:pStyle w:val="ListBullet"/>
            </w:pPr>
            <w:r w:rsidRPr="00A316DA">
              <w:t>termination and connection of power cables to equipment</w:t>
            </w:r>
          </w:p>
          <w:p w:rsidR="00000000" w:rsidP="00A316DA">
            <w:pPr>
              <w:pStyle w:val="ListBullet"/>
              <w:rPr>
                <w:lang w:val="en-NZ"/>
              </w:rPr>
            </w:pPr>
            <w:r w:rsidRPr="00A316DA">
              <w:t>testing of electrical cabling.</w:t>
            </w:r>
          </w:p>
        </w:tc>
      </w:tr>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BoldandItalics"/>
              </w:rPr>
              <w:t xml:space="preserve">Qualified personnel </w:t>
            </w:r>
            <w:r w:rsidRPr="00A316DA">
              <w:t>may include</w:t>
            </w:r>
            <w:r w:rsidRPr="00A316DA">
              <w: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ListBullet"/>
            </w:pPr>
            <w:r w:rsidRPr="00A316DA">
              <w:t>confined spaces worker</w:t>
            </w:r>
          </w:p>
          <w:p w:rsidR="00000000" w:rsidRPr="00A316DA" w:rsidP="00A316DA">
            <w:pPr>
              <w:pStyle w:val="ListBullet"/>
            </w:pPr>
            <w:r w:rsidRPr="00A316DA">
              <w:t>electrical contractor</w:t>
            </w:r>
          </w:p>
          <w:p w:rsidR="00000000" w:rsidRPr="00A316DA" w:rsidP="00A316DA">
            <w:pPr>
              <w:pStyle w:val="ListBullet"/>
            </w:pPr>
            <w:r w:rsidRPr="00A316DA">
              <w:t>internal electrician</w:t>
            </w:r>
          </w:p>
          <w:p w:rsidR="00000000" w:rsidRPr="00A316DA" w:rsidP="00A316DA">
            <w:pPr>
              <w:pStyle w:val="ListBullet"/>
            </w:pPr>
            <w:r w:rsidRPr="00A316DA">
              <w:t>lines worker</w:t>
            </w:r>
          </w:p>
          <w:p w:rsidR="00000000" w:rsidRPr="00A316DA" w:rsidP="00A316DA">
            <w:pPr>
              <w:pStyle w:val="ListBullet"/>
            </w:pPr>
            <w:r w:rsidRPr="00A316DA">
              <w:t>power company staff</w:t>
            </w:r>
          </w:p>
          <w:p w:rsidR="00000000" w:rsidP="00A316DA">
            <w:pPr>
              <w:pStyle w:val="ListBullet"/>
              <w:rPr>
                <w:lang w:val="en-NZ"/>
              </w:rPr>
            </w:pPr>
            <w:r w:rsidRPr="00A316DA">
              <w:t>track worker.</w:t>
            </w:r>
          </w:p>
        </w:tc>
      </w:tr>
      <w:tr w:rsidTr="00A316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DA">
            <w:pPr>
              <w:pStyle w:val="BodyText"/>
              <w:rPr>
                <w:lang w:val="en-NZ"/>
              </w:rPr>
            </w:pPr>
            <w:r w:rsidRPr="00A316DA">
              <w:rPr>
                <w:rStyle w:val="BoldandItalics"/>
              </w:rPr>
              <w:t xml:space="preserve">Labels and designations </w:t>
            </w:r>
            <w:r w:rsidRPr="00A316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DA" w:rsidP="00A316DA">
            <w:pPr>
              <w:pStyle w:val="ListBullet"/>
            </w:pPr>
            <w:r w:rsidRPr="00A316DA">
              <w:t>cabinets</w:t>
            </w:r>
          </w:p>
          <w:p w:rsidR="00000000" w:rsidRPr="00A316DA" w:rsidP="00A316DA">
            <w:pPr>
              <w:pStyle w:val="ListBullet"/>
            </w:pPr>
            <w:r w:rsidRPr="00A316DA">
              <w:t>cables</w:t>
            </w:r>
          </w:p>
          <w:p w:rsidR="00000000" w:rsidRPr="00A316DA" w:rsidP="00A316DA">
            <w:pPr>
              <w:pStyle w:val="ListBullet"/>
            </w:pPr>
            <w:r w:rsidRPr="00A316DA">
              <w:t>distribution panels</w:t>
            </w:r>
          </w:p>
          <w:p w:rsidR="00000000" w:rsidRPr="00A316DA" w:rsidP="00A316DA">
            <w:pPr>
              <w:pStyle w:val="ListBullet"/>
            </w:pPr>
            <w:r w:rsidRPr="00A316DA">
              <w:t>racks</w:t>
            </w:r>
          </w:p>
          <w:p w:rsidR="00000000" w:rsidRPr="00A316DA" w:rsidP="00A316DA">
            <w:pPr>
              <w:pStyle w:val="ListBullet"/>
            </w:pPr>
            <w:r w:rsidRPr="00A316DA">
              <w:t>vendor labels.</w:t>
            </w:r>
          </w:p>
        </w:tc>
      </w:tr>
    </w:tbl>
    <w:p w:rsidR="00000000" w:rsidRPr="00A316DA" w:rsidP="00A316DA">
      <w:pPr>
        <w:pStyle w:val="BodyText"/>
      </w:pPr>
    </w:p>
    <w:p w:rsidR="00000000" w:rsidRPr="00A316DA" w:rsidP="00A316DA">
      <w:pPr>
        <w:pStyle w:val="AllowPageBreak"/>
      </w:pPr>
    </w:p>
    <w:p w:rsidR="00000000" w:rsidRPr="00A316DA" w:rsidP="00A316DA">
      <w:pPr>
        <w:pStyle w:val="Heading1"/>
      </w:pPr>
      <w:bookmarkStart w:id="12" w:name="O_640211"/>
      <w:bookmarkEnd w:id="12"/>
      <w:r w:rsidRPr="00A316DA">
        <w:t>Unit Sector(s)</w:t>
      </w:r>
    </w:p>
    <w:p w:rsidR="00000000" w:rsidRPr="00A316DA" w:rsidP="00A316DA">
      <w:pPr>
        <w:pStyle w:val="BodyText"/>
      </w:pPr>
      <w:r w:rsidRPr="00A316DA">
        <w:t>Telecommunications - Telecommunications networks engineering</w:t>
      </w:r>
    </w:p>
    <w:p w:rsidR="00000000" w:rsidRPr="00A316DA" w:rsidP="00A316DA"/>
    <w:sectPr w:rsidSect="00A316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DA" w:rsidRPr="001922E0" w:rsidP="001922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E0" w:rsidP="00A316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922E0" w:rsidP="00A316D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22E0" w:rsidP="00A316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DA" w:rsidRPr="001922E0" w:rsidP="001922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E0" w:rsidRPr="002D2AF8" w:rsidP="00A316DA">
    <w:pPr>
      <w:pStyle w:val="Header"/>
      <w:framePr w:wrap="around"/>
    </w:pPr>
    <w:r>
      <w:fldChar w:fldCharType="begin"/>
    </w:r>
    <w:r>
      <w:instrText xml:space="preserve"> TITLE   \* MERGEFORMAT </w:instrText>
    </w:r>
    <w:r>
      <w:fldChar w:fldCharType="separate"/>
    </w:r>
    <w:r>
      <w:t>ICTTEN4245A Design infrastructure for telecommunications network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1922E0" w:rsidP="00A316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6C06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C83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EC21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6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6DA"/>
    <w:pPr>
      <w:spacing w:before="360" w:after="60"/>
      <w:outlineLvl w:val="0"/>
    </w:pPr>
    <w:rPr>
      <w:sz w:val="32"/>
    </w:rPr>
  </w:style>
  <w:style w:type="paragraph" w:styleId="Heading2">
    <w:name w:val="heading 2"/>
    <w:basedOn w:val="HeadingBase"/>
    <w:next w:val="BodyText"/>
    <w:link w:val="Heading2Char"/>
    <w:qFormat/>
    <w:rsid w:val="00A316DA"/>
    <w:pPr>
      <w:keepLines/>
      <w:spacing w:before="240" w:after="120"/>
      <w:outlineLvl w:val="1"/>
    </w:pPr>
    <w:rPr>
      <w:sz w:val="28"/>
      <w:szCs w:val="40"/>
    </w:rPr>
  </w:style>
  <w:style w:type="paragraph" w:styleId="Heading3">
    <w:name w:val="heading 3"/>
    <w:basedOn w:val="HeadingBase"/>
    <w:next w:val="BodyText"/>
    <w:link w:val="Heading3Char"/>
    <w:qFormat/>
    <w:rsid w:val="00A316DA"/>
    <w:pPr>
      <w:spacing w:before="180" w:after="120"/>
      <w:outlineLvl w:val="2"/>
    </w:pPr>
    <w:rPr>
      <w:spacing w:val="-10"/>
      <w:kern w:val="32"/>
    </w:rPr>
  </w:style>
  <w:style w:type="paragraph" w:styleId="Heading4">
    <w:name w:val="heading 4"/>
    <w:basedOn w:val="HeadingBase"/>
    <w:next w:val="BodyText"/>
    <w:link w:val="Heading4Char"/>
    <w:qFormat/>
    <w:rsid w:val="00A316DA"/>
    <w:pPr>
      <w:spacing w:before="160" w:after="120"/>
      <w:outlineLvl w:val="3"/>
    </w:pPr>
    <w:rPr>
      <w:sz w:val="22"/>
    </w:rPr>
  </w:style>
  <w:style w:type="paragraph" w:styleId="Heading5">
    <w:name w:val="heading 5"/>
    <w:basedOn w:val="HeadingBase"/>
    <w:next w:val="Normal"/>
    <w:link w:val="Heading5Char"/>
    <w:qFormat/>
    <w:rsid w:val="00A316DA"/>
    <w:pPr>
      <w:spacing w:before="80"/>
      <w:outlineLvl w:val="4"/>
    </w:pPr>
    <w:rPr>
      <w:color w:val="918585"/>
      <w:sz w:val="20"/>
    </w:rPr>
  </w:style>
  <w:style w:type="paragraph" w:styleId="Heading6">
    <w:name w:val="heading 6"/>
    <w:basedOn w:val="HeadingBase"/>
    <w:next w:val="Normal"/>
    <w:link w:val="Heading6Char"/>
    <w:qFormat/>
    <w:rsid w:val="00A316DA"/>
    <w:pPr>
      <w:spacing w:before="60"/>
      <w:outlineLvl w:val="5"/>
    </w:pPr>
    <w:rPr>
      <w:color w:val="918585"/>
      <w:sz w:val="20"/>
    </w:rPr>
  </w:style>
  <w:style w:type="paragraph" w:styleId="Heading7">
    <w:name w:val="heading 7"/>
    <w:basedOn w:val="Normal"/>
    <w:next w:val="Normal"/>
    <w:link w:val="Heading7Char"/>
    <w:qFormat/>
    <w:rsid w:val="00A316DA"/>
    <w:pPr>
      <w:ind w:left="720"/>
      <w:outlineLvl w:val="6"/>
    </w:pPr>
    <w:rPr>
      <w:i/>
    </w:rPr>
  </w:style>
  <w:style w:type="paragraph" w:styleId="Heading8">
    <w:name w:val="heading 8"/>
    <w:basedOn w:val="Normal"/>
    <w:next w:val="Normal"/>
    <w:link w:val="Heading8Char"/>
    <w:qFormat/>
    <w:rsid w:val="00A316DA"/>
    <w:pPr>
      <w:ind w:left="720"/>
      <w:outlineLvl w:val="7"/>
    </w:pPr>
    <w:rPr>
      <w:i/>
    </w:rPr>
  </w:style>
  <w:style w:type="paragraph" w:styleId="Heading9">
    <w:name w:val="heading 9"/>
    <w:basedOn w:val="Normal"/>
    <w:next w:val="Normal"/>
    <w:link w:val="Heading9Char"/>
    <w:qFormat/>
    <w:rsid w:val="00A316DA"/>
    <w:pPr>
      <w:ind w:left="720"/>
      <w:outlineLvl w:val="8"/>
    </w:pPr>
    <w:rPr>
      <w:i/>
    </w:rPr>
  </w:style>
  <w:style w:type="character" w:default="1" w:styleId="DefaultParagraphFont">
    <w:name w:val="Default Paragraph Font"/>
    <w:uiPriority w:val="1"/>
    <w:unhideWhenUsed/>
    <w:rsid w:val="00A316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6DA"/>
  </w:style>
  <w:style w:type="character" w:customStyle="1" w:styleId="Heading1Char">
    <w:name w:val="Heading 1 Char"/>
    <w:basedOn w:val="DefaultParagraphFont"/>
    <w:link w:val="Heading1"/>
    <w:rsid w:val="00A316DA"/>
    <w:rPr>
      <w:rFonts w:ascii="Times New Roman" w:eastAsia="Times New Roman" w:hAnsi="Times New Roman" w:cs="Times New Roman"/>
      <w:b/>
      <w:sz w:val="32"/>
      <w:szCs w:val="20"/>
      <w:lang w:eastAsia="en-US"/>
    </w:rPr>
  </w:style>
  <w:style w:type="paragraph" w:styleId="BodyText">
    <w:name w:val="Body Text"/>
    <w:basedOn w:val="Normal"/>
    <w:link w:val="BodyTextChar"/>
    <w:rsid w:val="00A316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16DA"/>
    <w:rPr>
      <w:rFonts w:ascii="Times New Roman" w:eastAsia="Times New Roman" w:hAnsi="Times New Roman" w:cs="Times New Roman"/>
      <w:sz w:val="24"/>
      <w:lang w:eastAsia="en-US"/>
    </w:rPr>
  </w:style>
  <w:style w:type="paragraph" w:styleId="ListBullet">
    <w:name w:val="List Bullet"/>
    <w:basedOn w:val="List"/>
    <w:rsid w:val="00A316DA"/>
    <w:pPr>
      <w:numPr>
        <w:numId w:val="14"/>
      </w:numPr>
      <w:tabs>
        <w:tab w:val="clear" w:pos="340"/>
      </w:tabs>
      <w:spacing w:before="40" w:after="40"/>
    </w:pPr>
  </w:style>
  <w:style w:type="character" w:customStyle="1" w:styleId="SpecialBold">
    <w:name w:val="Special Bold"/>
    <w:basedOn w:val="DefaultParagraphFont"/>
    <w:rsid w:val="00A316DA"/>
    <w:rPr>
      <w:b/>
      <w:spacing w:val="0"/>
    </w:rPr>
  </w:style>
  <w:style w:type="paragraph" w:styleId="ListBullet2">
    <w:name w:val="List Bullet 2"/>
    <w:basedOn w:val="List2"/>
    <w:rsid w:val="00A316DA"/>
    <w:pPr>
      <w:numPr>
        <w:numId w:val="15"/>
      </w:numPr>
      <w:tabs>
        <w:tab w:val="clear" w:pos="680"/>
      </w:tabs>
    </w:pPr>
  </w:style>
  <w:style w:type="character" w:styleId="Emphasis">
    <w:name w:val="Emphasis"/>
    <w:basedOn w:val="DefaultParagraphFont"/>
    <w:qFormat/>
    <w:rsid w:val="00A316DA"/>
    <w:rPr>
      <w:i/>
    </w:rPr>
  </w:style>
  <w:style w:type="paragraph" w:customStyle="1" w:styleId="SuperHeading">
    <w:name w:val="SuperHeading"/>
    <w:basedOn w:val="Normal"/>
    <w:rsid w:val="00A316DA"/>
    <w:pPr>
      <w:spacing w:before="240" w:after="120"/>
      <w:outlineLvl w:val="0"/>
    </w:pPr>
    <w:rPr>
      <w:rFonts w:ascii="Times New Roman" w:hAnsi="Times New Roman"/>
      <w:b/>
      <w:sz w:val="32"/>
    </w:rPr>
  </w:style>
  <w:style w:type="paragraph" w:customStyle="1" w:styleId="AllowPageBreak">
    <w:name w:val="AllowPageBreak"/>
    <w:rsid w:val="00A316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316DA"/>
    <w:pPr>
      <w:numPr>
        <w:numId w:val="3"/>
      </w:numPr>
      <w:tabs>
        <w:tab w:val="clear" w:pos="1021"/>
      </w:tabs>
      <w:ind w:left="1037" w:hanging="357"/>
    </w:pPr>
  </w:style>
  <w:style w:type="character" w:customStyle="1" w:styleId="BoldandItalics">
    <w:name w:val="Bold and Italics"/>
    <w:qFormat/>
    <w:rsid w:val="00A316DA"/>
    <w:rPr>
      <w:b/>
      <w:i/>
      <w:u w:val="none"/>
    </w:rPr>
  </w:style>
  <w:style w:type="character" w:customStyle="1" w:styleId="Heading2Char">
    <w:name w:val="Heading 2 Char"/>
    <w:basedOn w:val="DefaultParagraphFont"/>
    <w:link w:val="Heading2"/>
    <w:rsid w:val="00A316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6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6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6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6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6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6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6DA"/>
    <w:rPr>
      <w:rFonts w:ascii="Courier New" w:eastAsia="Times New Roman" w:hAnsi="Courier New" w:cs="Times New Roman"/>
      <w:i/>
      <w:szCs w:val="20"/>
      <w:lang w:eastAsia="en-US"/>
    </w:rPr>
  </w:style>
  <w:style w:type="paragraph" w:customStyle="1" w:styleId="HeadingBase">
    <w:name w:val="Heading Base"/>
    <w:rsid w:val="00A316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6DA"/>
    <w:pPr>
      <w:tabs>
        <w:tab w:val="right" w:leader="dot" w:pos="9072"/>
      </w:tabs>
      <w:ind w:left="567"/>
    </w:pPr>
    <w:rPr>
      <w:szCs w:val="22"/>
    </w:rPr>
  </w:style>
  <w:style w:type="paragraph" w:customStyle="1" w:styleId="TOCBase">
    <w:name w:val="TOC Base"/>
    <w:rsid w:val="00A316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6DA"/>
    <w:pPr>
      <w:tabs>
        <w:tab w:val="right" w:leader="dot" w:pos="9072"/>
      </w:tabs>
      <w:spacing w:before="40" w:after="40"/>
      <w:ind w:left="284"/>
    </w:pPr>
    <w:rPr>
      <w:rFonts w:ascii="Times New Roman" w:hAnsi="Times New Roman"/>
    </w:rPr>
  </w:style>
  <w:style w:type="paragraph" w:styleId="TOC1">
    <w:name w:val="toc 1"/>
    <w:basedOn w:val="TOCBase"/>
    <w:next w:val="Normal"/>
    <w:rsid w:val="00A316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6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6DA"/>
    <w:rPr>
      <w:rFonts w:ascii="Times New Roman" w:eastAsia="Times New Roman" w:hAnsi="Times New Roman" w:cs="Times New Roman"/>
      <w:sz w:val="16"/>
      <w:lang w:eastAsia="en-US"/>
    </w:rPr>
  </w:style>
  <w:style w:type="paragraph" w:styleId="Title">
    <w:name w:val="Title"/>
    <w:basedOn w:val="HeadingBase"/>
    <w:link w:val="TitleChar"/>
    <w:qFormat/>
    <w:rsid w:val="00A316DA"/>
    <w:pPr>
      <w:spacing w:before="5040"/>
      <w:jc w:val="center"/>
    </w:pPr>
    <w:rPr>
      <w:sz w:val="48"/>
      <w:szCs w:val="72"/>
      <w:lang w:val="en-US"/>
    </w:rPr>
  </w:style>
  <w:style w:type="character" w:customStyle="1" w:styleId="TitleChar">
    <w:name w:val="Title Char"/>
    <w:basedOn w:val="DefaultParagraphFont"/>
    <w:link w:val="Title"/>
    <w:rsid w:val="00A316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6DA"/>
    <w:pPr>
      <w:tabs>
        <w:tab w:val="left" w:pos="3600"/>
        <w:tab w:val="left" w:pos="3958"/>
      </w:tabs>
    </w:pPr>
  </w:style>
  <w:style w:type="paragraph" w:styleId="List">
    <w:name w:val="List"/>
    <w:basedOn w:val="BodyText"/>
    <w:next w:val="BodyText"/>
    <w:rsid w:val="00A316DA"/>
    <w:pPr>
      <w:tabs>
        <w:tab w:val="left" w:pos="340"/>
      </w:tabs>
      <w:spacing w:before="60" w:after="60"/>
      <w:ind w:left="340" w:hanging="340"/>
    </w:pPr>
  </w:style>
  <w:style w:type="paragraph" w:customStyle="1" w:styleId="Note">
    <w:name w:val="Note"/>
    <w:basedOn w:val="BodyText"/>
    <w:rsid w:val="00A316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6DA"/>
    <w:pPr>
      <w:framePr w:wrap="auto" w:hAnchor="text" w:y="6049"/>
    </w:pPr>
    <w:rPr>
      <w:color w:val="000000"/>
      <w:sz w:val="40"/>
    </w:rPr>
  </w:style>
  <w:style w:type="paragraph" w:customStyle="1" w:styleId="TOCTitle">
    <w:name w:val="TOCTitle"/>
    <w:basedOn w:val="Heading1"/>
    <w:rsid w:val="00A316DA"/>
    <w:pPr>
      <w:spacing w:after="240"/>
      <w:jc w:val="center"/>
      <w:outlineLvl w:val="9"/>
    </w:pPr>
    <w:rPr>
      <w:caps/>
    </w:rPr>
  </w:style>
  <w:style w:type="paragraph" w:customStyle="1" w:styleId="Version">
    <w:name w:val="Version"/>
    <w:rsid w:val="00A316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6DA"/>
    <w:pPr>
      <w:keepNext w:val="0"/>
      <w:tabs>
        <w:tab w:val="right" w:pos="4176"/>
      </w:tabs>
      <w:ind w:left="198" w:hanging="198"/>
    </w:pPr>
    <w:rPr>
      <w:rFonts w:ascii="Garamond" w:hAnsi="Garamond"/>
    </w:rPr>
  </w:style>
  <w:style w:type="paragraph" w:styleId="IndexHeading">
    <w:name w:val="index heading"/>
    <w:basedOn w:val="Normal"/>
    <w:next w:val="Index1"/>
    <w:semiHidden/>
    <w:rsid w:val="00A316DA"/>
    <w:pPr>
      <w:spacing w:before="120" w:after="120"/>
    </w:pPr>
    <w:rPr>
      <w:rFonts w:ascii="Arial" w:hAnsi="Arial"/>
      <w:b/>
      <w:color w:val="918585"/>
      <w:sz w:val="24"/>
    </w:rPr>
  </w:style>
  <w:style w:type="paragraph" w:styleId="Header">
    <w:name w:val="header"/>
    <w:basedOn w:val="Normal"/>
    <w:link w:val="HeaderChar"/>
    <w:rsid w:val="00A316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6DA"/>
    <w:rPr>
      <w:rFonts w:ascii="Times New Roman" w:eastAsia="Times New Roman" w:hAnsi="Times New Roman" w:cs="Times New Roman"/>
      <w:sz w:val="16"/>
      <w:szCs w:val="20"/>
      <w:lang w:val="en-GB" w:eastAsia="en-US"/>
    </w:rPr>
  </w:style>
  <w:style w:type="paragraph" w:customStyle="1" w:styleId="Chapter">
    <w:name w:val="Chapter"/>
    <w:basedOn w:val="Normal"/>
    <w:rsid w:val="00A316DA"/>
    <w:pPr>
      <w:spacing w:before="240"/>
    </w:pPr>
    <w:rPr>
      <w:rFonts w:ascii="Times New Roman" w:hAnsi="Times New Roman"/>
      <w:smallCaps/>
      <w:spacing w:val="80"/>
      <w:sz w:val="28"/>
    </w:rPr>
  </w:style>
  <w:style w:type="paragraph" w:customStyle="1" w:styleId="InChapter">
    <w:name w:val="InChapter"/>
    <w:basedOn w:val="Heading3"/>
    <w:rsid w:val="00A316DA"/>
    <w:pPr>
      <w:spacing w:after="240"/>
      <w:outlineLvl w:val="9"/>
    </w:pPr>
    <w:rPr>
      <w:noProof/>
    </w:rPr>
  </w:style>
  <w:style w:type="paragraph" w:styleId="Index2">
    <w:name w:val="index 2"/>
    <w:basedOn w:val="Normal"/>
    <w:next w:val="Normal"/>
    <w:semiHidden/>
    <w:rsid w:val="00A316DA"/>
    <w:pPr>
      <w:tabs>
        <w:tab w:val="right" w:pos="4176"/>
      </w:tabs>
      <w:ind w:left="568" w:hanging="284"/>
    </w:pPr>
    <w:rPr>
      <w:rFonts w:ascii="Garamond" w:hAnsi="Garamond"/>
    </w:rPr>
  </w:style>
  <w:style w:type="paragraph" w:customStyle="1" w:styleId="Byline">
    <w:name w:val="Byline"/>
    <w:rsid w:val="00A316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6DA"/>
    <w:pPr>
      <w:tabs>
        <w:tab w:val="clear" w:pos="3600"/>
        <w:tab w:val="clear" w:pos="3958"/>
      </w:tabs>
      <w:jc w:val="right"/>
    </w:pPr>
  </w:style>
  <w:style w:type="paragraph" w:styleId="Caption">
    <w:name w:val="caption"/>
    <w:basedOn w:val="BodyText"/>
    <w:next w:val="Normal"/>
    <w:qFormat/>
    <w:rsid w:val="00A316DA"/>
    <w:pPr>
      <w:framePr w:w="2268" w:hSpace="181" w:vSpace="181" w:wrap="around" w:vAnchor="text" w:hAnchor="page" w:x="1135" w:y="285" w:anchorLock="1"/>
    </w:pPr>
    <w:rPr>
      <w:i/>
    </w:rPr>
  </w:style>
  <w:style w:type="paragraph" w:customStyle="1" w:styleId="MiniTOCTitle">
    <w:name w:val="MiniTOCTitle"/>
    <w:basedOn w:val="Heading4"/>
    <w:rsid w:val="00A316DA"/>
    <w:pPr>
      <w:spacing w:before="240"/>
      <w:outlineLvl w:val="9"/>
    </w:pPr>
    <w:rPr>
      <w:noProof/>
      <w:sz w:val="24"/>
    </w:rPr>
  </w:style>
  <w:style w:type="paragraph" w:customStyle="1" w:styleId="MiniTOCItem">
    <w:name w:val="MiniTOCItem"/>
    <w:basedOn w:val="ListBullet"/>
    <w:rsid w:val="00A316DA"/>
    <w:pPr>
      <w:numPr>
        <w:numId w:val="0"/>
      </w:numPr>
      <w:tabs>
        <w:tab w:val="right" w:leader="dot" w:pos="6521"/>
      </w:tabs>
      <w:spacing w:before="0" w:after="0"/>
    </w:pPr>
  </w:style>
  <w:style w:type="paragraph" w:customStyle="1" w:styleId="TOFTitle">
    <w:name w:val="TOFTitle"/>
    <w:basedOn w:val="TOCTitle"/>
    <w:rsid w:val="00A316DA"/>
  </w:style>
  <w:style w:type="paragraph" w:styleId="TableofFigures">
    <w:name w:val="table of figures"/>
    <w:basedOn w:val="Normal"/>
    <w:next w:val="Normal"/>
    <w:semiHidden/>
    <w:rsid w:val="00A316DA"/>
    <w:pPr>
      <w:tabs>
        <w:tab w:val="right" w:leader="dot" w:pos="9072"/>
      </w:tabs>
      <w:ind w:left="970" w:hanging="403"/>
    </w:pPr>
    <w:rPr>
      <w:rFonts w:ascii="Times New Roman" w:hAnsi="Times New Roman"/>
      <w:b/>
    </w:rPr>
  </w:style>
  <w:style w:type="paragraph" w:styleId="ListNumber">
    <w:name w:val="List Number"/>
    <w:basedOn w:val="List"/>
    <w:rsid w:val="00A316DA"/>
    <w:pPr>
      <w:numPr>
        <w:numId w:val="12"/>
      </w:numPr>
    </w:pPr>
  </w:style>
  <w:style w:type="character" w:customStyle="1" w:styleId="WingdingSymbols">
    <w:name w:val="Wingding Symbols"/>
    <w:rsid w:val="00A316DA"/>
    <w:rPr>
      <w:rFonts w:ascii="Wingdings" w:hAnsi="Wingdings"/>
    </w:rPr>
  </w:style>
  <w:style w:type="paragraph" w:customStyle="1" w:styleId="TableHeading">
    <w:name w:val="Table Heading"/>
    <w:basedOn w:val="HeadingBase"/>
    <w:rsid w:val="00A316DA"/>
    <w:pPr>
      <w:keepLines/>
      <w:pBdr>
        <w:bottom w:val="single" w:sz="6" w:space="1" w:color="918585"/>
      </w:pBdr>
      <w:spacing w:before="240"/>
    </w:pPr>
  </w:style>
  <w:style w:type="character" w:customStyle="1" w:styleId="HotSpot">
    <w:name w:val="HotSpot"/>
    <w:rsid w:val="00A316DA"/>
    <w:rPr>
      <w:color w:val="0033CC"/>
      <w:u w:val="none"/>
    </w:rPr>
  </w:style>
  <w:style w:type="paragraph" w:customStyle="1" w:styleId="BodyTextRight">
    <w:name w:val="Body Text Right"/>
    <w:basedOn w:val="BodyText"/>
    <w:rsid w:val="00A316DA"/>
    <w:pPr>
      <w:spacing w:before="0" w:after="0"/>
      <w:jc w:val="right"/>
    </w:pPr>
  </w:style>
  <w:style w:type="paragraph" w:styleId="Index3">
    <w:name w:val="index 3"/>
    <w:basedOn w:val="ListNumber2"/>
    <w:next w:val="Normal"/>
    <w:semiHidden/>
    <w:rsid w:val="00A316DA"/>
    <w:pPr>
      <w:numPr>
        <w:numId w:val="0"/>
      </w:numPr>
      <w:tabs>
        <w:tab w:val="right" w:leader="dot" w:pos="4176"/>
      </w:tabs>
    </w:pPr>
  </w:style>
  <w:style w:type="paragraph" w:styleId="ListNumber2">
    <w:name w:val="List Number 2"/>
    <w:basedOn w:val="List2"/>
    <w:rsid w:val="00A316DA"/>
    <w:pPr>
      <w:numPr>
        <w:numId w:val="11"/>
      </w:numPr>
      <w:tabs>
        <w:tab w:val="clear" w:pos="1060"/>
      </w:tabs>
    </w:pPr>
  </w:style>
  <w:style w:type="paragraph" w:customStyle="1" w:styleId="MarginNote">
    <w:name w:val="Margin Note"/>
    <w:basedOn w:val="BodyText"/>
    <w:rsid w:val="00A316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6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6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6DA"/>
    <w:rPr>
      <w:sz w:val="32"/>
    </w:rPr>
  </w:style>
  <w:style w:type="paragraph" w:customStyle="1" w:styleId="HeadingProcedure">
    <w:name w:val="Heading Procedure"/>
    <w:basedOn w:val="HeadingBase"/>
    <w:next w:val="Normal"/>
    <w:rsid w:val="00A316DA"/>
    <w:pPr>
      <w:tabs>
        <w:tab w:val="left" w:pos="0"/>
      </w:tabs>
      <w:spacing w:before="120" w:after="60"/>
    </w:pPr>
    <w:rPr>
      <w:i/>
      <w:color w:val="918585"/>
      <w:sz w:val="22"/>
    </w:rPr>
  </w:style>
  <w:style w:type="paragraph" w:customStyle="1" w:styleId="TableBodyText">
    <w:name w:val="Table Body Text"/>
    <w:basedOn w:val="BodyText"/>
    <w:rsid w:val="00A316DA"/>
    <w:pPr>
      <w:spacing w:before="60" w:after="60"/>
    </w:pPr>
  </w:style>
  <w:style w:type="paragraph" w:styleId="ListContinue">
    <w:name w:val="List Continue"/>
    <w:basedOn w:val="List"/>
    <w:rsid w:val="00A316DA"/>
    <w:pPr>
      <w:ind w:firstLine="0"/>
    </w:pPr>
  </w:style>
  <w:style w:type="paragraph" w:customStyle="1" w:styleId="ListNote">
    <w:name w:val="List Note"/>
    <w:basedOn w:val="List"/>
    <w:rsid w:val="00A316DA"/>
    <w:pPr>
      <w:pBdr>
        <w:top w:val="single" w:sz="6" w:space="2" w:color="918585"/>
        <w:bottom w:val="single" w:sz="6" w:space="2" w:color="918585"/>
      </w:pBdr>
      <w:tabs>
        <w:tab w:val="left" w:pos="1021"/>
      </w:tabs>
      <w:ind w:firstLine="0"/>
    </w:pPr>
  </w:style>
  <w:style w:type="paragraph" w:customStyle="1" w:styleId="Warning">
    <w:name w:val="Warning"/>
    <w:basedOn w:val="BodyText"/>
    <w:rsid w:val="00A316DA"/>
    <w:pPr>
      <w:shd w:val="clear" w:color="auto" w:fill="D9D9D9"/>
      <w:tabs>
        <w:tab w:val="left" w:pos="992"/>
      </w:tabs>
      <w:ind w:left="119" w:right="119"/>
    </w:pPr>
    <w:rPr>
      <w:sz w:val="20"/>
    </w:rPr>
  </w:style>
  <w:style w:type="paragraph" w:customStyle="1" w:styleId="MarginIcons">
    <w:name w:val="Margin Icons"/>
    <w:basedOn w:val="BodyText"/>
    <w:rsid w:val="00A316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6DA"/>
    <w:rPr>
      <w:rFonts w:ascii="Courier New" w:hAnsi="Courier New"/>
    </w:rPr>
  </w:style>
  <w:style w:type="paragraph" w:customStyle="1" w:styleId="NoteBullet">
    <w:name w:val="Note Bullet"/>
    <w:basedOn w:val="Note"/>
    <w:rsid w:val="00A316DA"/>
    <w:pPr>
      <w:tabs>
        <w:tab w:val="clear" w:pos="680"/>
      </w:tabs>
      <w:spacing w:before="60" w:after="60"/>
    </w:pPr>
  </w:style>
  <w:style w:type="paragraph" w:customStyle="1" w:styleId="SubHeading2">
    <w:name w:val="SubHeading2"/>
    <w:basedOn w:val="HeadingBase"/>
    <w:rsid w:val="00A316DA"/>
    <w:pPr>
      <w:spacing w:before="240" w:after="60"/>
    </w:pPr>
    <w:rPr>
      <w:sz w:val="20"/>
    </w:rPr>
  </w:style>
  <w:style w:type="paragraph" w:customStyle="1" w:styleId="SubHeading1">
    <w:name w:val="SubHeading1"/>
    <w:basedOn w:val="HeadingBase"/>
    <w:rsid w:val="00A316DA"/>
    <w:pPr>
      <w:spacing w:before="240" w:after="60"/>
    </w:pPr>
    <w:rPr>
      <w:color w:val="918585"/>
      <w:sz w:val="22"/>
    </w:rPr>
  </w:style>
  <w:style w:type="paragraph" w:customStyle="1" w:styleId="SideHeading">
    <w:name w:val="Side Heading"/>
    <w:basedOn w:val="HeadingBase"/>
    <w:rsid w:val="00A316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6DA"/>
    <w:pPr>
      <w:numPr>
        <w:numId w:val="13"/>
      </w:numPr>
    </w:pPr>
  </w:style>
  <w:style w:type="paragraph" w:styleId="PlainText">
    <w:name w:val="Plain Text"/>
    <w:basedOn w:val="Normal"/>
    <w:link w:val="PlainTextChar"/>
    <w:rsid w:val="00A316DA"/>
    <w:rPr>
      <w:sz w:val="20"/>
    </w:rPr>
  </w:style>
  <w:style w:type="character" w:customStyle="1" w:styleId="PlainTextChar">
    <w:name w:val="Plain Text Char"/>
    <w:basedOn w:val="DefaultParagraphFont"/>
    <w:link w:val="PlainText"/>
    <w:rsid w:val="00A316DA"/>
    <w:rPr>
      <w:rFonts w:ascii="Courier New" w:eastAsia="Times New Roman" w:hAnsi="Courier New" w:cs="Times New Roman"/>
      <w:sz w:val="20"/>
      <w:szCs w:val="20"/>
      <w:lang w:eastAsia="en-US"/>
    </w:rPr>
  </w:style>
  <w:style w:type="character" w:customStyle="1" w:styleId="MenuOption">
    <w:name w:val="Menu Option"/>
    <w:basedOn w:val="DefaultParagraphFont"/>
    <w:rsid w:val="00A316DA"/>
    <w:rPr>
      <w:b/>
      <w:smallCaps/>
    </w:rPr>
  </w:style>
  <w:style w:type="paragraph" w:customStyle="1" w:styleId="TableListNumber">
    <w:name w:val="Table List Number"/>
    <w:basedOn w:val="ListNumber"/>
    <w:rsid w:val="00A316DA"/>
    <w:pPr>
      <w:numPr>
        <w:numId w:val="0"/>
      </w:numPr>
    </w:pPr>
  </w:style>
  <w:style w:type="paragraph" w:styleId="TOC4">
    <w:name w:val="toc 4"/>
    <w:basedOn w:val="TOCBase"/>
    <w:next w:val="Normal"/>
    <w:semiHidden/>
    <w:rsid w:val="00A316DA"/>
    <w:pPr>
      <w:tabs>
        <w:tab w:val="right" w:leader="dot" w:pos="9071"/>
      </w:tabs>
      <w:ind w:left="1701"/>
    </w:pPr>
  </w:style>
  <w:style w:type="paragraph" w:customStyle="1" w:styleId="ListAlpha">
    <w:name w:val="List Alpha"/>
    <w:basedOn w:val="List"/>
    <w:rsid w:val="00A316DA"/>
    <w:pPr>
      <w:numPr>
        <w:numId w:val="10"/>
      </w:numPr>
    </w:pPr>
  </w:style>
  <w:style w:type="paragraph" w:customStyle="1" w:styleId="ListAlpha2">
    <w:name w:val="List Alpha 2"/>
    <w:basedOn w:val="List2"/>
    <w:rsid w:val="00A316DA"/>
    <w:pPr>
      <w:numPr>
        <w:numId w:val="9"/>
      </w:numPr>
    </w:pPr>
  </w:style>
  <w:style w:type="paragraph" w:styleId="List2">
    <w:name w:val="List 2"/>
    <w:basedOn w:val="BodyText"/>
    <w:rsid w:val="00A316DA"/>
    <w:pPr>
      <w:tabs>
        <w:tab w:val="left" w:pos="680"/>
      </w:tabs>
      <w:spacing w:before="60" w:after="60"/>
      <w:ind w:left="680" w:hanging="340"/>
    </w:pPr>
  </w:style>
  <w:style w:type="paragraph" w:styleId="List3">
    <w:name w:val="List 3"/>
    <w:basedOn w:val="BodyText"/>
    <w:rsid w:val="00A316DA"/>
    <w:pPr>
      <w:tabs>
        <w:tab w:val="left" w:pos="1021"/>
      </w:tabs>
      <w:spacing w:before="60" w:after="60"/>
      <w:ind w:left="1020" w:hanging="340"/>
    </w:pPr>
  </w:style>
  <w:style w:type="paragraph" w:styleId="List4">
    <w:name w:val="List 4"/>
    <w:basedOn w:val="BodyText"/>
    <w:rsid w:val="00A316DA"/>
    <w:pPr>
      <w:tabs>
        <w:tab w:val="left" w:pos="1361"/>
      </w:tabs>
      <w:spacing w:before="60" w:after="60"/>
      <w:ind w:left="1361" w:hanging="340"/>
    </w:pPr>
  </w:style>
  <w:style w:type="paragraph" w:styleId="List5">
    <w:name w:val="List 5"/>
    <w:basedOn w:val="BodyText"/>
    <w:rsid w:val="00A316DA"/>
    <w:pPr>
      <w:tabs>
        <w:tab w:val="left" w:pos="1701"/>
      </w:tabs>
      <w:spacing w:before="60" w:after="60"/>
      <w:ind w:left="1701" w:hanging="340"/>
    </w:pPr>
  </w:style>
  <w:style w:type="paragraph" w:styleId="ListBullet4">
    <w:name w:val="List Bullet 4"/>
    <w:basedOn w:val="List4"/>
    <w:rsid w:val="00A316DA"/>
    <w:pPr>
      <w:numPr>
        <w:numId w:val="4"/>
      </w:numPr>
    </w:pPr>
  </w:style>
  <w:style w:type="paragraph" w:styleId="ListBullet5">
    <w:name w:val="List Bullet 5"/>
    <w:basedOn w:val="List5"/>
    <w:rsid w:val="00A316DA"/>
    <w:pPr>
      <w:numPr>
        <w:numId w:val="5"/>
      </w:numPr>
    </w:pPr>
  </w:style>
  <w:style w:type="paragraph" w:styleId="ListContinue2">
    <w:name w:val="List Continue 2"/>
    <w:basedOn w:val="List2"/>
    <w:rsid w:val="00A316DA"/>
    <w:pPr>
      <w:ind w:firstLine="0"/>
    </w:pPr>
  </w:style>
  <w:style w:type="paragraph" w:styleId="ListContinue3">
    <w:name w:val="List Continue 3"/>
    <w:basedOn w:val="List3"/>
    <w:rsid w:val="00A316DA"/>
    <w:pPr>
      <w:ind w:left="1021" w:firstLine="0"/>
    </w:pPr>
  </w:style>
  <w:style w:type="paragraph" w:styleId="ListContinue4">
    <w:name w:val="List Continue 4"/>
    <w:basedOn w:val="List4"/>
    <w:rsid w:val="00A316DA"/>
    <w:pPr>
      <w:ind w:firstLine="0"/>
    </w:pPr>
  </w:style>
  <w:style w:type="paragraph" w:styleId="ListContinue5">
    <w:name w:val="List Continue 5"/>
    <w:basedOn w:val="List5"/>
    <w:rsid w:val="00A316DA"/>
    <w:pPr>
      <w:ind w:firstLine="0"/>
    </w:pPr>
  </w:style>
  <w:style w:type="paragraph" w:styleId="ListNumber3">
    <w:name w:val="List Number 3"/>
    <w:basedOn w:val="List3"/>
    <w:rsid w:val="00A316DA"/>
    <w:pPr>
      <w:numPr>
        <w:numId w:val="6"/>
      </w:numPr>
    </w:pPr>
  </w:style>
  <w:style w:type="paragraph" w:styleId="ListNumber4">
    <w:name w:val="List Number 4"/>
    <w:basedOn w:val="List4"/>
    <w:rsid w:val="00A316DA"/>
    <w:pPr>
      <w:numPr>
        <w:numId w:val="7"/>
      </w:numPr>
    </w:pPr>
  </w:style>
  <w:style w:type="paragraph" w:styleId="ListNumber5">
    <w:name w:val="List Number 5"/>
    <w:basedOn w:val="List5"/>
    <w:rsid w:val="00A316DA"/>
    <w:pPr>
      <w:numPr>
        <w:numId w:val="8"/>
      </w:numPr>
    </w:pPr>
  </w:style>
  <w:style w:type="paragraph" w:styleId="BlockText">
    <w:name w:val="Block Text"/>
    <w:basedOn w:val="Normal"/>
    <w:rsid w:val="00A316DA"/>
    <w:pPr>
      <w:spacing w:after="120"/>
      <w:ind w:left="1440" w:right="1440"/>
    </w:pPr>
  </w:style>
  <w:style w:type="character" w:customStyle="1" w:styleId="Subscript">
    <w:name w:val="Subscript"/>
    <w:basedOn w:val="DefaultParagraphFont"/>
    <w:rsid w:val="00A316DA"/>
    <w:rPr>
      <w:sz w:val="16"/>
      <w:vertAlign w:val="subscript"/>
    </w:rPr>
  </w:style>
  <w:style w:type="character" w:customStyle="1" w:styleId="Superscript">
    <w:name w:val="Superscript"/>
    <w:basedOn w:val="DefaultParagraphFont"/>
    <w:rsid w:val="00A316DA"/>
    <w:rPr>
      <w:sz w:val="16"/>
      <w:vertAlign w:val="superscript"/>
    </w:rPr>
  </w:style>
  <w:style w:type="character" w:customStyle="1" w:styleId="Symbols">
    <w:name w:val="Symbols"/>
    <w:basedOn w:val="DefaultParagraphFont"/>
    <w:rsid w:val="00A316DA"/>
    <w:rPr>
      <w:rFonts w:ascii="Symbol" w:hAnsi="Symbol"/>
    </w:rPr>
  </w:style>
  <w:style w:type="character" w:customStyle="1" w:styleId="MenuOptions">
    <w:name w:val="Menu Options"/>
    <w:basedOn w:val="DefaultParagraphFont"/>
    <w:rsid w:val="00A316DA"/>
    <w:rPr>
      <w:rFonts w:ascii="Arial Narrow" w:hAnsi="Arial Narrow"/>
      <w:smallCaps/>
    </w:rPr>
  </w:style>
  <w:style w:type="character" w:customStyle="1" w:styleId="Buttons">
    <w:name w:val="Buttons"/>
    <w:basedOn w:val="DefaultParagraphFont"/>
    <w:rsid w:val="00A316DA"/>
    <w:rPr>
      <w:b/>
    </w:rPr>
  </w:style>
  <w:style w:type="character" w:customStyle="1" w:styleId="Underlined">
    <w:name w:val="Underlined"/>
    <w:basedOn w:val="DefaultParagraphFont"/>
    <w:rsid w:val="00A316DA"/>
    <w:rPr>
      <w:u w:val="single"/>
    </w:rPr>
  </w:style>
  <w:style w:type="paragraph" w:customStyle="1" w:styleId="TableBodyTextRight">
    <w:name w:val="Table Body Text Right"/>
    <w:basedOn w:val="TableBodyText"/>
    <w:rsid w:val="00A316DA"/>
    <w:pPr>
      <w:widowControl w:val="0"/>
      <w:autoSpaceDE w:val="0"/>
      <w:autoSpaceDN w:val="0"/>
      <w:adjustRightInd w:val="0"/>
      <w:jc w:val="right"/>
    </w:pPr>
    <w:rPr>
      <w:rFonts w:cs="Arial"/>
      <w:szCs w:val="18"/>
    </w:rPr>
  </w:style>
  <w:style w:type="paragraph" w:customStyle="1" w:styleId="CopyrightText">
    <w:name w:val="Copyright Text"/>
    <w:basedOn w:val="BodyText"/>
    <w:rsid w:val="00A316DA"/>
    <w:rPr>
      <w:sz w:val="18"/>
    </w:rPr>
  </w:style>
  <w:style w:type="paragraph" w:customStyle="1" w:styleId="BodySmallRight">
    <w:name w:val="Body Small Right"/>
    <w:basedOn w:val="BodyTextRight"/>
    <w:rsid w:val="00A316DA"/>
    <w:rPr>
      <w:sz w:val="18"/>
      <w:szCs w:val="18"/>
    </w:rPr>
  </w:style>
  <w:style w:type="paragraph" w:customStyle="1" w:styleId="MarginEdition">
    <w:name w:val="Margin Edition"/>
    <w:basedOn w:val="MarginNote"/>
    <w:rsid w:val="00A316DA"/>
    <w:pPr>
      <w:spacing w:before="0" w:after="0"/>
    </w:pPr>
    <w:rPr>
      <w:rFonts w:ascii="Times New Roman" w:hAnsi="Times New Roman"/>
      <w:color w:val="999999"/>
    </w:rPr>
  </w:style>
  <w:style w:type="paragraph" w:customStyle="1" w:styleId="Spacer">
    <w:name w:val="Spacer"/>
    <w:basedOn w:val="Normal"/>
    <w:rsid w:val="00A316DA"/>
    <w:rPr>
      <w:sz w:val="2"/>
      <w:szCs w:val="2"/>
    </w:rPr>
  </w:style>
  <w:style w:type="character" w:customStyle="1" w:styleId="Small">
    <w:name w:val="Small"/>
    <w:basedOn w:val="DefaultParagraphFont"/>
    <w:rsid w:val="00A316DA"/>
    <w:rPr>
      <w:sz w:val="16"/>
    </w:rPr>
  </w:style>
  <w:style w:type="paragraph" w:customStyle="1" w:styleId="WideTable">
    <w:name w:val="Wide Table"/>
    <w:basedOn w:val="Normal"/>
    <w:rsid w:val="00A316DA"/>
    <w:pPr>
      <w:ind w:left="-1418"/>
    </w:pPr>
    <w:rPr>
      <w:sz w:val="2"/>
      <w:szCs w:val="2"/>
    </w:rPr>
  </w:style>
  <w:style w:type="character" w:styleId="PageNumber">
    <w:name w:val="page number"/>
    <w:basedOn w:val="DefaultParagraphFont"/>
    <w:rsid w:val="00A316DA"/>
  </w:style>
  <w:style w:type="paragraph" w:styleId="Quote">
    <w:name w:val="Quote"/>
    <w:basedOn w:val="Heading1"/>
    <w:link w:val="QuoteChar"/>
    <w:qFormat/>
    <w:rsid w:val="00A316DA"/>
    <w:rPr>
      <w:b w:val="0"/>
      <w:sz w:val="72"/>
      <w:szCs w:val="72"/>
      <w:lang w:val="en-NZ"/>
    </w:rPr>
  </w:style>
  <w:style w:type="character" w:customStyle="1" w:styleId="QuoteChar">
    <w:name w:val="Quote Char"/>
    <w:basedOn w:val="DefaultParagraphFont"/>
    <w:link w:val="Quote"/>
    <w:rsid w:val="00A316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6DA"/>
    <w:pPr>
      <w:pageBreakBefore/>
    </w:pPr>
  </w:style>
  <w:style w:type="paragraph" w:customStyle="1" w:styleId="Border">
    <w:name w:val="Border"/>
    <w:basedOn w:val="Normal"/>
    <w:qFormat/>
    <w:rsid w:val="00A316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6DA"/>
    <w:rPr>
      <w:b/>
      <w:bCs/>
      <w:i/>
      <w:iCs/>
      <w:color w:val="auto"/>
    </w:rPr>
  </w:style>
  <w:style w:type="paragraph" w:styleId="IntenseQuote">
    <w:name w:val="Intense Quote"/>
    <w:basedOn w:val="Normal"/>
    <w:next w:val="Normal"/>
    <w:link w:val="IntenseQuoteChar"/>
    <w:uiPriority w:val="30"/>
    <w:qFormat/>
    <w:rsid w:val="00A316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6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6DA"/>
    <w:rPr>
      <w:smallCaps/>
      <w:color w:val="auto"/>
      <w:u w:val="single"/>
    </w:rPr>
  </w:style>
  <w:style w:type="character" w:styleId="IntenseReference">
    <w:name w:val="Intense Reference"/>
    <w:basedOn w:val="DefaultParagraphFont"/>
    <w:uiPriority w:val="32"/>
    <w:qFormat/>
    <w:rsid w:val="00A316DA"/>
    <w:rPr>
      <w:b/>
      <w:bCs/>
      <w:smallCaps/>
      <w:color w:val="auto"/>
      <w:spacing w:val="5"/>
      <w:u w:val="single"/>
    </w:rPr>
  </w:style>
  <w:style w:type="paragraph" w:customStyle="1" w:styleId="2ColumnHeading">
    <w:name w:val="2Column Heading"/>
    <w:basedOn w:val="BodyText"/>
    <w:qFormat/>
    <w:rsid w:val="00A316DA"/>
    <w:pPr>
      <w:spacing w:after="60"/>
      <w:ind w:left="-2268"/>
    </w:pPr>
    <w:rPr>
      <w:b/>
    </w:rPr>
  </w:style>
  <w:style w:type="paragraph" w:customStyle="1" w:styleId="Heading1TOC">
    <w:name w:val="Heading1 TOC"/>
    <w:basedOn w:val="Normal"/>
    <w:qFormat/>
    <w:rsid w:val="00A316DA"/>
    <w:pPr>
      <w:spacing w:before="240" w:after="120"/>
    </w:pPr>
    <w:rPr>
      <w:rFonts w:ascii="Times New Roman" w:hAnsi="Times New Roman"/>
      <w:b/>
      <w:sz w:val="32"/>
    </w:rPr>
  </w:style>
  <w:style w:type="paragraph" w:customStyle="1" w:styleId="Heading2TOC">
    <w:name w:val="Heading2 TOC"/>
    <w:basedOn w:val="Normal"/>
    <w:qFormat/>
    <w:rsid w:val="00A316DA"/>
    <w:pPr>
      <w:spacing w:before="240" w:after="60"/>
    </w:pPr>
    <w:rPr>
      <w:rFonts w:ascii="Times New Roman" w:hAnsi="Times New Roman"/>
      <w:b/>
      <w:sz w:val="28"/>
    </w:rPr>
  </w:style>
  <w:style w:type="character" w:customStyle="1" w:styleId="Underline">
    <w:name w:val="Underline"/>
    <w:basedOn w:val="DefaultParagraphFont"/>
    <w:qFormat/>
    <w:rsid w:val="00A316DA"/>
    <w:rPr>
      <w:u w:val="single"/>
    </w:rPr>
  </w:style>
  <w:style w:type="paragraph" w:styleId="BalloonText">
    <w:name w:val="Balloon Text"/>
    <w:basedOn w:val="Normal"/>
    <w:link w:val="BalloonTextChar"/>
    <w:rsid w:val="00A316DA"/>
    <w:rPr>
      <w:rFonts w:ascii="Tahoma" w:hAnsi="Tahoma" w:cs="Tahoma"/>
      <w:sz w:val="16"/>
      <w:szCs w:val="16"/>
    </w:rPr>
  </w:style>
  <w:style w:type="character" w:customStyle="1" w:styleId="BalloonTextChar">
    <w:name w:val="Balloon Text Char"/>
    <w:basedOn w:val="DefaultParagraphFont"/>
    <w:link w:val="BalloonText"/>
    <w:rsid w:val="00A316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6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16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6DA"/>
    <w:rPr>
      <w:b/>
      <w:color w:val="660033"/>
      <w:spacing w:val="0"/>
    </w:rPr>
  </w:style>
  <w:style w:type="paragraph" w:customStyle="1" w:styleId="Nameditemlist">
    <w:name w:val="Named item list"/>
    <w:basedOn w:val="BodyText"/>
    <w:qFormat/>
    <w:rsid w:val="00A316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1731</Words>
  <Characters>11602</Characters>
  <Application>Microsoft Office Word</Application>
  <DocSecurity>0</DocSecurity>
  <Lines>440</Lines>
  <Paragraphs>297</Paragraphs>
  <ScaleCrop>false</ScaleCrop>
  <Company>Author-it Software Corporation Ltd.</Company>
  <LinksUpToDate>false</LinksUpToDate>
  <CharactersWithSpaces>13251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ICTTEN4245A Design infrastructure for telecommunications network installations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2014-02-07T09:24:58Z</dcterms:created>
  <dcterms:modified xsi:type="dcterms:W3CDTF">2014-02-06T04:24:00Z</dcterms:modified>
</cp:coreProperties>
</file>