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F23" w:rsidP="00183F23">
      <w:pPr>
        <w:pStyle w:val="Title"/>
      </w:pPr>
      <w:r>
        <w:fldChar w:fldCharType="begin"/>
      </w:r>
      <w:r>
        <w:instrText xml:space="preserve"> TITLE   \* MERGEFORMAT </w:instrText>
      </w:r>
      <w:r>
        <w:fldChar w:fldCharType="separate"/>
      </w:r>
      <w:r>
        <w:t>ICTTEN4244A Estimate and quote for carrier telecommunications equipment installations</w:t>
      </w:r>
      <w:r>
        <w:fldChar w:fldCharType="end"/>
      </w:r>
    </w:p>
    <w:p w:rsidR="00183F23" w:rsidP="00183F23">
      <w:pPr>
        <w:pStyle w:val="Version"/>
        <w:sectPr w:rsidSect="00326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94E" w:rsidP="0032694E">
      <w:pPr>
        <w:pStyle w:val="SuperHeading"/>
      </w:pPr>
      <w:r w:rsidRPr="0032694E">
        <w:t>ICTTEN4244A Estimate and quote for carrier telecommunications equipment installations</w:t>
      </w:r>
    </w:p>
    <w:p w:rsidR="00000000" w:rsidRPr="0032694E" w:rsidP="0032694E">
      <w:pPr>
        <w:pStyle w:val="Heading1"/>
      </w:pPr>
      <w:bookmarkStart w:id="1" w:name="O_640185"/>
      <w:bookmarkEnd w:id="1"/>
      <w:r w:rsidRPr="0032694E">
        <w:t>Modification History</w:t>
      </w:r>
    </w:p>
    <w:tbl>
      <w:tblPr>
        <w:tblW w:w="0" w:type="auto"/>
        <w:tblLayout w:type="fixed"/>
        <w:tblCellMar>
          <w:left w:w="62" w:type="dxa"/>
          <w:right w:w="62" w:type="dxa"/>
        </w:tblCellMar>
        <w:tblLook w:val="0000"/>
      </w:tblPr>
      <w:tblGrid>
        <w:gridCol w:w="2565"/>
        <w:gridCol w:w="6180"/>
      </w:tblGrid>
      <w:tr w:rsidTr="0032694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rPr>
                <w:rStyle w:val="SpecialBold"/>
              </w:rPr>
              <w:t>Release</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SpecialBold"/>
              </w:rPr>
              <w:t>Comments</w:t>
            </w:r>
          </w:p>
        </w:tc>
      </w:tr>
      <w:tr w:rsidTr="0032694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t>Release 1</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 xml:space="preserve">This version first released with </w:t>
            </w:r>
            <w:r w:rsidRPr="0032694E">
              <w:rPr>
                <w:rStyle w:val="Emphasis"/>
              </w:rPr>
              <w:t>ICT10 Integrated Telecommunications Training Package Version 3.0</w:t>
            </w:r>
            <w:r w:rsidRPr="0032694E">
              <w:t>.</w:t>
            </w:r>
          </w:p>
        </w:tc>
      </w:tr>
    </w:tbl>
    <w:p w:rsidR="00000000" w:rsidRPr="0032694E" w:rsidP="0032694E">
      <w:pPr>
        <w:pStyle w:val="BodyText"/>
      </w:pPr>
    </w:p>
    <w:p w:rsidR="00000000" w:rsidRPr="0032694E" w:rsidP="0032694E">
      <w:pPr>
        <w:pStyle w:val="AllowPageBreak"/>
      </w:pPr>
    </w:p>
    <w:p w:rsidR="00000000" w:rsidRPr="0032694E" w:rsidP="0032694E">
      <w:pPr>
        <w:pStyle w:val="Heading1"/>
      </w:pPr>
      <w:bookmarkStart w:id="2" w:name="O_640186"/>
      <w:bookmarkEnd w:id="2"/>
      <w:r w:rsidRPr="0032694E">
        <w:t>Unit Descriptor</w:t>
      </w:r>
    </w:p>
    <w:p w:rsidR="00000000" w:rsidRPr="0032694E" w:rsidP="0032694E">
      <w:pPr>
        <w:pStyle w:val="BodyText"/>
      </w:pPr>
      <w:r w:rsidRPr="0032694E">
        <w:t>This unit describes the performance outcomes, skills and knowledge required to estimate and quote for carrier telecommunications equipment installation.</w:t>
      </w:r>
    </w:p>
    <w:p w:rsidR="00000000" w:rsidRPr="0032694E" w:rsidP="0032694E">
      <w:pPr>
        <w:pStyle w:val="BodyText"/>
      </w:pPr>
    </w:p>
    <w:p w:rsidR="00000000" w:rsidRPr="0032694E" w:rsidP="0032694E">
      <w:pPr>
        <w:pStyle w:val="BodyText"/>
      </w:pPr>
      <w:r w:rsidRPr="0032694E">
        <w:t>It involves preparing detailed estimates and quotes and updating schem</w:t>
      </w:r>
      <w:r w:rsidRPr="0032694E">
        <w:t>atic drawings and specifications.</w:t>
      </w:r>
    </w:p>
    <w:p w:rsidR="00000000" w:rsidRPr="0032694E" w:rsidP="0032694E">
      <w:pPr>
        <w:pStyle w:val="AllowPageBreak"/>
      </w:pPr>
    </w:p>
    <w:p w:rsidR="00000000" w:rsidRPr="0032694E" w:rsidP="0032694E">
      <w:pPr>
        <w:pStyle w:val="Heading1"/>
      </w:pPr>
      <w:bookmarkStart w:id="3" w:name="O_640187"/>
      <w:bookmarkEnd w:id="3"/>
      <w:r w:rsidRPr="0032694E">
        <w:t>Application of the Unit</w:t>
      </w:r>
    </w:p>
    <w:p w:rsidR="00000000" w:rsidRPr="0032694E" w:rsidP="0032694E">
      <w:pPr>
        <w:pStyle w:val="BodyText"/>
      </w:pPr>
      <w:r w:rsidRPr="0032694E">
        <w:t>Technical staff who estimate and quote for carrier equipment installation apply the skills and knowledge in this unit.</w:t>
      </w:r>
    </w:p>
    <w:p w:rsidR="00000000" w:rsidRPr="0032694E" w:rsidP="0032694E">
      <w:pPr>
        <w:pStyle w:val="BodyText"/>
      </w:pPr>
    </w:p>
    <w:p w:rsidR="00000000" w:rsidRPr="0032694E" w:rsidP="0032694E">
      <w:pPr>
        <w:pStyle w:val="BodyText"/>
      </w:pPr>
      <w:r w:rsidRPr="0032694E">
        <w:t>This unit applies to indoor and outdoor installation within a</w:t>
      </w:r>
      <w:r w:rsidRPr="0032694E">
        <w:t xml:space="preserve"> carrier network. It may be applied to large scale commercial and industrial installations. Communications applications include digital and analog, telephony, data, video, digital broadcasting, computer networks, local area networks (LAN), multimedia, fibr</w:t>
      </w:r>
      <w:r w:rsidRPr="0032694E">
        <w:t>e to the x (FTTx), radio and satellite installations.</w:t>
      </w:r>
    </w:p>
    <w:p w:rsidR="00000000" w:rsidRPr="0032694E" w:rsidP="0032694E">
      <w:pPr>
        <w:pStyle w:val="BodyText"/>
      </w:pPr>
    </w:p>
    <w:p w:rsidR="00000000" w:rsidRPr="0032694E" w:rsidP="0032694E">
      <w:pPr>
        <w:pStyle w:val="BodyText"/>
      </w:pPr>
      <w:r w:rsidRPr="0032694E">
        <w:t>This unit is one in a sequence of units that cover network design activities including:</w:t>
      </w:r>
    </w:p>
    <w:p w:rsidR="00000000" w:rsidRPr="0032694E" w:rsidP="0032694E">
      <w:pPr>
        <w:pStyle w:val="BodyText"/>
      </w:pPr>
    </w:p>
    <w:p w:rsidR="00000000" w:rsidRPr="0032694E" w:rsidP="0032694E">
      <w:pPr>
        <w:pStyle w:val="ListBullet"/>
      </w:pPr>
      <w:r w:rsidRPr="0032694E">
        <w:t>design drawings and specifications</w:t>
      </w:r>
    </w:p>
    <w:p w:rsidR="00000000" w:rsidRPr="0032694E" w:rsidP="0032694E">
      <w:pPr>
        <w:pStyle w:val="ListBullet"/>
      </w:pPr>
      <w:r w:rsidRPr="0032694E">
        <w:t>designing a dense wavelength division multiplexing (DWDM) system</w:t>
      </w:r>
    </w:p>
    <w:p w:rsidR="00000000" w:rsidRPr="0032694E" w:rsidP="0032694E">
      <w:pPr>
        <w:pStyle w:val="ListBullet"/>
      </w:pPr>
      <w:r w:rsidRPr="0032694E">
        <w:t>designing infrastructure</w:t>
      </w:r>
    </w:p>
    <w:p w:rsidR="00000000" w:rsidRPr="0032694E" w:rsidP="0032694E">
      <w:pPr>
        <w:pStyle w:val="ListBullet"/>
      </w:pPr>
      <w:r w:rsidRPr="0032694E">
        <w:t>estimating and quoting</w:t>
      </w:r>
    </w:p>
    <w:p w:rsidR="00000000" w:rsidRPr="0032694E" w:rsidP="0032694E">
      <w:pPr>
        <w:pStyle w:val="ListBullet"/>
      </w:pPr>
      <w:r w:rsidRPr="0032694E">
        <w:t>site survey.</w:t>
      </w:r>
    </w:p>
    <w:p w:rsidR="00000000" w:rsidRPr="0032694E" w:rsidP="0032694E">
      <w:pPr>
        <w:pStyle w:val="AllowPageBreak"/>
      </w:pPr>
    </w:p>
    <w:p w:rsidR="00000000" w:rsidRPr="0032694E" w:rsidP="0032694E">
      <w:pPr>
        <w:pStyle w:val="Heading1"/>
      </w:pPr>
      <w:bookmarkStart w:id="4" w:name="O_640188"/>
      <w:bookmarkEnd w:id="4"/>
      <w:r w:rsidRPr="0032694E">
        <w:t>Licensing/Regulatory Information</w:t>
      </w:r>
    </w:p>
    <w:p w:rsidR="00000000" w:rsidRPr="0032694E" w:rsidP="0032694E">
      <w:pPr>
        <w:pStyle w:val="BodyText"/>
      </w:pPr>
      <w:r w:rsidRPr="0032694E">
        <w:t>No licensing, legislative, regulatory or certification requirements apply to this unit at the time of endorsement but users should confirm requir</w:t>
      </w:r>
      <w:r w:rsidRPr="0032694E">
        <w:t>ements with the relevant federal, state or territory authority.</w:t>
      </w:r>
    </w:p>
    <w:p w:rsidR="00000000" w:rsidRPr="0032694E" w:rsidP="0032694E">
      <w:pPr>
        <w:pStyle w:val="AllowPageBreak"/>
      </w:pPr>
    </w:p>
    <w:p w:rsidR="00000000" w:rsidRPr="0032694E" w:rsidP="0032694E">
      <w:pPr>
        <w:pStyle w:val="Heading1"/>
      </w:pPr>
      <w:bookmarkStart w:id="5" w:name="O_640189"/>
      <w:bookmarkEnd w:id="5"/>
      <w:r w:rsidRPr="0032694E">
        <w:t>Pre-Requisites</w:t>
      </w:r>
    </w:p>
    <w:p w:rsidR="00000000" w:rsidRPr="0032694E" w:rsidP="0032694E">
      <w:pPr>
        <w:pStyle w:val="BodyText"/>
      </w:pPr>
      <w:r w:rsidRPr="0032694E">
        <w:t>Nil</w:t>
      </w:r>
    </w:p>
    <w:p w:rsidR="00000000" w:rsidRPr="0032694E" w:rsidP="0032694E">
      <w:pPr>
        <w:pStyle w:val="AllowPageBreak"/>
      </w:pPr>
    </w:p>
    <w:p w:rsidR="00000000" w:rsidRPr="0032694E" w:rsidP="0032694E">
      <w:pPr>
        <w:pStyle w:val="Heading1"/>
      </w:pPr>
      <w:bookmarkStart w:id="6" w:name="O_640190"/>
      <w:bookmarkEnd w:id="6"/>
      <w:r w:rsidRPr="0032694E">
        <w:t>Employability Skills Information</w:t>
      </w:r>
    </w:p>
    <w:p w:rsidR="00000000" w:rsidRPr="0032694E" w:rsidP="0032694E">
      <w:pPr>
        <w:pStyle w:val="BodyText"/>
      </w:pPr>
      <w:r w:rsidRPr="0032694E">
        <w:t>This unit contains employability skills.</w:t>
      </w:r>
    </w:p>
    <w:p w:rsidR="00000000" w:rsidRPr="0032694E" w:rsidP="0032694E">
      <w:pPr>
        <w:pStyle w:val="AllowPageBreak"/>
      </w:pPr>
    </w:p>
    <w:p w:rsidR="00000000" w:rsidRPr="0032694E" w:rsidP="0032694E">
      <w:pPr>
        <w:pStyle w:val="Heading1"/>
      </w:pPr>
      <w:bookmarkStart w:id="7" w:name="O_640191"/>
      <w:bookmarkEnd w:id="7"/>
      <w:r w:rsidRPr="0032694E">
        <w:t>Elements and Performance Criteria Pre-Content</w:t>
      </w:r>
    </w:p>
    <w:tbl>
      <w:tblPr>
        <w:tblW w:w="0" w:type="auto"/>
        <w:tblLayout w:type="fixed"/>
        <w:tblCellMar>
          <w:left w:w="62" w:type="dxa"/>
          <w:right w:w="62" w:type="dxa"/>
        </w:tblCellMar>
        <w:tblLook w:val="0000"/>
      </w:tblPr>
      <w:tblGrid>
        <w:gridCol w:w="2447"/>
        <w:gridCol w:w="6298"/>
      </w:tblGrid>
      <w:tr w:rsidTr="0032694E">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2694E" w:rsidP="0032694E">
            <w:pPr>
              <w:pStyle w:val="BodyText"/>
            </w:pPr>
            <w:r w:rsidRPr="0032694E">
              <w:rPr>
                <w:rStyle w:val="SpecialBold"/>
              </w:rPr>
              <w:t>El</w:t>
            </w:r>
            <w:r w:rsidRPr="0032694E">
              <w:rPr>
                <w:rStyle w:val="SpecialBold"/>
              </w:rPr>
              <w:t>ements</w:t>
            </w:r>
          </w:p>
        </w:tc>
        <w:tc>
          <w:tcPr>
            <w:tcW w:w="629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SpecialBold"/>
              </w:rPr>
              <w:t>Performance Criteria</w:t>
            </w:r>
          </w:p>
        </w:tc>
      </w:tr>
      <w:tr w:rsidTr="0032694E">
        <w:tblPrEx>
          <w:tblW w:w="0" w:type="auto"/>
          <w:tblLayout w:type="fixed"/>
          <w:tblCellMar>
            <w:left w:w="62" w:type="dxa"/>
            <w:right w:w="62" w:type="dxa"/>
          </w:tblCellMar>
          <w:tblLook w:val="0000"/>
        </w:tblPrEx>
        <w:tc>
          <w:tcPr>
            <w:tcW w:w="244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rPr>
                <w:rStyle w:val="Emphasis"/>
              </w:rPr>
              <w:t>Elements describe the essential outcomes of a unit of competency.</w:t>
            </w:r>
          </w:p>
        </w:tc>
        <w:tc>
          <w:tcPr>
            <w:tcW w:w="629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rPr>
                <w:rStyle w:val="Emphasis"/>
              </w:rPr>
              <w:t xml:space="preserve">Performance criteria describe the performance needed to demonstrate achievement of the element. Where bold italicised text is used, </w:t>
            </w:r>
            <w:r w:rsidRPr="0032694E">
              <w:rPr>
                <w:rStyle w:val="Emphasis"/>
              </w:rPr>
              <w:t>further information is detailed in the required skills and knowledge section and the range statement. Assessment of performance is to be consistent with the evidence guide.</w:t>
            </w:r>
          </w:p>
        </w:tc>
      </w:tr>
    </w:tbl>
    <w:p w:rsidR="00000000" w:rsidRPr="0032694E" w:rsidP="0032694E">
      <w:pPr>
        <w:pStyle w:val="BodyText"/>
      </w:pPr>
    </w:p>
    <w:p w:rsidR="00000000" w:rsidRPr="0032694E" w:rsidP="0032694E">
      <w:pPr>
        <w:pStyle w:val="AllowPageBreak"/>
      </w:pPr>
    </w:p>
    <w:p w:rsidR="00000000" w:rsidRPr="0032694E" w:rsidP="0032694E">
      <w:pPr>
        <w:pStyle w:val="Heading1"/>
      </w:pPr>
      <w:bookmarkStart w:id="8" w:name="O_640192"/>
      <w:bookmarkEnd w:id="8"/>
      <w:r w:rsidRPr="0032694E">
        <w:t>Elements and Performance Criteria</w:t>
      </w:r>
    </w:p>
    <w:tbl>
      <w:tblPr>
        <w:tblW w:w="0" w:type="auto"/>
        <w:tblLayout w:type="fixed"/>
        <w:tblCellMar>
          <w:left w:w="62" w:type="dxa"/>
          <w:right w:w="62" w:type="dxa"/>
        </w:tblCellMar>
        <w:tblLook w:val="0000"/>
      </w:tblPr>
      <w:tblGrid>
        <w:gridCol w:w="2466"/>
        <w:gridCol w:w="6279"/>
      </w:tblGrid>
      <w:tr w:rsidTr="0032694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t>1. Confirm and update schemati</w:t>
            </w:r>
            <w:r w:rsidRPr="0032694E">
              <w:t>c drawings and specifications</w:t>
            </w:r>
          </w:p>
        </w:tc>
        <w:tc>
          <w:tcPr>
            <w:tcW w:w="6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1.1 Review existing specifications and drawings for completeness</w:t>
            </w:r>
          </w:p>
          <w:p w:rsidR="00000000" w:rsidRPr="0032694E" w:rsidP="0032694E">
            <w:pPr>
              <w:pStyle w:val="BodyText"/>
            </w:pPr>
            <w:r w:rsidRPr="0032694E">
              <w:t>1.2 Prepare additional drawings and specifications for installation if required</w:t>
            </w:r>
          </w:p>
          <w:p w:rsidR="00000000" w:rsidRPr="0032694E" w:rsidP="0032694E">
            <w:pPr>
              <w:pStyle w:val="BodyText"/>
            </w:pPr>
            <w:r w:rsidRPr="0032694E">
              <w:t>1.3 Compare drawings and specifications with design brief to confirm requirements</w:t>
            </w:r>
          </w:p>
          <w:p w:rsidR="00000000" w:rsidP="0032694E">
            <w:pPr>
              <w:pStyle w:val="BodyText"/>
              <w:rPr>
                <w:lang w:val="en-NZ"/>
              </w:rPr>
            </w:pPr>
            <w:r w:rsidRPr="0032694E">
              <w:t>1.4 Confirm cable and location details with the carrier</w:t>
            </w:r>
          </w:p>
        </w:tc>
      </w:tr>
      <w:tr w:rsidTr="0032694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t>2. Cost resources and establish availability</w:t>
            </w:r>
          </w:p>
        </w:tc>
        <w:tc>
          <w:tcPr>
            <w:tcW w:w="6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2.1 Cost scheduled items using schedule of rates</w:t>
            </w:r>
          </w:p>
          <w:p w:rsidR="00000000" w:rsidRPr="0032694E" w:rsidP="0032694E">
            <w:pPr>
              <w:pStyle w:val="BodyText"/>
            </w:pPr>
            <w:r w:rsidRPr="0032694E">
              <w:t>2.2 Obtain quotes and supply dates for non-scheduled items</w:t>
            </w:r>
          </w:p>
          <w:p w:rsidR="00000000" w:rsidRPr="0032694E" w:rsidP="0032694E">
            <w:pPr>
              <w:pStyle w:val="BodyText"/>
            </w:pPr>
            <w:r w:rsidRPr="0032694E">
              <w:t>2.3 Estimate labour costs based on company practices</w:t>
            </w:r>
          </w:p>
          <w:p w:rsidR="00000000" w:rsidRPr="0032694E" w:rsidP="0032694E">
            <w:pPr>
              <w:pStyle w:val="BodyText"/>
            </w:pPr>
            <w:r w:rsidRPr="0032694E">
              <w:t>2.4 Negotiate costing with suppliers</w:t>
            </w:r>
          </w:p>
          <w:p w:rsidR="00000000" w:rsidP="0032694E">
            <w:pPr>
              <w:pStyle w:val="BodyText"/>
              <w:rPr>
                <w:lang w:val="en-NZ"/>
              </w:rPr>
            </w:pPr>
            <w:r w:rsidRPr="0032694E">
              <w:t xml:space="preserve">2.5 Cross-check costings to ensure supply proposal matches </w:t>
            </w:r>
            <w:r w:rsidRPr="0032694E">
              <w:rPr>
                <w:rStyle w:val="BoldandItalics"/>
              </w:rPr>
              <w:t>carrier specification</w:t>
            </w:r>
          </w:p>
        </w:tc>
      </w:tr>
      <w:tr w:rsidTr="0032694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t>3. Prepare estimates for carrier quote</w:t>
            </w:r>
          </w:p>
        </w:tc>
        <w:tc>
          <w:tcPr>
            <w:tcW w:w="6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 xml:space="preserve">3.1 Prepare estimates allowing for </w:t>
            </w:r>
            <w:r w:rsidRPr="0032694E">
              <w:rPr>
                <w:rStyle w:val="BoldandItalics"/>
              </w:rPr>
              <w:t>contingenc</w:t>
            </w:r>
            <w:r w:rsidRPr="0032694E">
              <w:rPr>
                <w:rStyle w:val="BoldandItalics"/>
              </w:rPr>
              <w:t xml:space="preserve">ies </w:t>
            </w:r>
            <w:r w:rsidRPr="0032694E">
              <w:t xml:space="preserve">during installation and requirements of </w:t>
            </w:r>
            <w:r w:rsidRPr="0032694E">
              <w:rPr>
                <w:rStyle w:val="BoldandItalics"/>
              </w:rPr>
              <w:t>relevant legislation, codes, regulations and standards</w:t>
            </w:r>
          </w:p>
          <w:p w:rsidR="00000000" w:rsidP="0032694E">
            <w:pPr>
              <w:pStyle w:val="BodyText"/>
              <w:rPr>
                <w:lang w:val="en-NZ"/>
              </w:rPr>
            </w:pPr>
            <w:r w:rsidRPr="0032694E">
              <w:t>3.2 Ensure estimates will return a profit on installation where appropriate</w:t>
            </w:r>
          </w:p>
        </w:tc>
      </w:tr>
      <w:tr w:rsidTr="0032694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t>4. Prepare quote and confirm with carrier</w:t>
            </w:r>
          </w:p>
        </w:tc>
        <w:tc>
          <w:tcPr>
            <w:tcW w:w="6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4.1 Prepare a project installation quote from estimates to meet carrier installation requirements</w:t>
            </w:r>
          </w:p>
          <w:p w:rsidR="00000000" w:rsidP="0032694E">
            <w:pPr>
              <w:pStyle w:val="BodyText"/>
              <w:rPr>
                <w:lang w:val="en-NZ"/>
              </w:rPr>
            </w:pPr>
            <w:r w:rsidRPr="0032694E">
              <w:t xml:space="preserve">4.2 Negotiate </w:t>
            </w:r>
            <w:r w:rsidRPr="0032694E">
              <w:rPr>
                <w:rStyle w:val="BoldandItalics"/>
              </w:rPr>
              <w:t xml:space="preserve">changes and variations </w:t>
            </w:r>
            <w:r w:rsidRPr="0032694E">
              <w:t>to meet carrier and company needs</w:t>
            </w:r>
          </w:p>
        </w:tc>
      </w:tr>
      <w:tr w:rsidTr="0032694E">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t>5. Obtain approval and initiate installation project</w:t>
            </w:r>
          </w:p>
        </w:tc>
        <w:tc>
          <w:tcPr>
            <w:tcW w:w="6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5.1 Obtain carrier's approval for</w:t>
            </w:r>
            <w:r w:rsidRPr="0032694E">
              <w:t xml:space="preserve"> project design drawings and estimate</w:t>
            </w:r>
          </w:p>
          <w:p w:rsidR="00000000" w:rsidRPr="0032694E" w:rsidP="0032694E">
            <w:pPr>
              <w:pStyle w:val="BodyText"/>
            </w:pPr>
            <w:r w:rsidRPr="0032694E">
              <w:t>5.2 Issue design drawings and specifications with authority to construct</w:t>
            </w:r>
          </w:p>
        </w:tc>
      </w:tr>
    </w:tbl>
    <w:p w:rsidR="00000000" w:rsidRPr="0032694E" w:rsidP="0032694E">
      <w:pPr>
        <w:pStyle w:val="BodyText"/>
      </w:pPr>
    </w:p>
    <w:p w:rsidR="00000000" w:rsidRPr="0032694E" w:rsidP="0032694E">
      <w:pPr>
        <w:pStyle w:val="AllowPageBreak"/>
      </w:pPr>
    </w:p>
    <w:p w:rsidR="00000000" w:rsidRPr="0032694E" w:rsidP="0032694E">
      <w:pPr>
        <w:pStyle w:val="Heading1"/>
      </w:pPr>
      <w:bookmarkStart w:id="9" w:name="O_640193"/>
      <w:bookmarkEnd w:id="9"/>
      <w:r w:rsidRPr="0032694E">
        <w:t>Required Skills and Knowledge</w:t>
      </w:r>
    </w:p>
    <w:p w:rsidR="00000000" w:rsidRPr="0032694E" w:rsidP="0032694E">
      <w:pPr>
        <w:pStyle w:val="BodyText"/>
      </w:pPr>
      <w:r w:rsidRPr="0032694E">
        <w:rPr>
          <w:rStyle w:val="Emphasis"/>
        </w:rPr>
        <w:t>This section describes the skills and knowledge required for this unit.</w:t>
      </w:r>
    </w:p>
    <w:p w:rsidR="00000000" w:rsidRPr="0032694E" w:rsidP="0032694E">
      <w:pPr>
        <w:pStyle w:val="BodyText"/>
      </w:pPr>
    </w:p>
    <w:p w:rsidR="00000000" w:rsidRPr="0032694E" w:rsidP="0032694E">
      <w:pPr>
        <w:pStyle w:val="BodyText"/>
      </w:pPr>
      <w:r w:rsidRPr="0032694E">
        <w:rPr>
          <w:rStyle w:val="SpecialBold"/>
        </w:rPr>
        <w:t>Required skills</w:t>
      </w:r>
    </w:p>
    <w:p w:rsidR="00000000" w:rsidRPr="0032694E" w:rsidP="0032694E">
      <w:pPr>
        <w:pStyle w:val="BodyText"/>
      </w:pPr>
    </w:p>
    <w:p w:rsidR="00000000" w:rsidRPr="0032694E" w:rsidP="0032694E">
      <w:pPr>
        <w:pStyle w:val="ListBullet"/>
      </w:pPr>
      <w:r w:rsidRPr="0032694E">
        <w:t>analytical skills to read and interpret drawings related to carrier's telecommunications equipment</w:t>
      </w:r>
    </w:p>
    <w:p w:rsidR="00000000" w:rsidRPr="0032694E" w:rsidP="0032694E">
      <w:pPr>
        <w:pStyle w:val="ListBullet"/>
      </w:pPr>
      <w:r w:rsidRPr="0032694E">
        <w:t>communication skills to liaise and negotiate with carriers and suppliers on technical and operational matters</w:t>
      </w:r>
    </w:p>
    <w:p w:rsidR="00000000" w:rsidRPr="0032694E" w:rsidP="0032694E">
      <w:pPr>
        <w:pStyle w:val="ListBullet"/>
      </w:pPr>
      <w:r w:rsidRPr="0032694E">
        <w:t>literacy skills to interpret technical document</w:t>
      </w:r>
      <w:r w:rsidRPr="0032694E">
        <w:t>ation, such as equipment manuals and specifications</w:t>
      </w:r>
    </w:p>
    <w:p w:rsidR="00000000" w:rsidRPr="0032694E" w:rsidP="0032694E">
      <w:pPr>
        <w:pStyle w:val="ListBullet"/>
      </w:pPr>
      <w:r w:rsidRPr="0032694E">
        <w:t>numeracy skills to estimate and quote for telecommunications installation</w:t>
      </w:r>
    </w:p>
    <w:p w:rsidR="00000000" w:rsidRPr="0032694E" w:rsidP="0032694E">
      <w:pPr>
        <w:pStyle w:val="ListBullet"/>
      </w:pPr>
      <w:r w:rsidRPr="0032694E">
        <w:t>problem-solving skills to solve equipment and logistics challenges</w:t>
      </w:r>
    </w:p>
    <w:p w:rsidR="00000000" w:rsidRPr="0032694E" w:rsidP="0032694E">
      <w:pPr>
        <w:pStyle w:val="ListBullet"/>
      </w:pPr>
      <w:r w:rsidRPr="0032694E">
        <w:t>task-management skills to:</w:t>
      </w:r>
    </w:p>
    <w:p w:rsidR="00000000" w:rsidRPr="0032694E" w:rsidP="0032694E">
      <w:pPr>
        <w:pStyle w:val="ListBullet2"/>
      </w:pPr>
      <w:r w:rsidRPr="0032694E">
        <w:t>adhere to safety requirements</w:t>
      </w:r>
    </w:p>
    <w:p w:rsidR="00000000" w:rsidRPr="0032694E" w:rsidP="0032694E">
      <w:pPr>
        <w:pStyle w:val="ListBullet2"/>
      </w:pPr>
      <w:r w:rsidRPr="0032694E">
        <w:t xml:space="preserve">work </w:t>
      </w:r>
      <w:r w:rsidRPr="0032694E">
        <w:t>systematically with required attention to detail</w:t>
      </w:r>
    </w:p>
    <w:p w:rsidR="00183F23" w:rsidP="0032694E">
      <w:pPr>
        <w:pStyle w:val="ListBullet"/>
      </w:pPr>
      <w:r w:rsidRPr="0032694E">
        <w:t>technical skills to estimate requirements for carrier telecommunications equipment installation.</w:t>
      </w:r>
    </w:p>
    <w:p w:rsidR="00183F23" w:rsidP="0032694E">
      <w:pPr>
        <w:pStyle w:val="ListBullet"/>
      </w:pPr>
    </w:p>
    <w:p w:rsidR="00000000" w:rsidRPr="0032694E" w:rsidP="0032694E">
      <w:pPr>
        <w:pStyle w:val="BodyText"/>
      </w:pPr>
      <w:r w:rsidRPr="0032694E">
        <w:rPr>
          <w:rStyle w:val="SpecialBold"/>
        </w:rPr>
        <w:t>Required knowledge</w:t>
      </w:r>
    </w:p>
    <w:p w:rsidR="00000000" w:rsidRPr="0032694E" w:rsidP="0032694E">
      <w:pPr>
        <w:pStyle w:val="BodyText"/>
      </w:pPr>
    </w:p>
    <w:p w:rsidR="00000000" w:rsidRPr="0032694E" w:rsidP="0032694E">
      <w:pPr>
        <w:pStyle w:val="ListBullet"/>
      </w:pPr>
      <w:r w:rsidRPr="0032694E">
        <w:t>features of carrier telecommunications equipment</w:t>
      </w:r>
    </w:p>
    <w:p w:rsidR="00000000" w:rsidRPr="0032694E" w:rsidP="0032694E">
      <w:pPr>
        <w:pStyle w:val="ListBullet"/>
      </w:pPr>
      <w:r w:rsidRPr="0032694E">
        <w:t>manufacturer requirements for safe operation of equipment</w:t>
      </w:r>
    </w:p>
    <w:p w:rsidR="00000000" w:rsidRPr="0032694E" w:rsidP="0032694E">
      <w:pPr>
        <w:pStyle w:val="ListBullet"/>
      </w:pPr>
      <w:r w:rsidRPr="0032694E">
        <w:t>procedures for responding to typical issues and challenges that occur on site, including:</w:t>
      </w:r>
    </w:p>
    <w:p w:rsidR="00000000" w:rsidRPr="0032694E" w:rsidP="0032694E">
      <w:pPr>
        <w:pStyle w:val="ListBullet2"/>
      </w:pPr>
      <w:r w:rsidRPr="0032694E">
        <w:t>barricading</w:t>
      </w:r>
    </w:p>
    <w:p w:rsidR="00000000" w:rsidRPr="0032694E" w:rsidP="0032694E">
      <w:pPr>
        <w:pStyle w:val="ListBullet2"/>
      </w:pPr>
      <w:r w:rsidRPr="0032694E">
        <w:t>damage to site</w:t>
      </w:r>
    </w:p>
    <w:p w:rsidR="00000000" w:rsidRPr="0032694E" w:rsidP="0032694E">
      <w:pPr>
        <w:pStyle w:val="ListBullet2"/>
      </w:pPr>
      <w:r w:rsidRPr="0032694E">
        <w:t>obtaining access</w:t>
      </w:r>
    </w:p>
    <w:p w:rsidR="00000000" w:rsidRPr="0032694E" w:rsidP="0032694E">
      <w:pPr>
        <w:pStyle w:val="ListBullet2"/>
      </w:pPr>
      <w:r w:rsidRPr="0032694E">
        <w:t>problematic weather</w:t>
      </w:r>
    </w:p>
    <w:p w:rsidR="00000000" w:rsidRPr="0032694E" w:rsidP="0032694E">
      <w:pPr>
        <w:pStyle w:val="ListBullet2"/>
      </w:pPr>
      <w:r w:rsidRPr="0032694E">
        <w:t>safety management</w:t>
      </w:r>
    </w:p>
    <w:p w:rsidR="00000000" w:rsidRPr="0032694E" w:rsidP="0032694E">
      <w:pPr>
        <w:pStyle w:val="ListBullet2"/>
      </w:pPr>
      <w:r w:rsidRPr="0032694E">
        <w:t>vegetation and mud</w:t>
      </w:r>
    </w:p>
    <w:p w:rsidR="00000000" w:rsidRPr="0032694E" w:rsidP="0032694E">
      <w:pPr>
        <w:pStyle w:val="ListBullet2"/>
      </w:pPr>
      <w:r w:rsidRPr="0032694E">
        <w:t>waste management</w:t>
      </w:r>
    </w:p>
    <w:p w:rsidR="00000000" w:rsidRPr="0032694E" w:rsidP="0032694E">
      <w:pPr>
        <w:pStyle w:val="ListBullet"/>
      </w:pPr>
      <w:r w:rsidRPr="0032694E">
        <w:t>processes and techniques required to prepare plans, estimates and quotes for installations</w:t>
      </w:r>
    </w:p>
    <w:p w:rsidR="00000000" w:rsidRPr="0032694E" w:rsidP="0032694E">
      <w:pPr>
        <w:pStyle w:val="ListBullet"/>
      </w:pPr>
      <w:r w:rsidRPr="0032694E">
        <w:t>sources of legislation, codes of practice and other formal agreements relating to installing carrier telecommunications equipment that impact on th</w:t>
      </w:r>
      <w:r w:rsidRPr="0032694E">
        <w:t>e work activity</w:t>
      </w:r>
    </w:p>
    <w:p w:rsidR="00000000" w:rsidRPr="0032694E" w:rsidP="0032694E">
      <w:pPr>
        <w:pStyle w:val="ListBullet"/>
      </w:pPr>
      <w:r w:rsidRPr="0032694E">
        <w:t>typical issues and challenges that occur when dealing with carriers.</w:t>
      </w:r>
    </w:p>
    <w:p w:rsidR="00000000" w:rsidRPr="0032694E" w:rsidP="0032694E">
      <w:pPr>
        <w:pStyle w:val="AllowPageBreak"/>
      </w:pPr>
    </w:p>
    <w:p w:rsidR="00000000" w:rsidRPr="0032694E" w:rsidP="0032694E">
      <w:pPr>
        <w:pStyle w:val="Heading1"/>
      </w:pPr>
      <w:bookmarkStart w:id="10" w:name="O_640194"/>
      <w:bookmarkEnd w:id="10"/>
      <w:r w:rsidRPr="0032694E">
        <w:t>Evidence Guide</w:t>
      </w:r>
    </w:p>
    <w:p w:rsidR="00000000" w:rsidRPr="0032694E" w:rsidP="0032694E">
      <w:pPr>
        <w:pStyle w:val="BodyText"/>
      </w:pPr>
      <w:r w:rsidRPr="0032694E">
        <w:rPr>
          <w:rStyle w:val="Emphasis"/>
        </w:rPr>
        <w:t>The evidence guide provides advice on assessment and must be read in conjunction with the performance criteria, required skills and knowled</w:t>
      </w:r>
      <w:r w:rsidRPr="0032694E">
        <w:rPr>
          <w:rStyle w:val="Emphasis"/>
        </w:rPr>
        <w:t>ge, range statement and the Assessment Guidelines for the Training Package.</w:t>
      </w:r>
    </w:p>
    <w:p w:rsidR="00000000" w:rsidRPr="0032694E" w:rsidP="0032694E">
      <w:pPr>
        <w:pStyle w:val="BodyText"/>
      </w:pPr>
    </w:p>
    <w:tbl>
      <w:tblPr>
        <w:tblW w:w="0" w:type="auto"/>
        <w:tblLayout w:type="fixed"/>
        <w:tblCellMar>
          <w:left w:w="62" w:type="dxa"/>
          <w:right w:w="62" w:type="dxa"/>
        </w:tblCellMar>
        <w:tblLook w:val="0000"/>
      </w:tblPr>
      <w:tblGrid>
        <w:gridCol w:w="2520"/>
        <w:gridCol w:w="6225"/>
      </w:tblGrid>
      <w:tr w:rsidTr="003269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p>
        </w:tc>
      </w:tr>
      <w:tr w:rsidTr="003269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Evidence of the ability to:</w:t>
            </w:r>
          </w:p>
          <w:p w:rsidR="00000000" w:rsidRPr="0032694E" w:rsidP="0032694E">
            <w:pPr>
              <w:pStyle w:val="BodyText"/>
            </w:pPr>
          </w:p>
          <w:p w:rsidR="00000000" w:rsidRPr="0032694E" w:rsidP="0032694E">
            <w:pPr>
              <w:pStyle w:val="ListBullet"/>
            </w:pPr>
            <w:r w:rsidRPr="0032694E">
              <w:t>prepare detailed estimates, and updated schematic drawings and specifications, including material and labour costs for telecommunications installations</w:t>
            </w:r>
          </w:p>
          <w:p w:rsidR="00000000" w:rsidRPr="0032694E" w:rsidP="0032694E">
            <w:pPr>
              <w:pStyle w:val="ListBullet"/>
            </w:pPr>
            <w:r w:rsidRPr="0032694E">
              <w:t>negotiate with contractors on material availability and pricing for carrier network installations</w:t>
            </w:r>
          </w:p>
          <w:p w:rsidR="00000000" w:rsidRPr="0032694E" w:rsidP="0032694E">
            <w:pPr>
              <w:pStyle w:val="ListBullet"/>
            </w:pPr>
            <w:r w:rsidRPr="0032694E">
              <w:t>comple</w:t>
            </w:r>
            <w:r w:rsidRPr="0032694E">
              <w:t>te detailed quotes for installations that allow for changes and variations</w:t>
            </w:r>
          </w:p>
          <w:p w:rsidR="00000000" w:rsidP="0032694E">
            <w:pPr>
              <w:pStyle w:val="ListBullet"/>
              <w:rPr>
                <w:lang w:val="en-NZ"/>
              </w:rPr>
            </w:pPr>
            <w:r w:rsidRPr="0032694E">
              <w:t>prepare and confirm quote with carrier.</w:t>
            </w:r>
          </w:p>
        </w:tc>
      </w:tr>
      <w:tr w:rsidTr="003269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Assessment must ensure:</w:t>
            </w:r>
          </w:p>
          <w:p w:rsidR="00000000" w:rsidRPr="0032694E" w:rsidP="0032694E">
            <w:pPr>
              <w:pStyle w:val="BodyText"/>
            </w:pPr>
          </w:p>
          <w:p w:rsidR="00000000" w:rsidRPr="0032694E" w:rsidP="0032694E">
            <w:pPr>
              <w:pStyle w:val="ListBullet"/>
            </w:pPr>
            <w:r w:rsidRPr="0032694E">
              <w:t>relevant databases, licensing requirements and other site-related</w:t>
            </w:r>
            <w:r w:rsidRPr="0032694E">
              <w:t xml:space="preserve"> documentation</w:t>
            </w:r>
          </w:p>
          <w:p w:rsidR="00000000" w:rsidP="0032694E">
            <w:pPr>
              <w:pStyle w:val="ListBullet"/>
              <w:rPr>
                <w:lang w:val="en-NZ"/>
              </w:rPr>
            </w:pPr>
            <w:r w:rsidRPr="0032694E">
              <w:t>sites on which estimates and quotes may be conducted.</w:t>
            </w:r>
          </w:p>
        </w:tc>
      </w:tr>
      <w:tr w:rsidTr="003269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A range of assessment methods should be used to assess practical skills and knowledge. The following examples are appropriate for this unit:</w:t>
            </w:r>
          </w:p>
          <w:p w:rsidR="00000000" w:rsidRPr="0032694E" w:rsidP="0032694E">
            <w:pPr>
              <w:pStyle w:val="BodyText"/>
            </w:pPr>
          </w:p>
          <w:p w:rsidR="00000000" w:rsidRPr="0032694E" w:rsidP="0032694E">
            <w:pPr>
              <w:pStyle w:val="ListBullet"/>
            </w:pPr>
            <w:r w:rsidRPr="0032694E">
              <w:t>review of a hands-on project completed by the candidate</w:t>
            </w:r>
          </w:p>
          <w:p w:rsidR="00000000" w:rsidRPr="0032694E" w:rsidP="0032694E">
            <w:pPr>
              <w:pStyle w:val="ListBullet"/>
            </w:pPr>
            <w:r w:rsidRPr="0032694E">
              <w:t>review of written estimates and quotes with completed documentation</w:t>
            </w:r>
          </w:p>
          <w:p w:rsidR="00000000" w:rsidP="0032694E">
            <w:pPr>
              <w:pStyle w:val="ListBullet"/>
              <w:rPr>
                <w:lang w:val="en-NZ"/>
              </w:rPr>
            </w:pPr>
            <w:r w:rsidRPr="0032694E">
              <w:t>oral or written questioning on the estimate and quote process.</w:t>
            </w:r>
          </w:p>
        </w:tc>
      </w:tr>
      <w:tr w:rsidTr="003269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BodyText"/>
            </w:pPr>
            <w:r w:rsidRPr="0032694E">
              <w:t>Holistic assessment with other u</w:t>
            </w:r>
            <w:r w:rsidRPr="0032694E">
              <w:t>nits relevant to the industry sector, workplace and job role is recommended, for example:</w:t>
            </w:r>
          </w:p>
          <w:p w:rsidR="00000000" w:rsidRPr="0032694E" w:rsidP="0032694E">
            <w:pPr>
              <w:pStyle w:val="BodyText"/>
            </w:pPr>
          </w:p>
          <w:p w:rsidR="00000000" w:rsidRPr="0032694E" w:rsidP="0032694E">
            <w:pPr>
              <w:pStyle w:val="ListBullet"/>
            </w:pPr>
            <w:r w:rsidRPr="0032694E">
              <w:t>ICTCBL2017B Alter services to existing cable system.</w:t>
            </w:r>
          </w:p>
          <w:p w:rsidR="00000000" w:rsidRPr="0032694E" w:rsidP="0032694E">
            <w:pPr>
              <w:pStyle w:val="BodyText"/>
            </w:pPr>
          </w:p>
          <w:p w:rsidR="00000000" w:rsidRPr="0032694E" w:rsidP="0032694E">
            <w:pPr>
              <w:pStyle w:val="BodyText"/>
            </w:pPr>
            <w:r w:rsidRPr="0032694E">
              <w:t>Aboriginal people and other people from a non-English speaking background may have second language issues.</w:t>
            </w:r>
          </w:p>
          <w:p w:rsidR="00000000" w:rsidRPr="0032694E" w:rsidP="0032694E">
            <w:pPr>
              <w:pStyle w:val="BodyText"/>
            </w:pPr>
          </w:p>
          <w:p w:rsidR="00000000" w:rsidRPr="0032694E" w:rsidP="0032694E">
            <w:pPr>
              <w:pStyle w:val="BodyText"/>
            </w:pPr>
            <w:r w:rsidRPr="0032694E">
              <w:t>Ac</w:t>
            </w:r>
            <w:r w:rsidRPr="0032694E">
              <w:t>cess must be provided to appropriate learning and assessment support when required.</w:t>
            </w:r>
          </w:p>
          <w:p w:rsidR="00000000" w:rsidRPr="0032694E" w:rsidP="0032694E">
            <w:pPr>
              <w:pStyle w:val="BodyText"/>
            </w:pPr>
          </w:p>
          <w:p w:rsidR="00000000" w:rsidRPr="0032694E" w:rsidP="0032694E">
            <w:pPr>
              <w:pStyle w:val="BodyText"/>
            </w:pPr>
            <w:r w:rsidRPr="0032694E">
              <w:t>Assessment processes and techniques must be culturally appropriate, and appropriate to the oral communication skill level, and language and literacy capacity of the candidate and the work being performed.</w:t>
            </w:r>
          </w:p>
          <w:p w:rsidR="00000000" w:rsidRPr="0032694E" w:rsidP="0032694E">
            <w:pPr>
              <w:pStyle w:val="BodyText"/>
            </w:pPr>
          </w:p>
          <w:p w:rsidR="00000000" w:rsidRPr="0032694E" w:rsidP="0032694E">
            <w:pPr>
              <w:pStyle w:val="BodyText"/>
            </w:pPr>
            <w:r w:rsidRPr="0032694E">
              <w:t>In all cases where practical assessment is used it</w:t>
            </w:r>
            <w:r w:rsidRPr="0032694E">
              <w:t xml:space="preserve"> will be combined with targeted questioning to assess required knowledge. Questioning techniques should not require language, literacy and numeracy skills beyond those required in this unit of competency.</w:t>
            </w:r>
          </w:p>
          <w:p w:rsidR="00000000" w:rsidRPr="0032694E" w:rsidP="0032694E">
            <w:pPr>
              <w:pStyle w:val="BodyText"/>
            </w:pPr>
          </w:p>
          <w:p w:rsidR="00000000" w:rsidRPr="0032694E" w:rsidP="0032694E">
            <w:pPr>
              <w:pStyle w:val="BodyText"/>
            </w:pPr>
            <w:r w:rsidRPr="0032694E">
              <w:t>Where applicable, physical resources should includ</w:t>
            </w:r>
            <w:r w:rsidRPr="0032694E">
              <w:t>e equipment modified for people with special needs.</w:t>
            </w:r>
          </w:p>
        </w:tc>
      </w:tr>
    </w:tbl>
    <w:p w:rsidR="00000000" w:rsidRPr="0032694E" w:rsidP="0032694E">
      <w:pPr>
        <w:pStyle w:val="BodyText"/>
      </w:pPr>
    </w:p>
    <w:p w:rsidR="00000000" w:rsidRPr="0032694E" w:rsidP="0032694E">
      <w:pPr>
        <w:pStyle w:val="AllowPageBreak"/>
      </w:pPr>
    </w:p>
    <w:p w:rsidR="00000000" w:rsidRPr="0032694E" w:rsidP="0032694E">
      <w:pPr>
        <w:pStyle w:val="Heading1"/>
      </w:pPr>
      <w:bookmarkStart w:id="11" w:name="O_640195"/>
      <w:bookmarkEnd w:id="11"/>
      <w:r w:rsidRPr="0032694E">
        <w:t>Range Statement</w:t>
      </w:r>
    </w:p>
    <w:p w:rsidR="00000000" w:rsidRPr="0032694E" w:rsidP="0032694E">
      <w:pPr>
        <w:pStyle w:val="BodyText"/>
      </w:pPr>
      <w:r w:rsidRPr="0032694E">
        <w:rPr>
          <w:rStyle w:val="Emphasis"/>
        </w:rPr>
        <w:t>The range statement relates to the unit of competency as a whole. It allows for different work environments and situations that may affect performance. Bold italicised w</w:t>
      </w:r>
      <w:r w:rsidRPr="0032694E">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32694E">
        <w:rPr>
          <w:rStyle w:val="Emphasis"/>
        </w:rPr>
        <w:t>onal contexts) may also be included.</w:t>
      </w:r>
    </w:p>
    <w:p w:rsidR="00000000" w:rsidRPr="0032694E" w:rsidP="0032694E">
      <w:pPr>
        <w:pStyle w:val="BodyText"/>
      </w:pPr>
    </w:p>
    <w:tbl>
      <w:tblPr>
        <w:tblW w:w="0" w:type="auto"/>
        <w:tblLayout w:type="fixed"/>
        <w:tblCellMar>
          <w:left w:w="62" w:type="dxa"/>
          <w:right w:w="62" w:type="dxa"/>
        </w:tblCellMar>
        <w:tblLook w:val="0000"/>
      </w:tblPr>
      <w:tblGrid>
        <w:gridCol w:w="2368"/>
        <w:gridCol w:w="6377"/>
      </w:tblGrid>
      <w:tr w:rsidTr="0032694E">
        <w:tblPrEx>
          <w:tblW w:w="0" w:type="auto"/>
          <w:tblLayout w:type="fixed"/>
          <w:tblCellMar>
            <w:left w:w="62" w:type="dxa"/>
            <w:right w:w="62" w:type="dxa"/>
          </w:tblCellMar>
          <w:tblLook w:val="0000"/>
        </w:tblPrEx>
        <w:tc>
          <w:tcPr>
            <w:tcW w:w="2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BoldandItalics"/>
              </w:rPr>
              <w:t xml:space="preserve">Carrier specification </w:t>
            </w:r>
            <w:r w:rsidRPr="0032694E">
              <w:t>may include:</w:t>
            </w:r>
          </w:p>
        </w:tc>
        <w:tc>
          <w:tcPr>
            <w:tcW w:w="6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ListBullet"/>
            </w:pPr>
            <w:r w:rsidRPr="0032694E">
              <w:t>cable</w:t>
            </w:r>
          </w:p>
          <w:p w:rsidR="00000000" w:rsidRPr="0032694E" w:rsidP="0032694E">
            <w:pPr>
              <w:pStyle w:val="ListBullet"/>
            </w:pPr>
            <w:r w:rsidRPr="0032694E">
              <w:t>connectors</w:t>
            </w:r>
          </w:p>
          <w:p w:rsidR="00000000" w:rsidRPr="0032694E" w:rsidP="0032694E">
            <w:pPr>
              <w:pStyle w:val="ListBullet"/>
            </w:pPr>
            <w:r w:rsidRPr="0032694E">
              <w:t>cost per cable length installed per outlet</w:t>
            </w:r>
          </w:p>
          <w:p w:rsidR="00000000" w:rsidRPr="0032694E" w:rsidP="0032694E">
            <w:pPr>
              <w:pStyle w:val="ListBullet"/>
            </w:pPr>
            <w:r w:rsidRPr="0032694E">
              <w:t>equipment types:</w:t>
            </w:r>
          </w:p>
          <w:p w:rsidR="00000000" w:rsidRPr="0032694E" w:rsidP="0032694E">
            <w:pPr>
              <w:pStyle w:val="ListBullet2"/>
            </w:pPr>
            <w:r w:rsidRPr="0032694E">
              <w:t>bandwidth managers</w:t>
            </w:r>
          </w:p>
          <w:p w:rsidR="00000000" w:rsidRPr="0032694E" w:rsidP="0032694E">
            <w:pPr>
              <w:pStyle w:val="ListBullet2"/>
            </w:pPr>
            <w:r w:rsidRPr="0032694E">
              <w:t>digital subscriber line (DSL):</w:t>
            </w:r>
          </w:p>
          <w:p w:rsidR="00000000" w:rsidRPr="0032694E" w:rsidP="0032694E">
            <w:pPr>
              <w:pStyle w:val="ListBullet3"/>
            </w:pPr>
            <w:r w:rsidRPr="0032694E">
              <w:t>asymmetrical DSL (ADSL)</w:t>
            </w:r>
          </w:p>
          <w:p w:rsidR="00000000" w:rsidRPr="0032694E" w:rsidP="0032694E">
            <w:pPr>
              <w:pStyle w:val="ListBullet3"/>
            </w:pPr>
            <w:r w:rsidRPr="0032694E">
              <w:t>digital broadcasting</w:t>
            </w:r>
          </w:p>
          <w:p w:rsidR="00000000" w:rsidRPr="0032694E" w:rsidP="0032694E">
            <w:pPr>
              <w:pStyle w:val="ListBullet3"/>
            </w:pPr>
            <w:r w:rsidRPr="0032694E">
              <w:t>computer telephony integration (CTI) technologies</w:t>
            </w:r>
          </w:p>
          <w:p w:rsidR="00000000" w:rsidRPr="0032694E" w:rsidP="0032694E">
            <w:pPr>
              <w:pStyle w:val="ListBullet2"/>
            </w:pPr>
            <w:r w:rsidRPr="0032694E">
              <w:t>modems</w:t>
            </w:r>
          </w:p>
          <w:p w:rsidR="00000000" w:rsidRPr="0032694E" w:rsidP="0032694E">
            <w:pPr>
              <w:pStyle w:val="ListBullet2"/>
            </w:pPr>
            <w:r w:rsidRPr="0032694E">
              <w:t>network equipment</w:t>
            </w:r>
          </w:p>
          <w:p w:rsidR="00000000" w:rsidRPr="0032694E" w:rsidP="0032694E">
            <w:pPr>
              <w:pStyle w:val="ListBullet2"/>
            </w:pPr>
            <w:r w:rsidRPr="0032694E">
              <w:t>private automatic branch exchange (PABX)</w:t>
            </w:r>
          </w:p>
          <w:p w:rsidR="00000000" w:rsidRPr="0032694E" w:rsidP="0032694E">
            <w:pPr>
              <w:pStyle w:val="ListBullet2"/>
            </w:pPr>
            <w:r w:rsidRPr="0032694E">
              <w:t>radio frequency (RF) equipment</w:t>
            </w:r>
          </w:p>
          <w:p w:rsidR="00000000" w:rsidRPr="0032694E" w:rsidP="0032694E">
            <w:pPr>
              <w:pStyle w:val="ListBullet2"/>
            </w:pPr>
            <w:r w:rsidRPr="0032694E">
              <w:t>single line telephones</w:t>
            </w:r>
          </w:p>
          <w:p w:rsidR="00000000" w:rsidRPr="0032694E" w:rsidP="0032694E">
            <w:pPr>
              <w:pStyle w:val="ListBullet2"/>
            </w:pPr>
            <w:r w:rsidRPr="0032694E">
              <w:t>telephone systems</w:t>
            </w:r>
          </w:p>
          <w:p w:rsidR="00000000" w:rsidRPr="0032694E" w:rsidP="0032694E">
            <w:pPr>
              <w:pStyle w:val="ListBullet2"/>
            </w:pPr>
            <w:r w:rsidRPr="0032694E">
              <w:t>radio systems</w:t>
            </w:r>
          </w:p>
          <w:p w:rsidR="00000000" w:rsidRPr="0032694E" w:rsidP="0032694E">
            <w:pPr>
              <w:pStyle w:val="ListBullet2"/>
            </w:pPr>
            <w:r w:rsidRPr="0032694E">
              <w:t>optical systems, including FTTx</w:t>
            </w:r>
          </w:p>
          <w:p w:rsidR="00000000" w:rsidRPr="0032694E" w:rsidP="0032694E">
            <w:pPr>
              <w:pStyle w:val="ListBullet2"/>
            </w:pPr>
            <w:r w:rsidRPr="0032694E">
              <w:t>video and data</w:t>
            </w:r>
          </w:p>
          <w:p w:rsidR="00000000" w:rsidRPr="0032694E" w:rsidP="0032694E">
            <w:pPr>
              <w:pStyle w:val="ListBullet"/>
            </w:pPr>
            <w:r w:rsidRPr="0032694E">
              <w:t>exist</w:t>
            </w:r>
            <w:r w:rsidRPr="0032694E">
              <w:t>ing builders or electrical contractors schedule</w:t>
            </w:r>
          </w:p>
          <w:p w:rsidR="00000000" w:rsidRPr="0032694E" w:rsidP="0032694E">
            <w:pPr>
              <w:pStyle w:val="ListBullet"/>
            </w:pPr>
            <w:r w:rsidRPr="0032694E">
              <w:t>frames</w:t>
            </w:r>
          </w:p>
          <w:p w:rsidR="00000000" w:rsidRPr="0032694E" w:rsidP="0032694E">
            <w:pPr>
              <w:pStyle w:val="ListBullet"/>
            </w:pPr>
            <w:r w:rsidRPr="0032694E">
              <w:t xml:space="preserve">requirements for: </w:t>
            </w:r>
          </w:p>
          <w:p w:rsidR="00000000" w:rsidRPr="0032694E" w:rsidP="0032694E">
            <w:pPr>
              <w:pStyle w:val="ListBullet2"/>
            </w:pPr>
            <w:r w:rsidRPr="0032694E">
              <w:t>equipment</w:t>
            </w:r>
          </w:p>
          <w:p w:rsidR="00000000" w:rsidRPr="0032694E" w:rsidP="0032694E">
            <w:pPr>
              <w:pStyle w:val="ListBullet2"/>
            </w:pPr>
            <w:r w:rsidRPr="0032694E">
              <w:t>labour</w:t>
            </w:r>
          </w:p>
          <w:p w:rsidR="00000000" w:rsidRPr="0032694E" w:rsidP="0032694E">
            <w:pPr>
              <w:pStyle w:val="ListBullet2"/>
            </w:pPr>
            <w:r w:rsidRPr="0032694E">
              <w:t>materials</w:t>
            </w:r>
          </w:p>
          <w:p w:rsidR="00000000" w:rsidRPr="0032694E" w:rsidP="0032694E">
            <w:pPr>
              <w:pStyle w:val="ListBullet2"/>
            </w:pPr>
            <w:r w:rsidRPr="0032694E">
              <w:t>other resources</w:t>
            </w:r>
          </w:p>
          <w:p w:rsidR="00000000" w:rsidRPr="0032694E" w:rsidP="0032694E">
            <w:pPr>
              <w:pStyle w:val="ListBullet"/>
            </w:pPr>
            <w:r w:rsidRPr="0032694E">
              <w:t>scope of works</w:t>
            </w:r>
          </w:p>
          <w:p w:rsidR="00000000" w:rsidRPr="0032694E" w:rsidP="0032694E">
            <w:pPr>
              <w:pStyle w:val="ListBullet"/>
            </w:pPr>
            <w:r w:rsidRPr="0032694E">
              <w:t>support system</w:t>
            </w:r>
          </w:p>
          <w:p w:rsidR="00000000" w:rsidRPr="0032694E" w:rsidP="0032694E">
            <w:pPr>
              <w:pStyle w:val="ListBullet"/>
            </w:pPr>
            <w:r w:rsidRPr="0032694E">
              <w:t>wireless networks:</w:t>
            </w:r>
          </w:p>
          <w:p w:rsidR="00000000" w:rsidRPr="0032694E" w:rsidP="0032694E">
            <w:pPr>
              <w:pStyle w:val="ListBullet2"/>
            </w:pPr>
            <w:r w:rsidRPr="0032694E">
              <w:t>cellular</w:t>
            </w:r>
          </w:p>
          <w:p w:rsidR="00000000" w:rsidRPr="0032694E" w:rsidP="0032694E">
            <w:pPr>
              <w:pStyle w:val="ListBullet2"/>
            </w:pPr>
            <w:r w:rsidRPr="0032694E">
              <w:t>microwave</w:t>
            </w:r>
          </w:p>
          <w:p w:rsidR="00000000" w:rsidRPr="0032694E" w:rsidP="0032694E">
            <w:pPr>
              <w:pStyle w:val="ListBullet2"/>
            </w:pPr>
            <w:r w:rsidRPr="0032694E">
              <w:t>radio</w:t>
            </w:r>
          </w:p>
          <w:p w:rsidR="00000000" w:rsidRPr="0032694E" w:rsidP="0032694E">
            <w:pPr>
              <w:pStyle w:val="ListBullet2"/>
            </w:pPr>
            <w:r w:rsidRPr="0032694E">
              <w:t>satellite</w:t>
            </w:r>
          </w:p>
          <w:p w:rsidR="00000000" w:rsidP="0032694E">
            <w:pPr>
              <w:pStyle w:val="ListBullet"/>
              <w:rPr>
                <w:lang w:val="en-NZ"/>
              </w:rPr>
            </w:pPr>
            <w:r w:rsidRPr="0032694E">
              <w:t>timeframes.</w:t>
            </w:r>
          </w:p>
        </w:tc>
      </w:tr>
      <w:tr w:rsidTr="0032694E">
        <w:tblPrEx>
          <w:tblW w:w="0" w:type="auto"/>
          <w:tblLayout w:type="fixed"/>
          <w:tblCellMar>
            <w:left w:w="62" w:type="dxa"/>
            <w:right w:w="62" w:type="dxa"/>
          </w:tblCellMar>
          <w:tblLook w:val="0000"/>
        </w:tblPrEx>
        <w:tc>
          <w:tcPr>
            <w:tcW w:w="2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BoldandItalics"/>
              </w:rPr>
              <w:t xml:space="preserve">Contingencies </w:t>
            </w:r>
            <w:r w:rsidRPr="0032694E">
              <w:t>may include:</w:t>
            </w:r>
          </w:p>
        </w:tc>
        <w:tc>
          <w:tcPr>
            <w:tcW w:w="6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ListBullet"/>
            </w:pPr>
            <w:r w:rsidRPr="0032694E">
              <w:t>need for integration with existing building works schedules where available</w:t>
            </w:r>
          </w:p>
          <w:p w:rsidR="00000000" w:rsidRPr="0032694E" w:rsidP="0032694E">
            <w:pPr>
              <w:pStyle w:val="ListBullet"/>
            </w:pPr>
            <w:r w:rsidRPr="0032694E">
              <w:t>requirements for installation method or of any proprietary system being installed</w:t>
            </w:r>
          </w:p>
          <w:p w:rsidR="00000000" w:rsidP="0032694E">
            <w:pPr>
              <w:pStyle w:val="ListBullet"/>
              <w:rPr>
                <w:lang w:val="en-NZ"/>
              </w:rPr>
            </w:pPr>
            <w:r w:rsidRPr="0032694E">
              <w:t>relevant constraints.</w:t>
            </w:r>
          </w:p>
        </w:tc>
      </w:tr>
      <w:tr w:rsidTr="0032694E">
        <w:tblPrEx>
          <w:tblW w:w="0" w:type="auto"/>
          <w:tblLayout w:type="fixed"/>
          <w:tblCellMar>
            <w:left w:w="62" w:type="dxa"/>
            <w:right w:w="62" w:type="dxa"/>
          </w:tblCellMar>
          <w:tblLook w:val="0000"/>
        </w:tblPrEx>
        <w:tc>
          <w:tcPr>
            <w:tcW w:w="2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BoldandItalics"/>
              </w:rPr>
              <w:t xml:space="preserve">Relevant legislation, codes, regulations and standards </w:t>
            </w:r>
            <w:r w:rsidRPr="0032694E">
              <w:t>may include:</w:t>
            </w:r>
          </w:p>
        </w:tc>
        <w:tc>
          <w:tcPr>
            <w:tcW w:w="6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ListBullet"/>
            </w:pPr>
            <w:r w:rsidRPr="0032694E">
              <w:t>AS Communications Cabling Manual (CCM) Volume 1</w:t>
            </w:r>
          </w:p>
          <w:p w:rsidR="00000000" w:rsidRPr="0032694E" w:rsidP="0032694E">
            <w:pPr>
              <w:pStyle w:val="ListBullet"/>
            </w:pPr>
            <w:r w:rsidRPr="0032694E">
              <w:t>AS/NZS 3000:2007</w:t>
            </w:r>
          </w:p>
          <w:p w:rsidR="00000000" w:rsidRPr="0032694E" w:rsidP="0032694E">
            <w:pPr>
              <w:pStyle w:val="ListBullet"/>
            </w:pPr>
            <w:r w:rsidRPr="0032694E">
              <w:t>AS/NZS 3080:2003</w:t>
            </w:r>
          </w:p>
          <w:p w:rsidR="00000000" w:rsidRPr="0032694E" w:rsidP="0032694E">
            <w:pPr>
              <w:pStyle w:val="ListBullet"/>
            </w:pPr>
            <w:r w:rsidRPr="0032694E">
              <w:t>AS/NZS 3084:2003</w:t>
            </w:r>
          </w:p>
          <w:p w:rsidR="00000000" w:rsidRPr="0032694E" w:rsidP="0032694E">
            <w:pPr>
              <w:pStyle w:val="ListBullet"/>
            </w:pPr>
            <w:r w:rsidRPr="0032694E">
              <w:t>AS/NZS 3085.1:2004</w:t>
            </w:r>
          </w:p>
          <w:p w:rsidR="00000000" w:rsidRPr="0032694E" w:rsidP="0032694E">
            <w:pPr>
              <w:pStyle w:val="ListBullet"/>
            </w:pPr>
            <w:r w:rsidRPr="0032694E">
              <w:t>AS/NZS IEC 61935.1:2006</w:t>
            </w:r>
          </w:p>
          <w:p w:rsidR="00000000" w:rsidRPr="0032694E" w:rsidP="0032694E">
            <w:pPr>
              <w:pStyle w:val="ListBullet"/>
            </w:pPr>
            <w:r w:rsidRPr="0032694E">
              <w:t>AS/NZS IEC 61935.2:2006</w:t>
            </w:r>
          </w:p>
          <w:p w:rsidR="00000000" w:rsidRPr="0032694E" w:rsidP="0032694E">
            <w:pPr>
              <w:pStyle w:val="ListBullet"/>
            </w:pPr>
            <w:r w:rsidRPr="0032694E">
              <w:t>AS/NZS ISO/IEC 14763.3:2007</w:t>
            </w:r>
          </w:p>
          <w:p w:rsidR="00000000" w:rsidRPr="0032694E" w:rsidP="0032694E">
            <w:pPr>
              <w:pStyle w:val="ListBullet"/>
            </w:pPr>
            <w:r w:rsidRPr="0032694E">
              <w:t>AS/NZS ISO/IEC 15018:2005</w:t>
            </w:r>
          </w:p>
          <w:p w:rsidR="00000000" w:rsidRPr="0032694E" w:rsidP="0032694E">
            <w:pPr>
              <w:pStyle w:val="ListBullet"/>
            </w:pPr>
            <w:r w:rsidRPr="0032694E">
              <w:t>AS/NZS ISO/IEC 24702:2007</w:t>
            </w:r>
          </w:p>
          <w:p w:rsidR="00000000" w:rsidRPr="0032694E" w:rsidP="0032694E">
            <w:pPr>
              <w:pStyle w:val="ListBullet"/>
            </w:pPr>
            <w:r w:rsidRPr="0032694E">
              <w:t>Australian</w:t>
            </w:r>
            <w:r w:rsidRPr="0032694E">
              <w:t xml:space="preserve"> building codes and regulations</w:t>
            </w:r>
          </w:p>
          <w:p w:rsidR="00000000" w:rsidRPr="0032694E" w:rsidP="0032694E">
            <w:pPr>
              <w:pStyle w:val="ListBullet"/>
            </w:pPr>
            <w:r w:rsidRPr="0032694E">
              <w:t>Australian Communications Industry Forum (ACIF) standards and codes</w:t>
            </w:r>
          </w:p>
          <w:p w:rsidR="00000000" w:rsidRPr="0032694E" w:rsidP="0032694E">
            <w:pPr>
              <w:pStyle w:val="ListBullet"/>
            </w:pPr>
            <w:r w:rsidRPr="0032694E">
              <w:t>cabling security codes and regulations</w:t>
            </w:r>
          </w:p>
          <w:p w:rsidR="00000000" w:rsidRPr="0032694E" w:rsidP="0032694E">
            <w:pPr>
              <w:pStyle w:val="ListBullet"/>
            </w:pPr>
            <w:r w:rsidRPr="0032694E">
              <w:t xml:space="preserve">compliance with appropriate Australian Communications and Media Authority (ACMA) technical standard requirements for </w:t>
            </w:r>
            <w:r w:rsidRPr="0032694E">
              <w:t xml:space="preserve">underground, aerial, Category 5, 6, 6A, 7 or 7A and unshielded twisted pairs (UTP) </w:t>
            </w:r>
          </w:p>
          <w:p w:rsidR="00000000" w:rsidRPr="0032694E" w:rsidP="0032694E">
            <w:pPr>
              <w:pStyle w:val="ListBullet"/>
            </w:pPr>
            <w:r w:rsidRPr="0032694E">
              <w:t>Environment Protection Acts</w:t>
            </w:r>
          </w:p>
          <w:p w:rsidR="00000000" w:rsidRPr="0032694E" w:rsidP="0032694E">
            <w:pPr>
              <w:pStyle w:val="ListBullet"/>
            </w:pPr>
            <w:r w:rsidRPr="0032694E">
              <w:t>fire regulations</w:t>
            </w:r>
          </w:p>
          <w:p w:rsidR="00000000" w:rsidRPr="0032694E" w:rsidP="0032694E">
            <w:pPr>
              <w:pStyle w:val="ListBullet"/>
            </w:pPr>
            <w:r w:rsidRPr="0032694E">
              <w:t xml:space="preserve">Institute of Electrical and Electronics Engineers (IEEE) </w:t>
            </w:r>
          </w:p>
          <w:p w:rsidR="00000000" w:rsidRPr="0032694E" w:rsidP="0032694E">
            <w:pPr>
              <w:pStyle w:val="ListBullet"/>
            </w:pPr>
            <w:r w:rsidRPr="0032694E">
              <w:t>mining legislation</w:t>
            </w:r>
          </w:p>
          <w:p w:rsidR="00000000" w:rsidRPr="0032694E" w:rsidP="0032694E">
            <w:pPr>
              <w:pStyle w:val="ListBullet"/>
            </w:pPr>
            <w:r w:rsidRPr="0032694E">
              <w:t xml:space="preserve">noise abatement and heritage legislation </w:t>
            </w:r>
          </w:p>
          <w:p w:rsidR="00000000" w:rsidRPr="0032694E" w:rsidP="0032694E">
            <w:pPr>
              <w:pStyle w:val="ListBullet"/>
            </w:pPr>
            <w:r w:rsidRPr="0032694E">
              <w:t>relevant international standards</w:t>
            </w:r>
          </w:p>
          <w:p w:rsidR="00000000" w:rsidRPr="0032694E" w:rsidP="0032694E">
            <w:pPr>
              <w:pStyle w:val="ListBullet"/>
            </w:pPr>
            <w:r w:rsidRPr="0032694E">
              <w:t>technical standards AS/ACIF S008:2006 and AS/ACIF S009:2006</w:t>
            </w:r>
          </w:p>
          <w:p w:rsidR="00000000" w:rsidRPr="0032694E" w:rsidP="0032694E">
            <w:pPr>
              <w:pStyle w:val="ListBullet"/>
            </w:pPr>
            <w:r w:rsidRPr="0032694E">
              <w:t>Telecommunications Act and code of practice</w:t>
            </w:r>
          </w:p>
          <w:p w:rsidR="00000000" w:rsidRPr="0032694E" w:rsidP="0032694E">
            <w:pPr>
              <w:pStyle w:val="ListBullet"/>
            </w:pPr>
            <w:r w:rsidRPr="0032694E">
              <w:t>Trade Practices Act</w:t>
            </w:r>
          </w:p>
          <w:p w:rsidR="00000000" w:rsidP="0032694E">
            <w:pPr>
              <w:pStyle w:val="ListBullet"/>
              <w:rPr>
                <w:lang w:val="en-NZ"/>
              </w:rPr>
            </w:pPr>
            <w:r w:rsidRPr="0032694E">
              <w:t>WHS Acts and relevant codes and standards.</w:t>
            </w:r>
          </w:p>
        </w:tc>
      </w:tr>
      <w:tr w:rsidTr="0032694E">
        <w:tblPrEx>
          <w:tblW w:w="0" w:type="auto"/>
          <w:tblLayout w:type="fixed"/>
          <w:tblCellMar>
            <w:left w:w="62" w:type="dxa"/>
            <w:right w:w="62" w:type="dxa"/>
          </w:tblCellMar>
          <w:tblLook w:val="0000"/>
        </w:tblPrEx>
        <w:tc>
          <w:tcPr>
            <w:tcW w:w="2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94E">
            <w:pPr>
              <w:pStyle w:val="BodyText"/>
              <w:rPr>
                <w:lang w:val="en-NZ"/>
              </w:rPr>
            </w:pPr>
            <w:r w:rsidRPr="0032694E">
              <w:rPr>
                <w:rStyle w:val="BoldandItalics"/>
              </w:rPr>
              <w:t xml:space="preserve">Changes and variations </w:t>
            </w:r>
            <w:r w:rsidRPr="0032694E">
              <w:t>may include:</w:t>
            </w:r>
          </w:p>
        </w:tc>
        <w:tc>
          <w:tcPr>
            <w:tcW w:w="6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94E" w:rsidP="0032694E">
            <w:pPr>
              <w:pStyle w:val="ListBullet"/>
            </w:pPr>
            <w:r w:rsidRPr="0032694E">
              <w:t>availability</w:t>
            </w:r>
          </w:p>
          <w:p w:rsidR="00000000" w:rsidRPr="0032694E" w:rsidP="0032694E">
            <w:pPr>
              <w:pStyle w:val="ListBullet"/>
            </w:pPr>
            <w:r w:rsidRPr="0032694E">
              <w:t>deliv</w:t>
            </w:r>
            <w:r w:rsidRPr="0032694E">
              <w:t>ery</w:t>
            </w:r>
          </w:p>
          <w:p w:rsidR="00000000" w:rsidRPr="0032694E" w:rsidP="0032694E">
            <w:pPr>
              <w:pStyle w:val="ListBullet"/>
            </w:pPr>
            <w:r w:rsidRPr="0032694E">
              <w:t>disputes</w:t>
            </w:r>
          </w:p>
          <w:p w:rsidR="00000000" w:rsidRPr="0032694E" w:rsidP="0032694E">
            <w:pPr>
              <w:pStyle w:val="ListBullet"/>
            </w:pPr>
            <w:r w:rsidRPr="0032694E">
              <w:t>insurance</w:t>
            </w:r>
          </w:p>
          <w:p w:rsidR="00000000" w:rsidRPr="0032694E" w:rsidP="0032694E">
            <w:pPr>
              <w:pStyle w:val="ListBullet"/>
            </w:pPr>
            <w:r w:rsidRPr="0032694E">
              <w:t>maintenance</w:t>
            </w:r>
          </w:p>
          <w:p w:rsidR="00000000" w:rsidRPr="0032694E" w:rsidP="0032694E">
            <w:pPr>
              <w:pStyle w:val="ListBullet"/>
            </w:pPr>
            <w:r w:rsidRPr="0032694E">
              <w:t>network/system security implications</w:t>
            </w:r>
          </w:p>
          <w:p w:rsidR="00000000" w:rsidRPr="0032694E" w:rsidP="0032694E">
            <w:pPr>
              <w:pStyle w:val="ListBullet"/>
            </w:pPr>
            <w:r w:rsidRPr="0032694E">
              <w:t>preparation of manuals</w:t>
            </w:r>
          </w:p>
          <w:p w:rsidR="00000000" w:rsidRPr="0032694E" w:rsidP="0032694E">
            <w:pPr>
              <w:pStyle w:val="ListBullet"/>
            </w:pPr>
            <w:r w:rsidRPr="0032694E">
              <w:t>restricted site access</w:t>
            </w:r>
          </w:p>
          <w:p w:rsidR="00000000" w:rsidRPr="0032694E" w:rsidP="0032694E">
            <w:pPr>
              <w:pStyle w:val="ListBullet"/>
            </w:pPr>
            <w:r w:rsidRPr="0032694E">
              <w:t>testing requirements</w:t>
            </w:r>
          </w:p>
          <w:p w:rsidR="00000000" w:rsidRPr="0032694E" w:rsidP="0032694E">
            <w:pPr>
              <w:pStyle w:val="ListBullet"/>
            </w:pPr>
            <w:r w:rsidRPr="0032694E">
              <w:t>time penalties.</w:t>
            </w:r>
          </w:p>
        </w:tc>
      </w:tr>
    </w:tbl>
    <w:p w:rsidR="00000000" w:rsidRPr="0032694E" w:rsidP="0032694E">
      <w:pPr>
        <w:pStyle w:val="BodyText"/>
      </w:pPr>
    </w:p>
    <w:p w:rsidR="00000000" w:rsidRPr="0032694E" w:rsidP="0032694E">
      <w:pPr>
        <w:pStyle w:val="AllowPageBreak"/>
      </w:pPr>
    </w:p>
    <w:p w:rsidR="00000000" w:rsidRPr="0032694E" w:rsidP="0032694E">
      <w:pPr>
        <w:pStyle w:val="Heading1"/>
      </w:pPr>
      <w:bookmarkStart w:id="12" w:name="O_640196"/>
      <w:bookmarkEnd w:id="12"/>
      <w:r w:rsidRPr="0032694E">
        <w:t>Unit Sector(s)</w:t>
      </w:r>
    </w:p>
    <w:p w:rsidR="00000000" w:rsidRPr="0032694E" w:rsidP="0032694E">
      <w:pPr>
        <w:pStyle w:val="BodyText"/>
      </w:pPr>
      <w:r w:rsidRPr="0032694E">
        <w:t>Telecommunications - Telecommunications networks engineering</w:t>
      </w:r>
    </w:p>
    <w:p w:rsidR="00000000" w:rsidRPr="0032694E" w:rsidP="0032694E"/>
    <w:sectPr w:rsidSect="00326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4E" w:rsidRPr="00183F23" w:rsidP="00183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23" w:rsidP="00326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3F23" w:rsidP="0032694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3F23" w:rsidP="00326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4E" w:rsidRPr="00183F23" w:rsidP="00183F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23" w:rsidRPr="002D2AF8" w:rsidP="0032694E">
    <w:pPr>
      <w:pStyle w:val="Header"/>
      <w:framePr w:wrap="around"/>
    </w:pPr>
    <w:r>
      <w:fldChar w:fldCharType="begin"/>
    </w:r>
    <w:r>
      <w:instrText xml:space="preserve"> TITLE   \* MERGEFORMAT </w:instrText>
    </w:r>
    <w:r>
      <w:fldChar w:fldCharType="separate"/>
    </w:r>
    <w:r>
      <w:t>ICTTEN4244A Estimate and quote for carrier telecommunications equipment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83F23" w:rsidP="00326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40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28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E2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94E"/>
    <w:pPr>
      <w:spacing w:before="360" w:after="60"/>
      <w:outlineLvl w:val="0"/>
    </w:pPr>
    <w:rPr>
      <w:sz w:val="32"/>
    </w:rPr>
  </w:style>
  <w:style w:type="paragraph" w:styleId="Heading2">
    <w:name w:val="heading 2"/>
    <w:basedOn w:val="HeadingBase"/>
    <w:next w:val="BodyText"/>
    <w:link w:val="Heading2Char"/>
    <w:qFormat/>
    <w:rsid w:val="0032694E"/>
    <w:pPr>
      <w:keepLines/>
      <w:spacing w:before="240" w:after="120"/>
      <w:outlineLvl w:val="1"/>
    </w:pPr>
    <w:rPr>
      <w:sz w:val="28"/>
      <w:szCs w:val="40"/>
    </w:rPr>
  </w:style>
  <w:style w:type="paragraph" w:styleId="Heading3">
    <w:name w:val="heading 3"/>
    <w:basedOn w:val="HeadingBase"/>
    <w:next w:val="BodyText"/>
    <w:link w:val="Heading3Char"/>
    <w:qFormat/>
    <w:rsid w:val="0032694E"/>
    <w:pPr>
      <w:spacing w:before="180" w:after="120"/>
      <w:outlineLvl w:val="2"/>
    </w:pPr>
    <w:rPr>
      <w:spacing w:val="-10"/>
      <w:kern w:val="32"/>
    </w:rPr>
  </w:style>
  <w:style w:type="paragraph" w:styleId="Heading4">
    <w:name w:val="heading 4"/>
    <w:basedOn w:val="HeadingBase"/>
    <w:next w:val="BodyText"/>
    <w:link w:val="Heading4Char"/>
    <w:qFormat/>
    <w:rsid w:val="0032694E"/>
    <w:pPr>
      <w:spacing w:before="160" w:after="120"/>
      <w:outlineLvl w:val="3"/>
    </w:pPr>
    <w:rPr>
      <w:sz w:val="22"/>
    </w:rPr>
  </w:style>
  <w:style w:type="paragraph" w:styleId="Heading5">
    <w:name w:val="heading 5"/>
    <w:basedOn w:val="HeadingBase"/>
    <w:next w:val="Normal"/>
    <w:link w:val="Heading5Char"/>
    <w:qFormat/>
    <w:rsid w:val="0032694E"/>
    <w:pPr>
      <w:spacing w:before="80"/>
      <w:outlineLvl w:val="4"/>
    </w:pPr>
    <w:rPr>
      <w:color w:val="918585"/>
      <w:sz w:val="20"/>
    </w:rPr>
  </w:style>
  <w:style w:type="paragraph" w:styleId="Heading6">
    <w:name w:val="heading 6"/>
    <w:basedOn w:val="HeadingBase"/>
    <w:next w:val="Normal"/>
    <w:link w:val="Heading6Char"/>
    <w:qFormat/>
    <w:rsid w:val="0032694E"/>
    <w:pPr>
      <w:spacing w:before="60"/>
      <w:outlineLvl w:val="5"/>
    </w:pPr>
    <w:rPr>
      <w:color w:val="918585"/>
      <w:sz w:val="20"/>
    </w:rPr>
  </w:style>
  <w:style w:type="paragraph" w:styleId="Heading7">
    <w:name w:val="heading 7"/>
    <w:basedOn w:val="Normal"/>
    <w:next w:val="Normal"/>
    <w:link w:val="Heading7Char"/>
    <w:qFormat/>
    <w:rsid w:val="0032694E"/>
    <w:pPr>
      <w:ind w:left="720"/>
      <w:outlineLvl w:val="6"/>
    </w:pPr>
    <w:rPr>
      <w:i/>
    </w:rPr>
  </w:style>
  <w:style w:type="paragraph" w:styleId="Heading8">
    <w:name w:val="heading 8"/>
    <w:basedOn w:val="Normal"/>
    <w:next w:val="Normal"/>
    <w:link w:val="Heading8Char"/>
    <w:qFormat/>
    <w:rsid w:val="0032694E"/>
    <w:pPr>
      <w:ind w:left="720"/>
      <w:outlineLvl w:val="7"/>
    </w:pPr>
    <w:rPr>
      <w:i/>
    </w:rPr>
  </w:style>
  <w:style w:type="paragraph" w:styleId="Heading9">
    <w:name w:val="heading 9"/>
    <w:basedOn w:val="Normal"/>
    <w:next w:val="Normal"/>
    <w:link w:val="Heading9Char"/>
    <w:qFormat/>
    <w:rsid w:val="0032694E"/>
    <w:pPr>
      <w:ind w:left="720"/>
      <w:outlineLvl w:val="8"/>
    </w:pPr>
    <w:rPr>
      <w:i/>
    </w:rPr>
  </w:style>
  <w:style w:type="character" w:default="1" w:styleId="DefaultParagraphFont">
    <w:name w:val="Default Paragraph Font"/>
    <w:uiPriority w:val="1"/>
    <w:unhideWhenUsed/>
    <w:rsid w:val="00326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94E"/>
  </w:style>
  <w:style w:type="character" w:customStyle="1" w:styleId="Heading1Char">
    <w:name w:val="Heading 1 Char"/>
    <w:basedOn w:val="DefaultParagraphFont"/>
    <w:link w:val="Heading1"/>
    <w:rsid w:val="0032694E"/>
    <w:rPr>
      <w:rFonts w:ascii="Times New Roman" w:eastAsia="Times New Roman" w:hAnsi="Times New Roman" w:cs="Times New Roman"/>
      <w:b/>
      <w:sz w:val="32"/>
      <w:szCs w:val="20"/>
      <w:lang w:eastAsia="en-US"/>
    </w:rPr>
  </w:style>
  <w:style w:type="paragraph" w:styleId="BodyText">
    <w:name w:val="Body Text"/>
    <w:basedOn w:val="Normal"/>
    <w:link w:val="BodyTextChar"/>
    <w:rsid w:val="00326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94E"/>
    <w:rPr>
      <w:rFonts w:ascii="Times New Roman" w:eastAsia="Times New Roman" w:hAnsi="Times New Roman" w:cs="Times New Roman"/>
      <w:sz w:val="24"/>
      <w:lang w:eastAsia="en-US"/>
    </w:rPr>
  </w:style>
  <w:style w:type="paragraph" w:styleId="ListBullet">
    <w:name w:val="List Bullet"/>
    <w:basedOn w:val="List"/>
    <w:rsid w:val="0032694E"/>
    <w:pPr>
      <w:numPr>
        <w:numId w:val="14"/>
      </w:numPr>
      <w:tabs>
        <w:tab w:val="clear" w:pos="340"/>
      </w:tabs>
      <w:spacing w:before="40" w:after="40"/>
    </w:pPr>
  </w:style>
  <w:style w:type="character" w:customStyle="1" w:styleId="SpecialBold">
    <w:name w:val="Special Bold"/>
    <w:basedOn w:val="DefaultParagraphFont"/>
    <w:rsid w:val="0032694E"/>
    <w:rPr>
      <w:b/>
      <w:spacing w:val="0"/>
    </w:rPr>
  </w:style>
  <w:style w:type="paragraph" w:styleId="ListBullet2">
    <w:name w:val="List Bullet 2"/>
    <w:basedOn w:val="List2"/>
    <w:rsid w:val="0032694E"/>
    <w:pPr>
      <w:numPr>
        <w:numId w:val="15"/>
      </w:numPr>
      <w:tabs>
        <w:tab w:val="clear" w:pos="680"/>
      </w:tabs>
    </w:pPr>
  </w:style>
  <w:style w:type="character" w:styleId="Emphasis">
    <w:name w:val="Emphasis"/>
    <w:basedOn w:val="DefaultParagraphFont"/>
    <w:qFormat/>
    <w:rsid w:val="0032694E"/>
    <w:rPr>
      <w:i/>
    </w:rPr>
  </w:style>
  <w:style w:type="paragraph" w:customStyle="1" w:styleId="SuperHeading">
    <w:name w:val="SuperHeading"/>
    <w:basedOn w:val="Normal"/>
    <w:rsid w:val="0032694E"/>
    <w:pPr>
      <w:spacing w:before="240" w:after="120"/>
      <w:outlineLvl w:val="0"/>
    </w:pPr>
    <w:rPr>
      <w:rFonts w:ascii="Times New Roman" w:hAnsi="Times New Roman"/>
      <w:b/>
      <w:sz w:val="32"/>
    </w:rPr>
  </w:style>
  <w:style w:type="paragraph" w:customStyle="1" w:styleId="AllowPageBreak">
    <w:name w:val="AllowPageBreak"/>
    <w:rsid w:val="003269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694E"/>
    <w:pPr>
      <w:numPr>
        <w:numId w:val="3"/>
      </w:numPr>
      <w:tabs>
        <w:tab w:val="clear" w:pos="1021"/>
      </w:tabs>
      <w:ind w:left="1037" w:hanging="357"/>
    </w:pPr>
  </w:style>
  <w:style w:type="character" w:customStyle="1" w:styleId="BoldandItalics">
    <w:name w:val="Bold and Italics"/>
    <w:qFormat/>
    <w:rsid w:val="0032694E"/>
    <w:rPr>
      <w:b/>
      <w:i/>
      <w:u w:val="none"/>
    </w:rPr>
  </w:style>
  <w:style w:type="character" w:customStyle="1" w:styleId="Heading2Char">
    <w:name w:val="Heading 2 Char"/>
    <w:basedOn w:val="DefaultParagraphFont"/>
    <w:link w:val="Heading2"/>
    <w:rsid w:val="00326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94E"/>
    <w:rPr>
      <w:rFonts w:ascii="Courier New" w:eastAsia="Times New Roman" w:hAnsi="Courier New" w:cs="Times New Roman"/>
      <w:i/>
      <w:szCs w:val="20"/>
      <w:lang w:eastAsia="en-US"/>
    </w:rPr>
  </w:style>
  <w:style w:type="paragraph" w:customStyle="1" w:styleId="HeadingBase">
    <w:name w:val="Heading Base"/>
    <w:rsid w:val="00326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94E"/>
    <w:pPr>
      <w:tabs>
        <w:tab w:val="right" w:leader="dot" w:pos="9072"/>
      </w:tabs>
      <w:ind w:left="567"/>
    </w:pPr>
    <w:rPr>
      <w:szCs w:val="22"/>
    </w:rPr>
  </w:style>
  <w:style w:type="paragraph" w:customStyle="1" w:styleId="TOCBase">
    <w:name w:val="TOC Base"/>
    <w:rsid w:val="00326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94E"/>
    <w:pPr>
      <w:tabs>
        <w:tab w:val="right" w:leader="dot" w:pos="9072"/>
      </w:tabs>
      <w:spacing w:before="40" w:after="40"/>
      <w:ind w:left="284"/>
    </w:pPr>
    <w:rPr>
      <w:rFonts w:ascii="Times New Roman" w:hAnsi="Times New Roman"/>
    </w:rPr>
  </w:style>
  <w:style w:type="paragraph" w:styleId="TOC1">
    <w:name w:val="toc 1"/>
    <w:basedOn w:val="TOCBase"/>
    <w:next w:val="Normal"/>
    <w:rsid w:val="00326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94E"/>
    <w:rPr>
      <w:rFonts w:ascii="Times New Roman" w:eastAsia="Times New Roman" w:hAnsi="Times New Roman" w:cs="Times New Roman"/>
      <w:sz w:val="16"/>
      <w:lang w:eastAsia="en-US"/>
    </w:rPr>
  </w:style>
  <w:style w:type="paragraph" w:styleId="Title">
    <w:name w:val="Title"/>
    <w:basedOn w:val="HeadingBase"/>
    <w:link w:val="TitleChar"/>
    <w:qFormat/>
    <w:rsid w:val="0032694E"/>
    <w:pPr>
      <w:spacing w:before="5040"/>
      <w:jc w:val="center"/>
    </w:pPr>
    <w:rPr>
      <w:sz w:val="48"/>
      <w:szCs w:val="72"/>
      <w:lang w:val="en-US"/>
    </w:rPr>
  </w:style>
  <w:style w:type="character" w:customStyle="1" w:styleId="TitleChar">
    <w:name w:val="Title Char"/>
    <w:basedOn w:val="DefaultParagraphFont"/>
    <w:link w:val="Title"/>
    <w:rsid w:val="00326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94E"/>
    <w:pPr>
      <w:tabs>
        <w:tab w:val="left" w:pos="3600"/>
        <w:tab w:val="left" w:pos="3958"/>
      </w:tabs>
    </w:pPr>
  </w:style>
  <w:style w:type="paragraph" w:styleId="List">
    <w:name w:val="List"/>
    <w:basedOn w:val="BodyText"/>
    <w:next w:val="BodyText"/>
    <w:rsid w:val="0032694E"/>
    <w:pPr>
      <w:tabs>
        <w:tab w:val="left" w:pos="340"/>
      </w:tabs>
      <w:spacing w:before="60" w:after="60"/>
      <w:ind w:left="340" w:hanging="340"/>
    </w:pPr>
  </w:style>
  <w:style w:type="paragraph" w:customStyle="1" w:styleId="Note">
    <w:name w:val="Note"/>
    <w:basedOn w:val="BodyText"/>
    <w:rsid w:val="00326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94E"/>
    <w:pPr>
      <w:framePr w:wrap="auto" w:hAnchor="text" w:y="6049"/>
    </w:pPr>
    <w:rPr>
      <w:color w:val="000000"/>
      <w:sz w:val="40"/>
    </w:rPr>
  </w:style>
  <w:style w:type="paragraph" w:customStyle="1" w:styleId="TOCTitle">
    <w:name w:val="TOCTitle"/>
    <w:basedOn w:val="Heading1"/>
    <w:rsid w:val="0032694E"/>
    <w:pPr>
      <w:spacing w:after="240"/>
      <w:jc w:val="center"/>
      <w:outlineLvl w:val="9"/>
    </w:pPr>
    <w:rPr>
      <w:caps/>
    </w:rPr>
  </w:style>
  <w:style w:type="paragraph" w:customStyle="1" w:styleId="Version">
    <w:name w:val="Version"/>
    <w:rsid w:val="00326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94E"/>
    <w:pPr>
      <w:keepNext w:val="0"/>
      <w:tabs>
        <w:tab w:val="right" w:pos="4176"/>
      </w:tabs>
      <w:ind w:left="198" w:hanging="198"/>
    </w:pPr>
    <w:rPr>
      <w:rFonts w:ascii="Garamond" w:hAnsi="Garamond"/>
    </w:rPr>
  </w:style>
  <w:style w:type="paragraph" w:styleId="IndexHeading">
    <w:name w:val="index heading"/>
    <w:basedOn w:val="Normal"/>
    <w:next w:val="Index1"/>
    <w:semiHidden/>
    <w:rsid w:val="0032694E"/>
    <w:pPr>
      <w:spacing w:before="120" w:after="120"/>
    </w:pPr>
    <w:rPr>
      <w:rFonts w:ascii="Arial" w:hAnsi="Arial"/>
      <w:b/>
      <w:color w:val="918585"/>
      <w:sz w:val="24"/>
    </w:rPr>
  </w:style>
  <w:style w:type="paragraph" w:styleId="Header">
    <w:name w:val="header"/>
    <w:basedOn w:val="Normal"/>
    <w:link w:val="HeaderChar"/>
    <w:rsid w:val="00326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94E"/>
    <w:rPr>
      <w:rFonts w:ascii="Times New Roman" w:eastAsia="Times New Roman" w:hAnsi="Times New Roman" w:cs="Times New Roman"/>
      <w:sz w:val="16"/>
      <w:szCs w:val="20"/>
      <w:lang w:val="en-GB" w:eastAsia="en-US"/>
    </w:rPr>
  </w:style>
  <w:style w:type="paragraph" w:customStyle="1" w:styleId="Chapter">
    <w:name w:val="Chapter"/>
    <w:basedOn w:val="Normal"/>
    <w:rsid w:val="0032694E"/>
    <w:pPr>
      <w:spacing w:before="240"/>
    </w:pPr>
    <w:rPr>
      <w:rFonts w:ascii="Times New Roman" w:hAnsi="Times New Roman"/>
      <w:smallCaps/>
      <w:spacing w:val="80"/>
      <w:sz w:val="28"/>
    </w:rPr>
  </w:style>
  <w:style w:type="paragraph" w:customStyle="1" w:styleId="InChapter">
    <w:name w:val="InChapter"/>
    <w:basedOn w:val="Heading3"/>
    <w:rsid w:val="0032694E"/>
    <w:pPr>
      <w:spacing w:after="240"/>
      <w:outlineLvl w:val="9"/>
    </w:pPr>
    <w:rPr>
      <w:noProof/>
    </w:rPr>
  </w:style>
  <w:style w:type="paragraph" w:styleId="Index2">
    <w:name w:val="index 2"/>
    <w:basedOn w:val="Normal"/>
    <w:next w:val="Normal"/>
    <w:semiHidden/>
    <w:rsid w:val="0032694E"/>
    <w:pPr>
      <w:tabs>
        <w:tab w:val="right" w:pos="4176"/>
      </w:tabs>
      <w:ind w:left="568" w:hanging="284"/>
    </w:pPr>
    <w:rPr>
      <w:rFonts w:ascii="Garamond" w:hAnsi="Garamond"/>
    </w:rPr>
  </w:style>
  <w:style w:type="paragraph" w:customStyle="1" w:styleId="Byline">
    <w:name w:val="Byline"/>
    <w:rsid w:val="00326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94E"/>
    <w:pPr>
      <w:tabs>
        <w:tab w:val="clear" w:pos="3600"/>
        <w:tab w:val="clear" w:pos="3958"/>
      </w:tabs>
      <w:jc w:val="right"/>
    </w:pPr>
  </w:style>
  <w:style w:type="paragraph" w:styleId="Caption">
    <w:name w:val="caption"/>
    <w:basedOn w:val="BodyText"/>
    <w:next w:val="Normal"/>
    <w:qFormat/>
    <w:rsid w:val="0032694E"/>
    <w:pPr>
      <w:framePr w:w="2268" w:hSpace="181" w:vSpace="181" w:wrap="around" w:vAnchor="text" w:hAnchor="page" w:x="1135" w:y="285" w:anchorLock="1"/>
    </w:pPr>
    <w:rPr>
      <w:i/>
    </w:rPr>
  </w:style>
  <w:style w:type="paragraph" w:customStyle="1" w:styleId="MiniTOCTitle">
    <w:name w:val="MiniTOCTitle"/>
    <w:basedOn w:val="Heading4"/>
    <w:rsid w:val="0032694E"/>
    <w:pPr>
      <w:spacing w:before="240"/>
      <w:outlineLvl w:val="9"/>
    </w:pPr>
    <w:rPr>
      <w:noProof/>
      <w:sz w:val="24"/>
    </w:rPr>
  </w:style>
  <w:style w:type="paragraph" w:customStyle="1" w:styleId="MiniTOCItem">
    <w:name w:val="MiniTOCItem"/>
    <w:basedOn w:val="ListBullet"/>
    <w:rsid w:val="0032694E"/>
    <w:pPr>
      <w:numPr>
        <w:numId w:val="0"/>
      </w:numPr>
      <w:tabs>
        <w:tab w:val="right" w:leader="dot" w:pos="6521"/>
      </w:tabs>
      <w:spacing w:before="0" w:after="0"/>
    </w:pPr>
  </w:style>
  <w:style w:type="paragraph" w:customStyle="1" w:styleId="TOFTitle">
    <w:name w:val="TOFTitle"/>
    <w:basedOn w:val="TOCTitle"/>
    <w:rsid w:val="0032694E"/>
  </w:style>
  <w:style w:type="paragraph" w:styleId="TableofFigures">
    <w:name w:val="table of figures"/>
    <w:basedOn w:val="Normal"/>
    <w:next w:val="Normal"/>
    <w:semiHidden/>
    <w:rsid w:val="0032694E"/>
    <w:pPr>
      <w:tabs>
        <w:tab w:val="right" w:leader="dot" w:pos="9072"/>
      </w:tabs>
      <w:ind w:left="970" w:hanging="403"/>
    </w:pPr>
    <w:rPr>
      <w:rFonts w:ascii="Times New Roman" w:hAnsi="Times New Roman"/>
      <w:b/>
    </w:rPr>
  </w:style>
  <w:style w:type="paragraph" w:styleId="ListNumber">
    <w:name w:val="List Number"/>
    <w:basedOn w:val="List"/>
    <w:rsid w:val="0032694E"/>
    <w:pPr>
      <w:numPr>
        <w:numId w:val="12"/>
      </w:numPr>
    </w:pPr>
  </w:style>
  <w:style w:type="character" w:customStyle="1" w:styleId="WingdingSymbols">
    <w:name w:val="Wingding Symbols"/>
    <w:rsid w:val="0032694E"/>
    <w:rPr>
      <w:rFonts w:ascii="Wingdings" w:hAnsi="Wingdings"/>
    </w:rPr>
  </w:style>
  <w:style w:type="paragraph" w:customStyle="1" w:styleId="TableHeading">
    <w:name w:val="Table Heading"/>
    <w:basedOn w:val="HeadingBase"/>
    <w:rsid w:val="0032694E"/>
    <w:pPr>
      <w:keepLines/>
      <w:pBdr>
        <w:bottom w:val="single" w:sz="6" w:space="1" w:color="918585"/>
      </w:pBdr>
      <w:spacing w:before="240"/>
    </w:pPr>
  </w:style>
  <w:style w:type="character" w:customStyle="1" w:styleId="HotSpot">
    <w:name w:val="HotSpot"/>
    <w:rsid w:val="0032694E"/>
    <w:rPr>
      <w:color w:val="0033CC"/>
      <w:u w:val="none"/>
    </w:rPr>
  </w:style>
  <w:style w:type="paragraph" w:customStyle="1" w:styleId="BodyTextRight">
    <w:name w:val="Body Text Right"/>
    <w:basedOn w:val="BodyText"/>
    <w:rsid w:val="0032694E"/>
    <w:pPr>
      <w:spacing w:before="0" w:after="0"/>
      <w:jc w:val="right"/>
    </w:pPr>
  </w:style>
  <w:style w:type="paragraph" w:styleId="Index3">
    <w:name w:val="index 3"/>
    <w:basedOn w:val="ListNumber2"/>
    <w:next w:val="Normal"/>
    <w:semiHidden/>
    <w:rsid w:val="0032694E"/>
    <w:pPr>
      <w:numPr>
        <w:numId w:val="0"/>
      </w:numPr>
      <w:tabs>
        <w:tab w:val="right" w:leader="dot" w:pos="4176"/>
      </w:tabs>
    </w:pPr>
  </w:style>
  <w:style w:type="paragraph" w:styleId="ListNumber2">
    <w:name w:val="List Number 2"/>
    <w:basedOn w:val="List2"/>
    <w:rsid w:val="0032694E"/>
    <w:pPr>
      <w:numPr>
        <w:numId w:val="11"/>
      </w:numPr>
      <w:tabs>
        <w:tab w:val="clear" w:pos="1060"/>
      </w:tabs>
    </w:pPr>
  </w:style>
  <w:style w:type="paragraph" w:customStyle="1" w:styleId="MarginNote">
    <w:name w:val="Margin Note"/>
    <w:basedOn w:val="BodyText"/>
    <w:rsid w:val="00326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94E"/>
    <w:rPr>
      <w:sz w:val="32"/>
    </w:rPr>
  </w:style>
  <w:style w:type="paragraph" w:customStyle="1" w:styleId="HeadingProcedure">
    <w:name w:val="Heading Procedure"/>
    <w:basedOn w:val="HeadingBase"/>
    <w:next w:val="Normal"/>
    <w:rsid w:val="0032694E"/>
    <w:pPr>
      <w:tabs>
        <w:tab w:val="left" w:pos="0"/>
      </w:tabs>
      <w:spacing w:before="120" w:after="60"/>
    </w:pPr>
    <w:rPr>
      <w:i/>
      <w:color w:val="918585"/>
      <w:sz w:val="22"/>
    </w:rPr>
  </w:style>
  <w:style w:type="paragraph" w:customStyle="1" w:styleId="TableBodyText">
    <w:name w:val="Table Body Text"/>
    <w:basedOn w:val="BodyText"/>
    <w:rsid w:val="0032694E"/>
    <w:pPr>
      <w:spacing w:before="60" w:after="60"/>
    </w:pPr>
  </w:style>
  <w:style w:type="paragraph" w:styleId="ListContinue">
    <w:name w:val="List Continue"/>
    <w:basedOn w:val="List"/>
    <w:rsid w:val="0032694E"/>
    <w:pPr>
      <w:ind w:firstLine="0"/>
    </w:pPr>
  </w:style>
  <w:style w:type="paragraph" w:customStyle="1" w:styleId="ListNote">
    <w:name w:val="List Note"/>
    <w:basedOn w:val="List"/>
    <w:rsid w:val="0032694E"/>
    <w:pPr>
      <w:pBdr>
        <w:top w:val="single" w:sz="6" w:space="2" w:color="918585"/>
        <w:bottom w:val="single" w:sz="6" w:space="2" w:color="918585"/>
      </w:pBdr>
      <w:tabs>
        <w:tab w:val="left" w:pos="1021"/>
      </w:tabs>
      <w:ind w:firstLine="0"/>
    </w:pPr>
  </w:style>
  <w:style w:type="paragraph" w:customStyle="1" w:styleId="Warning">
    <w:name w:val="Warning"/>
    <w:basedOn w:val="BodyText"/>
    <w:rsid w:val="0032694E"/>
    <w:pPr>
      <w:shd w:val="clear" w:color="auto" w:fill="D9D9D9"/>
      <w:tabs>
        <w:tab w:val="left" w:pos="992"/>
      </w:tabs>
      <w:ind w:left="119" w:right="119"/>
    </w:pPr>
    <w:rPr>
      <w:sz w:val="20"/>
    </w:rPr>
  </w:style>
  <w:style w:type="paragraph" w:customStyle="1" w:styleId="MarginIcons">
    <w:name w:val="Margin Icons"/>
    <w:basedOn w:val="BodyText"/>
    <w:rsid w:val="00326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94E"/>
    <w:rPr>
      <w:rFonts w:ascii="Courier New" w:hAnsi="Courier New"/>
    </w:rPr>
  </w:style>
  <w:style w:type="paragraph" w:customStyle="1" w:styleId="NoteBullet">
    <w:name w:val="Note Bullet"/>
    <w:basedOn w:val="Note"/>
    <w:rsid w:val="0032694E"/>
    <w:pPr>
      <w:tabs>
        <w:tab w:val="clear" w:pos="680"/>
      </w:tabs>
      <w:spacing w:before="60" w:after="60"/>
    </w:pPr>
  </w:style>
  <w:style w:type="paragraph" w:customStyle="1" w:styleId="SubHeading2">
    <w:name w:val="SubHeading2"/>
    <w:basedOn w:val="HeadingBase"/>
    <w:rsid w:val="0032694E"/>
    <w:pPr>
      <w:spacing w:before="240" w:after="60"/>
    </w:pPr>
    <w:rPr>
      <w:sz w:val="20"/>
    </w:rPr>
  </w:style>
  <w:style w:type="paragraph" w:customStyle="1" w:styleId="SubHeading1">
    <w:name w:val="SubHeading1"/>
    <w:basedOn w:val="HeadingBase"/>
    <w:rsid w:val="0032694E"/>
    <w:pPr>
      <w:spacing w:before="240" w:after="60"/>
    </w:pPr>
    <w:rPr>
      <w:color w:val="918585"/>
      <w:sz w:val="22"/>
    </w:rPr>
  </w:style>
  <w:style w:type="paragraph" w:customStyle="1" w:styleId="SideHeading">
    <w:name w:val="Side Heading"/>
    <w:basedOn w:val="HeadingBase"/>
    <w:rsid w:val="00326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94E"/>
    <w:pPr>
      <w:numPr>
        <w:numId w:val="13"/>
      </w:numPr>
    </w:pPr>
  </w:style>
  <w:style w:type="paragraph" w:styleId="PlainText">
    <w:name w:val="Plain Text"/>
    <w:basedOn w:val="Normal"/>
    <w:link w:val="PlainTextChar"/>
    <w:rsid w:val="0032694E"/>
    <w:rPr>
      <w:sz w:val="20"/>
    </w:rPr>
  </w:style>
  <w:style w:type="character" w:customStyle="1" w:styleId="PlainTextChar">
    <w:name w:val="Plain Text Char"/>
    <w:basedOn w:val="DefaultParagraphFont"/>
    <w:link w:val="PlainText"/>
    <w:rsid w:val="0032694E"/>
    <w:rPr>
      <w:rFonts w:ascii="Courier New" w:eastAsia="Times New Roman" w:hAnsi="Courier New" w:cs="Times New Roman"/>
      <w:sz w:val="20"/>
      <w:szCs w:val="20"/>
      <w:lang w:eastAsia="en-US"/>
    </w:rPr>
  </w:style>
  <w:style w:type="character" w:customStyle="1" w:styleId="MenuOption">
    <w:name w:val="Menu Option"/>
    <w:basedOn w:val="DefaultParagraphFont"/>
    <w:rsid w:val="0032694E"/>
    <w:rPr>
      <w:b/>
      <w:smallCaps/>
    </w:rPr>
  </w:style>
  <w:style w:type="paragraph" w:customStyle="1" w:styleId="TableListNumber">
    <w:name w:val="Table List Number"/>
    <w:basedOn w:val="ListNumber"/>
    <w:rsid w:val="0032694E"/>
    <w:pPr>
      <w:numPr>
        <w:numId w:val="0"/>
      </w:numPr>
    </w:pPr>
  </w:style>
  <w:style w:type="paragraph" w:styleId="TOC4">
    <w:name w:val="toc 4"/>
    <w:basedOn w:val="TOCBase"/>
    <w:next w:val="Normal"/>
    <w:semiHidden/>
    <w:rsid w:val="0032694E"/>
    <w:pPr>
      <w:tabs>
        <w:tab w:val="right" w:leader="dot" w:pos="9071"/>
      </w:tabs>
      <w:ind w:left="1701"/>
    </w:pPr>
  </w:style>
  <w:style w:type="paragraph" w:customStyle="1" w:styleId="ListAlpha">
    <w:name w:val="List Alpha"/>
    <w:basedOn w:val="List"/>
    <w:rsid w:val="0032694E"/>
    <w:pPr>
      <w:numPr>
        <w:numId w:val="10"/>
      </w:numPr>
    </w:pPr>
  </w:style>
  <w:style w:type="paragraph" w:customStyle="1" w:styleId="ListAlpha2">
    <w:name w:val="List Alpha 2"/>
    <w:basedOn w:val="List2"/>
    <w:rsid w:val="0032694E"/>
    <w:pPr>
      <w:numPr>
        <w:numId w:val="9"/>
      </w:numPr>
    </w:pPr>
  </w:style>
  <w:style w:type="paragraph" w:styleId="List2">
    <w:name w:val="List 2"/>
    <w:basedOn w:val="BodyText"/>
    <w:rsid w:val="0032694E"/>
    <w:pPr>
      <w:tabs>
        <w:tab w:val="left" w:pos="680"/>
      </w:tabs>
      <w:spacing w:before="60" w:after="60"/>
      <w:ind w:left="680" w:hanging="340"/>
    </w:pPr>
  </w:style>
  <w:style w:type="paragraph" w:styleId="List3">
    <w:name w:val="List 3"/>
    <w:basedOn w:val="BodyText"/>
    <w:rsid w:val="0032694E"/>
    <w:pPr>
      <w:tabs>
        <w:tab w:val="left" w:pos="1021"/>
      </w:tabs>
      <w:spacing w:before="60" w:after="60"/>
      <w:ind w:left="1020" w:hanging="340"/>
    </w:pPr>
  </w:style>
  <w:style w:type="paragraph" w:styleId="List4">
    <w:name w:val="List 4"/>
    <w:basedOn w:val="BodyText"/>
    <w:rsid w:val="0032694E"/>
    <w:pPr>
      <w:tabs>
        <w:tab w:val="left" w:pos="1361"/>
      </w:tabs>
      <w:spacing w:before="60" w:after="60"/>
      <w:ind w:left="1361" w:hanging="340"/>
    </w:pPr>
  </w:style>
  <w:style w:type="paragraph" w:styleId="List5">
    <w:name w:val="List 5"/>
    <w:basedOn w:val="BodyText"/>
    <w:rsid w:val="0032694E"/>
    <w:pPr>
      <w:tabs>
        <w:tab w:val="left" w:pos="1701"/>
      </w:tabs>
      <w:spacing w:before="60" w:after="60"/>
      <w:ind w:left="1701" w:hanging="340"/>
    </w:pPr>
  </w:style>
  <w:style w:type="paragraph" w:styleId="ListBullet4">
    <w:name w:val="List Bullet 4"/>
    <w:basedOn w:val="List4"/>
    <w:rsid w:val="0032694E"/>
    <w:pPr>
      <w:numPr>
        <w:numId w:val="4"/>
      </w:numPr>
    </w:pPr>
  </w:style>
  <w:style w:type="paragraph" w:styleId="ListBullet5">
    <w:name w:val="List Bullet 5"/>
    <w:basedOn w:val="List5"/>
    <w:rsid w:val="0032694E"/>
    <w:pPr>
      <w:numPr>
        <w:numId w:val="5"/>
      </w:numPr>
    </w:pPr>
  </w:style>
  <w:style w:type="paragraph" w:styleId="ListContinue2">
    <w:name w:val="List Continue 2"/>
    <w:basedOn w:val="List2"/>
    <w:rsid w:val="0032694E"/>
    <w:pPr>
      <w:ind w:firstLine="0"/>
    </w:pPr>
  </w:style>
  <w:style w:type="paragraph" w:styleId="ListContinue3">
    <w:name w:val="List Continue 3"/>
    <w:basedOn w:val="List3"/>
    <w:rsid w:val="0032694E"/>
    <w:pPr>
      <w:ind w:left="1021" w:firstLine="0"/>
    </w:pPr>
  </w:style>
  <w:style w:type="paragraph" w:styleId="ListContinue4">
    <w:name w:val="List Continue 4"/>
    <w:basedOn w:val="List4"/>
    <w:rsid w:val="0032694E"/>
    <w:pPr>
      <w:ind w:firstLine="0"/>
    </w:pPr>
  </w:style>
  <w:style w:type="paragraph" w:styleId="ListContinue5">
    <w:name w:val="List Continue 5"/>
    <w:basedOn w:val="List5"/>
    <w:rsid w:val="0032694E"/>
    <w:pPr>
      <w:ind w:firstLine="0"/>
    </w:pPr>
  </w:style>
  <w:style w:type="paragraph" w:styleId="ListNumber3">
    <w:name w:val="List Number 3"/>
    <w:basedOn w:val="List3"/>
    <w:rsid w:val="0032694E"/>
    <w:pPr>
      <w:numPr>
        <w:numId w:val="6"/>
      </w:numPr>
    </w:pPr>
  </w:style>
  <w:style w:type="paragraph" w:styleId="ListNumber4">
    <w:name w:val="List Number 4"/>
    <w:basedOn w:val="List4"/>
    <w:rsid w:val="0032694E"/>
    <w:pPr>
      <w:numPr>
        <w:numId w:val="7"/>
      </w:numPr>
    </w:pPr>
  </w:style>
  <w:style w:type="paragraph" w:styleId="ListNumber5">
    <w:name w:val="List Number 5"/>
    <w:basedOn w:val="List5"/>
    <w:rsid w:val="0032694E"/>
    <w:pPr>
      <w:numPr>
        <w:numId w:val="8"/>
      </w:numPr>
    </w:pPr>
  </w:style>
  <w:style w:type="paragraph" w:styleId="BlockText">
    <w:name w:val="Block Text"/>
    <w:basedOn w:val="Normal"/>
    <w:rsid w:val="0032694E"/>
    <w:pPr>
      <w:spacing w:after="120"/>
      <w:ind w:left="1440" w:right="1440"/>
    </w:pPr>
  </w:style>
  <w:style w:type="character" w:customStyle="1" w:styleId="Subscript">
    <w:name w:val="Subscript"/>
    <w:basedOn w:val="DefaultParagraphFont"/>
    <w:rsid w:val="0032694E"/>
    <w:rPr>
      <w:sz w:val="16"/>
      <w:vertAlign w:val="subscript"/>
    </w:rPr>
  </w:style>
  <w:style w:type="character" w:customStyle="1" w:styleId="Superscript">
    <w:name w:val="Superscript"/>
    <w:basedOn w:val="DefaultParagraphFont"/>
    <w:rsid w:val="0032694E"/>
    <w:rPr>
      <w:sz w:val="16"/>
      <w:vertAlign w:val="superscript"/>
    </w:rPr>
  </w:style>
  <w:style w:type="character" w:customStyle="1" w:styleId="Symbols">
    <w:name w:val="Symbols"/>
    <w:basedOn w:val="DefaultParagraphFont"/>
    <w:rsid w:val="0032694E"/>
    <w:rPr>
      <w:rFonts w:ascii="Symbol" w:hAnsi="Symbol"/>
    </w:rPr>
  </w:style>
  <w:style w:type="character" w:customStyle="1" w:styleId="MenuOptions">
    <w:name w:val="Menu Options"/>
    <w:basedOn w:val="DefaultParagraphFont"/>
    <w:rsid w:val="0032694E"/>
    <w:rPr>
      <w:rFonts w:ascii="Arial Narrow" w:hAnsi="Arial Narrow"/>
      <w:smallCaps/>
    </w:rPr>
  </w:style>
  <w:style w:type="character" w:customStyle="1" w:styleId="Buttons">
    <w:name w:val="Buttons"/>
    <w:basedOn w:val="DefaultParagraphFont"/>
    <w:rsid w:val="0032694E"/>
    <w:rPr>
      <w:b/>
    </w:rPr>
  </w:style>
  <w:style w:type="character" w:customStyle="1" w:styleId="Underlined">
    <w:name w:val="Underlined"/>
    <w:basedOn w:val="DefaultParagraphFont"/>
    <w:rsid w:val="0032694E"/>
    <w:rPr>
      <w:u w:val="single"/>
    </w:rPr>
  </w:style>
  <w:style w:type="paragraph" w:customStyle="1" w:styleId="TableBodyTextRight">
    <w:name w:val="Table Body Text Right"/>
    <w:basedOn w:val="TableBodyText"/>
    <w:rsid w:val="0032694E"/>
    <w:pPr>
      <w:widowControl w:val="0"/>
      <w:autoSpaceDE w:val="0"/>
      <w:autoSpaceDN w:val="0"/>
      <w:adjustRightInd w:val="0"/>
      <w:jc w:val="right"/>
    </w:pPr>
    <w:rPr>
      <w:rFonts w:cs="Arial"/>
      <w:szCs w:val="18"/>
    </w:rPr>
  </w:style>
  <w:style w:type="paragraph" w:customStyle="1" w:styleId="CopyrightText">
    <w:name w:val="Copyright Text"/>
    <w:basedOn w:val="BodyText"/>
    <w:rsid w:val="0032694E"/>
    <w:rPr>
      <w:sz w:val="18"/>
    </w:rPr>
  </w:style>
  <w:style w:type="paragraph" w:customStyle="1" w:styleId="BodySmallRight">
    <w:name w:val="Body Small Right"/>
    <w:basedOn w:val="BodyTextRight"/>
    <w:rsid w:val="0032694E"/>
    <w:rPr>
      <w:sz w:val="18"/>
      <w:szCs w:val="18"/>
    </w:rPr>
  </w:style>
  <w:style w:type="paragraph" w:customStyle="1" w:styleId="MarginEdition">
    <w:name w:val="Margin Edition"/>
    <w:basedOn w:val="MarginNote"/>
    <w:rsid w:val="0032694E"/>
    <w:pPr>
      <w:spacing w:before="0" w:after="0"/>
    </w:pPr>
    <w:rPr>
      <w:rFonts w:ascii="Times New Roman" w:hAnsi="Times New Roman"/>
      <w:color w:val="999999"/>
    </w:rPr>
  </w:style>
  <w:style w:type="paragraph" w:customStyle="1" w:styleId="Spacer">
    <w:name w:val="Spacer"/>
    <w:basedOn w:val="Normal"/>
    <w:rsid w:val="0032694E"/>
    <w:rPr>
      <w:sz w:val="2"/>
      <w:szCs w:val="2"/>
    </w:rPr>
  </w:style>
  <w:style w:type="character" w:customStyle="1" w:styleId="Small">
    <w:name w:val="Small"/>
    <w:basedOn w:val="DefaultParagraphFont"/>
    <w:rsid w:val="0032694E"/>
    <w:rPr>
      <w:sz w:val="16"/>
    </w:rPr>
  </w:style>
  <w:style w:type="paragraph" w:customStyle="1" w:styleId="WideTable">
    <w:name w:val="Wide Table"/>
    <w:basedOn w:val="Normal"/>
    <w:rsid w:val="0032694E"/>
    <w:pPr>
      <w:ind w:left="-1418"/>
    </w:pPr>
    <w:rPr>
      <w:sz w:val="2"/>
      <w:szCs w:val="2"/>
    </w:rPr>
  </w:style>
  <w:style w:type="character" w:styleId="PageNumber">
    <w:name w:val="page number"/>
    <w:basedOn w:val="DefaultParagraphFont"/>
    <w:rsid w:val="0032694E"/>
  </w:style>
  <w:style w:type="paragraph" w:styleId="Quote">
    <w:name w:val="Quote"/>
    <w:basedOn w:val="Heading1"/>
    <w:link w:val="QuoteChar"/>
    <w:qFormat/>
    <w:rsid w:val="0032694E"/>
    <w:rPr>
      <w:b w:val="0"/>
      <w:sz w:val="72"/>
      <w:szCs w:val="72"/>
      <w:lang w:val="en-NZ"/>
    </w:rPr>
  </w:style>
  <w:style w:type="character" w:customStyle="1" w:styleId="QuoteChar">
    <w:name w:val="Quote Char"/>
    <w:basedOn w:val="DefaultParagraphFont"/>
    <w:link w:val="Quote"/>
    <w:rsid w:val="00326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94E"/>
    <w:pPr>
      <w:pageBreakBefore/>
    </w:pPr>
  </w:style>
  <w:style w:type="paragraph" w:customStyle="1" w:styleId="Border">
    <w:name w:val="Border"/>
    <w:basedOn w:val="Normal"/>
    <w:qFormat/>
    <w:rsid w:val="00326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94E"/>
    <w:rPr>
      <w:b/>
      <w:bCs/>
      <w:i/>
      <w:iCs/>
      <w:color w:val="auto"/>
    </w:rPr>
  </w:style>
  <w:style w:type="paragraph" w:styleId="IntenseQuote">
    <w:name w:val="Intense Quote"/>
    <w:basedOn w:val="Normal"/>
    <w:next w:val="Normal"/>
    <w:link w:val="IntenseQuoteChar"/>
    <w:uiPriority w:val="30"/>
    <w:qFormat/>
    <w:rsid w:val="00326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94E"/>
    <w:rPr>
      <w:smallCaps/>
      <w:color w:val="auto"/>
      <w:u w:val="single"/>
    </w:rPr>
  </w:style>
  <w:style w:type="character" w:styleId="IntenseReference">
    <w:name w:val="Intense Reference"/>
    <w:basedOn w:val="DefaultParagraphFont"/>
    <w:uiPriority w:val="32"/>
    <w:qFormat/>
    <w:rsid w:val="0032694E"/>
    <w:rPr>
      <w:b/>
      <w:bCs/>
      <w:smallCaps/>
      <w:color w:val="auto"/>
      <w:spacing w:val="5"/>
      <w:u w:val="single"/>
    </w:rPr>
  </w:style>
  <w:style w:type="paragraph" w:customStyle="1" w:styleId="2ColumnHeading">
    <w:name w:val="2Column Heading"/>
    <w:basedOn w:val="BodyText"/>
    <w:qFormat/>
    <w:rsid w:val="0032694E"/>
    <w:pPr>
      <w:spacing w:after="60"/>
      <w:ind w:left="-2268"/>
    </w:pPr>
    <w:rPr>
      <w:b/>
    </w:rPr>
  </w:style>
  <w:style w:type="paragraph" w:customStyle="1" w:styleId="Heading1TOC">
    <w:name w:val="Heading1 TOC"/>
    <w:basedOn w:val="Normal"/>
    <w:qFormat/>
    <w:rsid w:val="0032694E"/>
    <w:pPr>
      <w:spacing w:before="240" w:after="120"/>
    </w:pPr>
    <w:rPr>
      <w:rFonts w:ascii="Times New Roman" w:hAnsi="Times New Roman"/>
      <w:b/>
      <w:sz w:val="32"/>
    </w:rPr>
  </w:style>
  <w:style w:type="paragraph" w:customStyle="1" w:styleId="Heading2TOC">
    <w:name w:val="Heading2 TOC"/>
    <w:basedOn w:val="Normal"/>
    <w:qFormat/>
    <w:rsid w:val="0032694E"/>
    <w:pPr>
      <w:spacing w:before="240" w:after="60"/>
    </w:pPr>
    <w:rPr>
      <w:rFonts w:ascii="Times New Roman" w:hAnsi="Times New Roman"/>
      <w:b/>
      <w:sz w:val="28"/>
    </w:rPr>
  </w:style>
  <w:style w:type="character" w:customStyle="1" w:styleId="Underline">
    <w:name w:val="Underline"/>
    <w:basedOn w:val="DefaultParagraphFont"/>
    <w:qFormat/>
    <w:rsid w:val="0032694E"/>
    <w:rPr>
      <w:u w:val="single"/>
    </w:rPr>
  </w:style>
  <w:style w:type="paragraph" w:styleId="BalloonText">
    <w:name w:val="Balloon Text"/>
    <w:basedOn w:val="Normal"/>
    <w:link w:val="BalloonTextChar"/>
    <w:rsid w:val="0032694E"/>
    <w:rPr>
      <w:rFonts w:ascii="Tahoma" w:hAnsi="Tahoma" w:cs="Tahoma"/>
      <w:sz w:val="16"/>
      <w:szCs w:val="16"/>
    </w:rPr>
  </w:style>
  <w:style w:type="character" w:customStyle="1" w:styleId="BalloonTextChar">
    <w:name w:val="Balloon Text Char"/>
    <w:basedOn w:val="DefaultParagraphFont"/>
    <w:link w:val="BalloonText"/>
    <w:rsid w:val="00326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94E"/>
    <w:rPr>
      <w:b/>
      <w:color w:val="660033"/>
      <w:spacing w:val="0"/>
    </w:rPr>
  </w:style>
  <w:style w:type="paragraph" w:customStyle="1" w:styleId="Nameditemlist">
    <w:name w:val="Named item list"/>
    <w:basedOn w:val="BodyText"/>
    <w:qFormat/>
    <w:rsid w:val="003269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1305</Words>
  <Characters>8684</Characters>
  <Application>Microsoft Office Word</Application>
  <DocSecurity>0</DocSecurity>
  <Lines>309</Lines>
  <Paragraphs>182</Paragraphs>
  <ScaleCrop>false</ScaleCrop>
  <Company>Author-it Software Corporation Ltd.</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ICTTEN4244A Estimate and quote for carrier telecommunications equipment installations</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2014-02-07T09:25:38Z</dcterms:created>
  <dcterms:modified xsi:type="dcterms:W3CDTF">2014-02-06T04:28:00Z</dcterms:modified>
</cp:coreProperties>
</file>