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65F5D" w:rsidP="00965F5D">
      <w:pPr>
        <w:pStyle w:val="Title"/>
      </w:pPr>
      <w:r>
        <w:fldChar w:fldCharType="begin"/>
      </w:r>
      <w:r>
        <w:instrText xml:space="preserve"> TITLE   \* MERGEFORMAT </w:instrText>
      </w:r>
      <w:r>
        <w:fldChar w:fldCharType="separate"/>
      </w:r>
      <w:r>
        <w:t>ICTTEN4242A Conduct site surveys to identify carrier installation requirements</w:t>
      </w:r>
      <w:r>
        <w:fldChar w:fldCharType="end"/>
      </w:r>
    </w:p>
    <w:p w:rsidR="00965F5D" w:rsidP="00965F5D">
      <w:pPr>
        <w:pStyle w:val="Version"/>
        <w:sectPr w:rsidSect="006D1DF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D1DFA" w:rsidP="006D1DFA">
      <w:pPr>
        <w:pStyle w:val="SuperHeading"/>
      </w:pPr>
      <w:r w:rsidRPr="006D1DFA">
        <w:t>ICTTEN4242A Conduct site surveys to identify carrier installation requirements</w:t>
      </w:r>
    </w:p>
    <w:p w:rsidR="00000000" w:rsidRPr="006D1DFA" w:rsidP="006D1DFA">
      <w:pPr>
        <w:pStyle w:val="Heading1"/>
      </w:pPr>
      <w:bookmarkStart w:id="1" w:name="O_640137"/>
      <w:bookmarkEnd w:id="1"/>
      <w:r w:rsidRPr="006D1DFA">
        <w:t>Modification History</w:t>
      </w:r>
    </w:p>
    <w:tbl>
      <w:tblPr>
        <w:tblW w:w="0" w:type="auto"/>
        <w:tblLayout w:type="fixed"/>
        <w:tblCellMar>
          <w:left w:w="62" w:type="dxa"/>
          <w:right w:w="62" w:type="dxa"/>
        </w:tblCellMar>
        <w:tblLook w:val="0000"/>
      </w:tblPr>
      <w:tblGrid>
        <w:gridCol w:w="2565"/>
        <w:gridCol w:w="6180"/>
      </w:tblGrid>
      <w:tr w:rsidTr="006D1DFA">
        <w:tblPrEx>
          <w:tblW w:w="0" w:type="auto"/>
          <w:tblLayout w:type="fixed"/>
          <w:tblCellMar>
            <w:left w:w="62" w:type="dxa"/>
            <w:right w:w="62" w:type="dxa"/>
          </w:tblCellMar>
          <w:tblLook w:val="0000"/>
        </w:tblPrEx>
        <w:tc>
          <w:tcPr>
            <w:tcW w:w="25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D1DFA" w:rsidP="006D1DFA">
            <w:pPr>
              <w:pStyle w:val="BodyText"/>
            </w:pPr>
            <w:r w:rsidRPr="006D1DFA">
              <w:rPr>
                <w:rStyle w:val="SpecialBold"/>
              </w:rPr>
              <w:t>Release</w:t>
            </w:r>
          </w:p>
        </w:tc>
        <w:tc>
          <w:tcPr>
            <w:tcW w:w="61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1DFA">
            <w:pPr>
              <w:pStyle w:val="BodyText"/>
              <w:rPr>
                <w:lang w:val="en-NZ"/>
              </w:rPr>
            </w:pPr>
            <w:r w:rsidRPr="006D1DFA">
              <w:rPr>
                <w:rStyle w:val="SpecialBold"/>
              </w:rPr>
              <w:t>Comments</w:t>
            </w:r>
          </w:p>
        </w:tc>
      </w:tr>
      <w:tr w:rsidTr="006D1DFA">
        <w:tblPrEx>
          <w:tblW w:w="0" w:type="auto"/>
          <w:tblLayout w:type="fixed"/>
          <w:tblCellMar>
            <w:left w:w="62" w:type="dxa"/>
            <w:right w:w="62" w:type="dxa"/>
          </w:tblCellMar>
          <w:tblLook w:val="0000"/>
        </w:tblPrEx>
        <w:tc>
          <w:tcPr>
            <w:tcW w:w="25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1DFA">
            <w:pPr>
              <w:pStyle w:val="BodyText"/>
              <w:rPr>
                <w:lang w:val="en-NZ"/>
              </w:rPr>
            </w:pPr>
            <w:r w:rsidRPr="006D1DFA">
              <w:t>Release 1</w:t>
            </w:r>
          </w:p>
        </w:tc>
        <w:tc>
          <w:tcPr>
            <w:tcW w:w="61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D1DFA" w:rsidP="006D1DFA">
            <w:pPr>
              <w:pStyle w:val="BodyText"/>
            </w:pPr>
            <w:r w:rsidRPr="006D1DFA">
              <w:t xml:space="preserve">This version first released with </w:t>
            </w:r>
            <w:r w:rsidRPr="006D1DFA">
              <w:rPr>
                <w:rStyle w:val="Emphasis"/>
              </w:rPr>
              <w:t>ICT10 Integrated Telecommunications Training Package Version 3.0</w:t>
            </w:r>
            <w:r w:rsidRPr="006D1DFA">
              <w:t>.</w:t>
            </w:r>
          </w:p>
        </w:tc>
      </w:tr>
    </w:tbl>
    <w:p w:rsidR="00000000" w:rsidRPr="006D1DFA" w:rsidP="006D1DFA">
      <w:pPr>
        <w:pStyle w:val="BodyText"/>
      </w:pPr>
    </w:p>
    <w:p w:rsidR="00000000" w:rsidRPr="006D1DFA" w:rsidP="006D1DFA">
      <w:pPr>
        <w:pStyle w:val="AllowPageBreak"/>
      </w:pPr>
    </w:p>
    <w:p w:rsidR="00000000" w:rsidRPr="006D1DFA" w:rsidP="006D1DFA">
      <w:pPr>
        <w:pStyle w:val="Heading1"/>
      </w:pPr>
      <w:bookmarkStart w:id="2" w:name="O_640138"/>
      <w:bookmarkEnd w:id="2"/>
      <w:r w:rsidRPr="006D1DFA">
        <w:t>Unit Descriptor</w:t>
      </w:r>
    </w:p>
    <w:p w:rsidR="00000000" w:rsidRPr="006D1DFA" w:rsidP="006D1DFA">
      <w:pPr>
        <w:pStyle w:val="BodyText"/>
      </w:pPr>
      <w:r w:rsidRPr="006D1DFA">
        <w:t>This unit describes the performance outcomes, skills and knowledge required to survey a site to identify and document installation requirements for telecommunications infrastructure projects.</w:t>
      </w:r>
    </w:p>
    <w:p w:rsidR="00000000" w:rsidRPr="006D1DFA" w:rsidP="006D1DFA">
      <w:pPr>
        <w:pStyle w:val="AllowPageBreak"/>
      </w:pPr>
    </w:p>
    <w:p w:rsidR="00000000" w:rsidRPr="006D1DFA" w:rsidP="006D1DFA">
      <w:pPr>
        <w:pStyle w:val="Heading1"/>
      </w:pPr>
      <w:bookmarkStart w:id="3" w:name="O_640139"/>
      <w:bookmarkEnd w:id="3"/>
      <w:r w:rsidRPr="006D1DFA">
        <w:t>Application of the Unit</w:t>
      </w:r>
    </w:p>
    <w:p w:rsidR="00000000" w:rsidRPr="006D1DFA" w:rsidP="006D1DFA">
      <w:pPr>
        <w:pStyle w:val="BodyText"/>
      </w:pPr>
      <w:r w:rsidRPr="006D1DFA">
        <w:t>Technical staff who identify requirements for carrier telecommunications installations apply the skills and knowledge in this unit.</w:t>
      </w:r>
    </w:p>
    <w:p w:rsidR="00000000" w:rsidRPr="006D1DFA" w:rsidP="006D1DFA">
      <w:pPr>
        <w:pStyle w:val="BodyText"/>
      </w:pPr>
    </w:p>
    <w:p w:rsidR="00000000" w:rsidRPr="006D1DFA" w:rsidP="006D1DFA">
      <w:pPr>
        <w:pStyle w:val="BodyText"/>
      </w:pPr>
      <w:r w:rsidRPr="006D1DFA">
        <w:t>This unit applies to access, building and core installation projects within a carrier access network. It may be applied to</w:t>
      </w:r>
      <w:r w:rsidRPr="006D1DFA">
        <w:t xml:space="preserve"> carrier, commercial or industrial installations. Communications applications include digital and analog, telephony, data, video, digital broadcasting, computer networks, local area networks (LAN) and multimedia.</w:t>
      </w:r>
    </w:p>
    <w:p w:rsidR="00000000" w:rsidRPr="006D1DFA" w:rsidP="006D1DFA">
      <w:pPr>
        <w:pStyle w:val="BodyText"/>
      </w:pPr>
    </w:p>
    <w:p w:rsidR="00000000" w:rsidRPr="006D1DFA" w:rsidP="006D1DFA">
      <w:pPr>
        <w:pStyle w:val="BodyText"/>
      </w:pPr>
      <w:r w:rsidRPr="006D1DFA">
        <w:t>This unit is one in a sequence of units th</w:t>
      </w:r>
      <w:r w:rsidRPr="006D1DFA">
        <w:t>at cover network design activities, including:</w:t>
      </w:r>
    </w:p>
    <w:p w:rsidR="00000000" w:rsidRPr="006D1DFA" w:rsidP="006D1DFA">
      <w:pPr>
        <w:pStyle w:val="BodyText"/>
      </w:pPr>
    </w:p>
    <w:p w:rsidR="00000000" w:rsidRPr="006D1DFA" w:rsidP="006D1DFA">
      <w:pPr>
        <w:pStyle w:val="ListBullet"/>
      </w:pPr>
      <w:r w:rsidRPr="006D1DFA">
        <w:t>design drawings and specifications</w:t>
      </w:r>
    </w:p>
    <w:p w:rsidR="00000000" w:rsidRPr="006D1DFA" w:rsidP="006D1DFA">
      <w:pPr>
        <w:pStyle w:val="ListBullet"/>
      </w:pPr>
      <w:r w:rsidRPr="006D1DFA">
        <w:t>designing a dense wavelength division multiplexing (DWDM) system</w:t>
      </w:r>
    </w:p>
    <w:p w:rsidR="00000000" w:rsidRPr="006D1DFA" w:rsidP="006D1DFA">
      <w:pPr>
        <w:pStyle w:val="ListBullet"/>
      </w:pPr>
      <w:r w:rsidRPr="006D1DFA">
        <w:t>designing infrastructure</w:t>
      </w:r>
    </w:p>
    <w:p w:rsidR="00000000" w:rsidRPr="006D1DFA" w:rsidP="006D1DFA">
      <w:pPr>
        <w:pStyle w:val="ListBullet"/>
      </w:pPr>
      <w:r w:rsidRPr="006D1DFA">
        <w:t>estimating and quoting</w:t>
      </w:r>
    </w:p>
    <w:p w:rsidR="00000000" w:rsidRPr="006D1DFA" w:rsidP="006D1DFA">
      <w:pPr>
        <w:pStyle w:val="ListBullet"/>
      </w:pPr>
      <w:r w:rsidRPr="006D1DFA">
        <w:t>site surveys.</w:t>
      </w:r>
    </w:p>
    <w:p w:rsidR="00000000" w:rsidRPr="006D1DFA" w:rsidP="006D1DFA">
      <w:pPr>
        <w:pStyle w:val="AllowPageBreak"/>
      </w:pPr>
    </w:p>
    <w:p w:rsidR="00000000" w:rsidRPr="006D1DFA" w:rsidP="006D1DFA">
      <w:pPr>
        <w:pStyle w:val="Heading1"/>
      </w:pPr>
      <w:bookmarkStart w:id="4" w:name="O_640140"/>
      <w:bookmarkEnd w:id="4"/>
      <w:r w:rsidRPr="006D1DFA">
        <w:t>Licensing/Regulatory Information</w:t>
      </w:r>
    </w:p>
    <w:p w:rsidR="00000000" w:rsidRPr="006D1DFA" w:rsidP="006D1DFA">
      <w:pPr>
        <w:pStyle w:val="BodyText"/>
      </w:pPr>
      <w:r w:rsidRPr="006D1DFA">
        <w:t>No licensing, legislative, regulatory or certification requirements apply to this unit at the time of endorsement but users should confirm requirements with the relevant federal, state or territory authority.</w:t>
      </w:r>
    </w:p>
    <w:p w:rsidR="00000000" w:rsidRPr="006D1DFA" w:rsidP="006D1DFA">
      <w:pPr>
        <w:pStyle w:val="AllowPageBreak"/>
      </w:pPr>
    </w:p>
    <w:p w:rsidR="00000000" w:rsidRPr="006D1DFA" w:rsidP="006D1DFA">
      <w:pPr>
        <w:pStyle w:val="Heading1"/>
      </w:pPr>
      <w:bookmarkStart w:id="5" w:name="O_640141"/>
      <w:bookmarkEnd w:id="5"/>
      <w:r w:rsidRPr="006D1DFA">
        <w:t>Pre-Requisites</w:t>
      </w:r>
    </w:p>
    <w:p w:rsidR="00000000" w:rsidRPr="006D1DFA" w:rsidP="006D1DFA">
      <w:pPr>
        <w:pStyle w:val="BodyText"/>
      </w:pPr>
      <w:r w:rsidRPr="006D1DFA">
        <w:t>Nil</w:t>
      </w:r>
    </w:p>
    <w:p w:rsidR="00000000" w:rsidRPr="006D1DFA" w:rsidP="006D1DFA">
      <w:pPr>
        <w:pStyle w:val="AllowPageBreak"/>
      </w:pPr>
    </w:p>
    <w:p w:rsidR="00000000" w:rsidRPr="006D1DFA" w:rsidP="006D1DFA">
      <w:pPr>
        <w:pStyle w:val="Heading1"/>
      </w:pPr>
      <w:bookmarkStart w:id="6" w:name="O_640142"/>
      <w:bookmarkEnd w:id="6"/>
      <w:r w:rsidRPr="006D1DFA">
        <w:t>Employability Skills Information</w:t>
      </w:r>
    </w:p>
    <w:p w:rsidR="00000000" w:rsidRPr="006D1DFA" w:rsidP="006D1DFA">
      <w:pPr>
        <w:pStyle w:val="BodyText"/>
      </w:pPr>
      <w:r w:rsidRPr="006D1DFA">
        <w:t>This unit contains employability skills.</w:t>
      </w:r>
    </w:p>
    <w:p w:rsidR="00000000" w:rsidRPr="006D1DFA" w:rsidP="006D1DFA">
      <w:pPr>
        <w:pStyle w:val="AllowPageBreak"/>
      </w:pPr>
    </w:p>
    <w:p w:rsidR="00000000" w:rsidRPr="006D1DFA" w:rsidP="006D1DFA">
      <w:pPr>
        <w:pStyle w:val="Heading1"/>
      </w:pPr>
      <w:bookmarkStart w:id="7" w:name="O_640143"/>
      <w:bookmarkEnd w:id="7"/>
      <w:r w:rsidRPr="006D1DFA">
        <w:t>Elements and Performance Criteria Pre-Content</w:t>
      </w:r>
    </w:p>
    <w:tbl>
      <w:tblPr>
        <w:tblW w:w="0" w:type="auto"/>
        <w:tblLayout w:type="fixed"/>
        <w:tblCellMar>
          <w:left w:w="62" w:type="dxa"/>
          <w:right w:w="62" w:type="dxa"/>
        </w:tblCellMar>
        <w:tblLook w:val="0000"/>
      </w:tblPr>
      <w:tblGrid>
        <w:gridCol w:w="2447"/>
        <w:gridCol w:w="6298"/>
      </w:tblGrid>
      <w:tr w:rsidTr="00965F5D">
        <w:tblPrEx>
          <w:tblW w:w="0" w:type="auto"/>
          <w:tblLayout w:type="fixed"/>
          <w:tblCellMar>
            <w:left w:w="62" w:type="dxa"/>
            <w:right w:w="62" w:type="dxa"/>
          </w:tblCellMar>
          <w:tblLook w:val="0000"/>
        </w:tblPrEx>
        <w:trPr>
          <w:tblHeader/>
        </w:trPr>
        <w:tc>
          <w:tcPr>
            <w:tcW w:w="2447" w:type="dxa"/>
            <w:tcBorders>
              <w:top w:val="single" w:sz="6" w:space="0" w:color="auto"/>
              <w:left w:val="single" w:sz="6" w:space="0" w:color="auto"/>
              <w:bottom w:val="single" w:sz="6" w:space="0" w:color="C0C0C0"/>
              <w:right w:val="single" w:sz="6" w:space="0" w:color="auto"/>
            </w:tcBorders>
            <w:tcMar>
              <w:top w:w="0" w:type="dxa"/>
              <w:left w:w="62" w:type="dxa"/>
              <w:bottom w:w="0" w:type="dxa"/>
              <w:right w:w="62" w:type="dxa"/>
            </w:tcMar>
          </w:tcPr>
          <w:p w:rsidR="00000000" w:rsidRPr="006D1DFA" w:rsidP="006D1DFA">
            <w:pPr>
              <w:pStyle w:val="BodyText"/>
            </w:pPr>
            <w:r w:rsidRPr="006D1DFA">
              <w:rPr>
                <w:rStyle w:val="SpecialBold"/>
              </w:rPr>
              <w:t>Elements</w:t>
            </w:r>
          </w:p>
        </w:tc>
        <w:tc>
          <w:tcPr>
            <w:tcW w:w="6298" w:type="dxa"/>
            <w:tcBorders>
              <w:top w:val="single" w:sz="6" w:space="0" w:color="auto"/>
              <w:left w:val="single" w:sz="6" w:space="0" w:color="auto"/>
              <w:bottom w:val="single" w:sz="6" w:space="0" w:color="C0C0C0"/>
              <w:right w:val="single" w:sz="6" w:space="0" w:color="auto"/>
            </w:tcBorders>
            <w:tcMar>
              <w:top w:w="0" w:type="dxa"/>
              <w:left w:w="62" w:type="dxa"/>
              <w:bottom w:w="0" w:type="dxa"/>
              <w:right w:w="62" w:type="dxa"/>
            </w:tcMar>
          </w:tcPr>
          <w:p w:rsidR="00000000" w:rsidP="006D1DFA">
            <w:pPr>
              <w:pStyle w:val="BodyText"/>
              <w:rPr>
                <w:lang w:val="en-NZ"/>
              </w:rPr>
            </w:pPr>
            <w:r w:rsidRPr="006D1DFA">
              <w:rPr>
                <w:rStyle w:val="SpecialBold"/>
              </w:rPr>
              <w:t>Performance Criteria</w:t>
            </w:r>
          </w:p>
        </w:tc>
      </w:tr>
      <w:tr w:rsidTr="00965F5D">
        <w:tblPrEx>
          <w:tblW w:w="0" w:type="auto"/>
          <w:tblLayout w:type="fixed"/>
          <w:tblCellMar>
            <w:left w:w="62" w:type="dxa"/>
            <w:right w:w="62" w:type="dxa"/>
          </w:tblCellMar>
          <w:tblLook w:val="0000"/>
        </w:tblPrEx>
        <w:tc>
          <w:tcPr>
            <w:tcW w:w="2447" w:type="dxa"/>
            <w:tcBorders>
              <w:top w:val="single" w:sz="6" w:space="0" w:color="C0C0C0"/>
              <w:left w:val="single" w:sz="6" w:space="0" w:color="auto"/>
              <w:bottom w:val="single" w:sz="6" w:space="0" w:color="auto"/>
              <w:right w:val="single" w:sz="6" w:space="0" w:color="auto"/>
            </w:tcBorders>
            <w:tcMar>
              <w:top w:w="0" w:type="dxa"/>
              <w:left w:w="62" w:type="dxa"/>
              <w:bottom w:w="0" w:type="dxa"/>
              <w:right w:w="62" w:type="dxa"/>
            </w:tcMar>
          </w:tcPr>
          <w:p w:rsidR="00000000" w:rsidRPr="006D1DFA" w:rsidP="006D1DFA">
            <w:pPr>
              <w:pStyle w:val="BodyText"/>
            </w:pPr>
            <w:r w:rsidRPr="006D1DFA">
              <w:rPr>
                <w:rStyle w:val="Emphasis"/>
              </w:rPr>
              <w:t>Elements describe the essential outcomes of a unit of competency.</w:t>
            </w:r>
          </w:p>
        </w:tc>
        <w:tc>
          <w:tcPr>
            <w:tcW w:w="6298" w:type="dxa"/>
            <w:tcBorders>
              <w:top w:val="single" w:sz="6" w:space="0" w:color="C0C0C0"/>
              <w:left w:val="single" w:sz="6" w:space="0" w:color="auto"/>
              <w:bottom w:val="single" w:sz="6" w:space="0" w:color="auto"/>
              <w:right w:val="single" w:sz="6" w:space="0" w:color="auto"/>
            </w:tcBorders>
            <w:tcMar>
              <w:top w:w="0" w:type="dxa"/>
              <w:left w:w="62" w:type="dxa"/>
              <w:bottom w:w="0" w:type="dxa"/>
              <w:right w:w="62" w:type="dxa"/>
            </w:tcMar>
          </w:tcPr>
          <w:p w:rsidR="00000000" w:rsidRPr="006D1DFA" w:rsidP="006D1DFA">
            <w:pPr>
              <w:pStyle w:val="BodyText"/>
            </w:pPr>
            <w:r w:rsidRPr="006D1DFA">
              <w:rPr>
                <w:rStyle w:val="Emphasis"/>
              </w:rPr>
              <w:t>Performance criteria describe the performance needed to demonstrate achievement of the element. Where bold italicised text is used, further information is detailed in the required skills and</w:t>
            </w:r>
            <w:r w:rsidRPr="006D1DFA">
              <w:rPr>
                <w:rStyle w:val="Emphasis"/>
              </w:rPr>
              <w:t xml:space="preserve"> knowledge section and the range statement. Assessment of performance is to be consistent with the evidence guide.</w:t>
            </w:r>
          </w:p>
        </w:tc>
      </w:tr>
    </w:tbl>
    <w:p w:rsidR="00000000" w:rsidRPr="006D1DFA" w:rsidP="006D1DFA">
      <w:pPr>
        <w:pStyle w:val="BodyText"/>
      </w:pPr>
    </w:p>
    <w:p w:rsidR="00000000" w:rsidRPr="006D1DFA" w:rsidP="006D1DFA">
      <w:pPr>
        <w:pStyle w:val="AllowPageBreak"/>
      </w:pPr>
    </w:p>
    <w:p w:rsidR="00000000" w:rsidRPr="006D1DFA" w:rsidP="006D1DFA">
      <w:pPr>
        <w:pStyle w:val="Heading1"/>
      </w:pPr>
      <w:bookmarkStart w:id="8" w:name="O_640144"/>
      <w:bookmarkEnd w:id="8"/>
      <w:r w:rsidRPr="006D1DFA">
        <w:t>Elements and Performance Criteria</w:t>
      </w:r>
    </w:p>
    <w:tbl>
      <w:tblPr>
        <w:tblW w:w="0" w:type="auto"/>
        <w:tblLayout w:type="fixed"/>
        <w:tblCellMar>
          <w:left w:w="62" w:type="dxa"/>
          <w:right w:w="62" w:type="dxa"/>
        </w:tblCellMar>
        <w:tblLook w:val="0000"/>
      </w:tblPr>
      <w:tblGrid>
        <w:gridCol w:w="2471"/>
        <w:gridCol w:w="6274"/>
      </w:tblGrid>
      <w:tr w:rsidTr="00965F5D">
        <w:tblPrEx>
          <w:tblW w:w="0" w:type="auto"/>
          <w:tblLayout w:type="fixed"/>
          <w:tblCellMar>
            <w:left w:w="62" w:type="dxa"/>
            <w:right w:w="62" w:type="dxa"/>
          </w:tblCellMar>
          <w:tblLook w:val="0000"/>
        </w:tblPrEx>
        <w:tc>
          <w:tcPr>
            <w:tcW w:w="2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1DFA">
            <w:pPr>
              <w:pStyle w:val="BodyText"/>
              <w:rPr>
                <w:lang w:val="en-NZ"/>
              </w:rPr>
            </w:pPr>
            <w:r w:rsidRPr="006D1DFA">
              <w:t>1. Obtain access to work site</w:t>
            </w:r>
          </w:p>
        </w:tc>
        <w:tc>
          <w:tcPr>
            <w:tcW w:w="62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D1DFA" w:rsidP="006D1DFA">
            <w:pPr>
              <w:pStyle w:val="BodyText"/>
            </w:pPr>
            <w:r w:rsidRPr="006D1DFA">
              <w:t xml:space="preserve">1.1 Notify parties if necessary to arrange access to site </w:t>
            </w:r>
            <w:r w:rsidRPr="006D1DFA">
              <w:t xml:space="preserve">to discuss installation requirements and identify </w:t>
            </w:r>
            <w:r w:rsidRPr="006D1DFA">
              <w:rPr>
                <w:rStyle w:val="BoldandItalics"/>
              </w:rPr>
              <w:t>carrier network systems</w:t>
            </w:r>
          </w:p>
          <w:p w:rsidR="00000000" w:rsidRPr="006D1DFA" w:rsidP="006D1DFA">
            <w:pPr>
              <w:pStyle w:val="BodyText"/>
            </w:pPr>
            <w:r w:rsidRPr="006D1DFA">
              <w:t>1.2 Assess site-specific safety requirements and enterprise work health and safety (WHS) processes and procedures</w:t>
            </w:r>
          </w:p>
          <w:p w:rsidR="00000000" w:rsidP="006D1DFA">
            <w:pPr>
              <w:pStyle w:val="BodyText"/>
              <w:rPr>
                <w:lang w:val="en-NZ"/>
              </w:rPr>
            </w:pPr>
            <w:r w:rsidRPr="006D1DFA">
              <w:t xml:space="preserve">1.3 Use </w:t>
            </w:r>
            <w:r w:rsidRPr="006D1DFA">
              <w:rPr>
                <w:rStyle w:val="BoldandItalics"/>
              </w:rPr>
              <w:t xml:space="preserve">network information systems </w:t>
            </w:r>
            <w:r w:rsidRPr="006D1DFA">
              <w:t xml:space="preserve">to obtain </w:t>
            </w:r>
            <w:r w:rsidRPr="006D1DFA">
              <w:rPr>
                <w:rStyle w:val="BoldandItalics"/>
              </w:rPr>
              <w:t>planning data</w:t>
            </w:r>
          </w:p>
        </w:tc>
      </w:tr>
      <w:tr w:rsidTr="00965F5D">
        <w:tblPrEx>
          <w:tblW w:w="0" w:type="auto"/>
          <w:tblLayout w:type="fixed"/>
          <w:tblCellMar>
            <w:left w:w="62" w:type="dxa"/>
            <w:right w:w="62" w:type="dxa"/>
          </w:tblCellMar>
          <w:tblLook w:val="0000"/>
        </w:tblPrEx>
        <w:tc>
          <w:tcPr>
            <w:tcW w:w="2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1DFA">
            <w:pPr>
              <w:pStyle w:val="BodyText"/>
              <w:rPr>
                <w:lang w:val="en-NZ"/>
              </w:rPr>
            </w:pPr>
            <w:r w:rsidRPr="006D1DFA">
              <w:t>2. Identify existing infrastructure</w:t>
            </w:r>
          </w:p>
        </w:tc>
        <w:tc>
          <w:tcPr>
            <w:tcW w:w="62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D1DFA" w:rsidP="006D1DFA">
            <w:pPr>
              <w:pStyle w:val="BodyText"/>
            </w:pPr>
            <w:r w:rsidRPr="006D1DFA">
              <w:t>2.1 Confirm details of the installation with stakeholders</w:t>
            </w:r>
          </w:p>
          <w:p w:rsidR="00000000" w:rsidRPr="006D1DFA" w:rsidP="006D1DFA">
            <w:pPr>
              <w:pStyle w:val="BodyText"/>
            </w:pPr>
            <w:r w:rsidRPr="006D1DFA">
              <w:t>2.2 Verify site conditions and building construction</w:t>
            </w:r>
          </w:p>
          <w:p w:rsidR="00000000" w:rsidRPr="006D1DFA" w:rsidP="006D1DFA">
            <w:pPr>
              <w:pStyle w:val="BodyText"/>
            </w:pPr>
            <w:r w:rsidRPr="006D1DFA">
              <w:t>2.3 Locate and record existing facilities and systems</w:t>
            </w:r>
          </w:p>
          <w:p w:rsidR="00000000" w:rsidRPr="006D1DFA" w:rsidP="006D1DFA">
            <w:pPr>
              <w:pStyle w:val="BodyText"/>
            </w:pPr>
            <w:r w:rsidRPr="006D1DFA">
              <w:t xml:space="preserve">2.4 Confirm installation locations and identify </w:t>
            </w:r>
            <w:r w:rsidRPr="006D1DFA">
              <w:rPr>
                <w:rStyle w:val="BoldandItalics"/>
              </w:rPr>
              <w:t>barrier</w:t>
            </w:r>
            <w:r w:rsidRPr="006D1DFA">
              <w:rPr>
                <w:rStyle w:val="BoldandItalics"/>
              </w:rPr>
              <w:t>s to planned network extension</w:t>
            </w:r>
          </w:p>
          <w:p w:rsidR="00000000" w:rsidP="006D1DFA">
            <w:pPr>
              <w:pStyle w:val="BodyText"/>
              <w:rPr>
                <w:lang w:val="en-NZ"/>
              </w:rPr>
            </w:pPr>
            <w:r w:rsidRPr="006D1DFA">
              <w:t xml:space="preserve">2.5 Integrate </w:t>
            </w:r>
            <w:r w:rsidRPr="006D1DFA">
              <w:rPr>
                <w:rStyle w:val="BoldandItalics"/>
              </w:rPr>
              <w:t xml:space="preserve">existing network </w:t>
            </w:r>
            <w:r w:rsidRPr="006D1DFA">
              <w:t>and floor plans into documentation where available</w:t>
            </w:r>
          </w:p>
        </w:tc>
      </w:tr>
      <w:tr w:rsidTr="00965F5D">
        <w:tblPrEx>
          <w:tblW w:w="0" w:type="auto"/>
          <w:tblLayout w:type="fixed"/>
          <w:tblCellMar>
            <w:left w:w="62" w:type="dxa"/>
            <w:right w:w="62" w:type="dxa"/>
          </w:tblCellMar>
          <w:tblLook w:val="0000"/>
        </w:tblPrEx>
        <w:tc>
          <w:tcPr>
            <w:tcW w:w="2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1DFA">
            <w:pPr>
              <w:pStyle w:val="BodyText"/>
              <w:rPr>
                <w:lang w:val="en-NZ"/>
              </w:rPr>
            </w:pPr>
            <w:r w:rsidRPr="006D1DFA">
              <w:t>3. Integrate existing infrastructure into design brief</w:t>
            </w:r>
          </w:p>
        </w:tc>
        <w:tc>
          <w:tcPr>
            <w:tcW w:w="62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D1DFA" w:rsidP="006D1DFA">
            <w:pPr>
              <w:pStyle w:val="BodyText"/>
            </w:pPr>
            <w:r w:rsidRPr="006D1DFA">
              <w:t>3.1 Review existing plans, drawings and databases against the design brief</w:t>
            </w:r>
          </w:p>
          <w:p w:rsidR="00000000" w:rsidRPr="006D1DFA" w:rsidP="006D1DFA">
            <w:pPr>
              <w:pStyle w:val="BodyText"/>
            </w:pPr>
            <w:r w:rsidRPr="006D1DFA">
              <w:t>3.2 Calculat</w:t>
            </w:r>
            <w:r w:rsidRPr="006D1DFA">
              <w:t>e capacity of existing facilities against proposed usage to ensure appropriate design decisions for new installation</w:t>
            </w:r>
          </w:p>
          <w:p w:rsidR="00000000" w:rsidRPr="006D1DFA" w:rsidP="006D1DFA">
            <w:pPr>
              <w:pStyle w:val="BodyText"/>
            </w:pPr>
            <w:r w:rsidRPr="006D1DFA">
              <w:t>3.3 Incorporate all data into new installation design</w:t>
            </w:r>
          </w:p>
          <w:p w:rsidR="00000000" w:rsidRPr="006D1DFA" w:rsidP="006D1DFA">
            <w:pPr>
              <w:pStyle w:val="BodyText"/>
            </w:pPr>
            <w:r w:rsidRPr="006D1DFA">
              <w:t>3.4 Mark up plans and prepare report on new installation design</w:t>
            </w:r>
          </w:p>
          <w:p w:rsidR="00000000" w:rsidP="006D1DFA">
            <w:pPr>
              <w:pStyle w:val="BodyText"/>
              <w:rPr>
                <w:lang w:val="en-NZ"/>
              </w:rPr>
            </w:pPr>
            <w:r w:rsidRPr="006D1DFA">
              <w:t>3.5 Develop contingen</w:t>
            </w:r>
            <w:r w:rsidRPr="006D1DFA">
              <w:t>cy plans for anticipated constraints</w:t>
            </w:r>
          </w:p>
        </w:tc>
      </w:tr>
      <w:tr w:rsidTr="00965F5D">
        <w:tblPrEx>
          <w:tblW w:w="0" w:type="auto"/>
          <w:tblLayout w:type="fixed"/>
          <w:tblCellMar>
            <w:left w:w="62" w:type="dxa"/>
            <w:right w:w="62" w:type="dxa"/>
          </w:tblCellMar>
          <w:tblLook w:val="0000"/>
        </w:tblPrEx>
        <w:tc>
          <w:tcPr>
            <w:tcW w:w="2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1DFA">
            <w:pPr>
              <w:pStyle w:val="BodyText"/>
              <w:rPr>
                <w:lang w:val="en-NZ"/>
              </w:rPr>
            </w:pPr>
            <w:r w:rsidRPr="006D1DFA">
              <w:t>4. Review design for compliance with standards and legislation</w:t>
            </w:r>
          </w:p>
        </w:tc>
        <w:tc>
          <w:tcPr>
            <w:tcW w:w="62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D1DFA" w:rsidP="006D1DFA">
            <w:pPr>
              <w:pStyle w:val="BodyText"/>
            </w:pPr>
            <w:r w:rsidRPr="006D1DFA">
              <w:t>4.1 Examine standards, practices and requirements for locating telecommunications infrastructure in the access network</w:t>
            </w:r>
          </w:p>
          <w:p w:rsidR="00000000" w:rsidRPr="006D1DFA" w:rsidP="006D1DFA">
            <w:pPr>
              <w:pStyle w:val="BodyText"/>
            </w:pPr>
            <w:r w:rsidRPr="006D1DFA">
              <w:t>4.2 Review installation design to en</w:t>
            </w:r>
            <w:r w:rsidRPr="006D1DFA">
              <w:t xml:space="preserve">sure compliance with requirements of federal, state and local regulations, </w:t>
            </w:r>
            <w:r w:rsidRPr="006D1DFA">
              <w:rPr>
                <w:rStyle w:val="BoldandItalics"/>
              </w:rPr>
              <w:t>relevant legislation</w:t>
            </w:r>
            <w:r w:rsidRPr="006D1DFA">
              <w:t>, codes and standards</w:t>
            </w:r>
          </w:p>
          <w:p w:rsidR="00000000" w:rsidP="006D1DFA">
            <w:pPr>
              <w:pStyle w:val="BodyText"/>
              <w:rPr>
                <w:lang w:val="en-NZ"/>
              </w:rPr>
            </w:pPr>
            <w:r w:rsidRPr="006D1DFA">
              <w:t>4.3 Initiate any special studies or investigations necessary for the completion of the project</w:t>
            </w:r>
          </w:p>
        </w:tc>
      </w:tr>
      <w:tr w:rsidTr="00965F5D">
        <w:tblPrEx>
          <w:tblW w:w="0" w:type="auto"/>
          <w:tblLayout w:type="fixed"/>
          <w:tblCellMar>
            <w:left w:w="62" w:type="dxa"/>
            <w:right w:w="62" w:type="dxa"/>
          </w:tblCellMar>
          <w:tblLook w:val="0000"/>
        </w:tblPrEx>
        <w:tc>
          <w:tcPr>
            <w:tcW w:w="2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1DFA">
            <w:pPr>
              <w:pStyle w:val="BodyText"/>
              <w:rPr>
                <w:lang w:val="en-NZ"/>
              </w:rPr>
            </w:pPr>
            <w:r w:rsidRPr="006D1DFA">
              <w:t>5. Complete required reports and documentat</w:t>
            </w:r>
            <w:r w:rsidRPr="006D1DFA">
              <w:t>ion</w:t>
            </w:r>
          </w:p>
        </w:tc>
        <w:tc>
          <w:tcPr>
            <w:tcW w:w="62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D1DFA" w:rsidP="006D1DFA">
            <w:pPr>
              <w:pStyle w:val="BodyText"/>
            </w:pPr>
            <w:r w:rsidRPr="006D1DFA">
              <w:t xml:space="preserve">5.1 Complete required documents promptly and accurately according to </w:t>
            </w:r>
            <w:r w:rsidRPr="006D1DFA">
              <w:rPr>
                <w:rStyle w:val="BoldandItalics"/>
              </w:rPr>
              <w:t>planning parameters</w:t>
            </w:r>
          </w:p>
          <w:p w:rsidR="00000000" w:rsidRPr="006D1DFA" w:rsidP="006D1DFA">
            <w:pPr>
              <w:pStyle w:val="BodyText"/>
            </w:pPr>
            <w:r w:rsidRPr="006D1DFA">
              <w:t>5.2 Obtain carrier confirmation of documented requirements</w:t>
            </w:r>
          </w:p>
          <w:p w:rsidR="00000000" w:rsidRPr="006D1DFA" w:rsidP="006D1DFA">
            <w:pPr>
              <w:pStyle w:val="BodyText"/>
            </w:pPr>
            <w:r w:rsidRPr="006D1DFA">
              <w:t>5.3 Distribute design documentation to stakeholders promptly</w:t>
            </w:r>
          </w:p>
          <w:p w:rsidR="00000000" w:rsidRPr="006D1DFA" w:rsidP="006D1DFA">
            <w:pPr>
              <w:pStyle w:val="BodyText"/>
            </w:pPr>
            <w:r w:rsidRPr="006D1DFA">
              <w:t xml:space="preserve">5.4 Obtain </w:t>
            </w:r>
            <w:r w:rsidRPr="006D1DFA">
              <w:rPr>
                <w:rStyle w:val="BoldandItalics"/>
              </w:rPr>
              <w:t xml:space="preserve">project plan </w:t>
            </w:r>
            <w:r w:rsidRPr="006D1DFA">
              <w:t>sign-off from carrier</w:t>
            </w:r>
          </w:p>
        </w:tc>
      </w:tr>
    </w:tbl>
    <w:p w:rsidR="00000000" w:rsidRPr="006D1DFA" w:rsidP="006D1DFA">
      <w:pPr>
        <w:pStyle w:val="BodyText"/>
      </w:pPr>
    </w:p>
    <w:p w:rsidR="00000000" w:rsidRPr="006D1DFA" w:rsidP="006D1DFA">
      <w:pPr>
        <w:pStyle w:val="AllowPageBreak"/>
      </w:pPr>
    </w:p>
    <w:p w:rsidR="00000000" w:rsidRPr="006D1DFA" w:rsidP="006D1DFA">
      <w:pPr>
        <w:pStyle w:val="Heading1"/>
      </w:pPr>
      <w:bookmarkStart w:id="9" w:name="O_640145"/>
      <w:bookmarkEnd w:id="9"/>
      <w:r w:rsidRPr="006D1DFA">
        <w:t>Required Skills and Knowledge</w:t>
      </w:r>
    </w:p>
    <w:p w:rsidR="00000000" w:rsidRPr="006D1DFA" w:rsidP="006D1DFA">
      <w:pPr>
        <w:pStyle w:val="BodyText"/>
      </w:pPr>
      <w:r w:rsidRPr="006D1DFA">
        <w:rPr>
          <w:rStyle w:val="Emphasis"/>
        </w:rPr>
        <w:t>This section describes the skills and knowledge required for this unit.</w:t>
      </w:r>
    </w:p>
    <w:p w:rsidR="00000000" w:rsidRPr="006D1DFA" w:rsidP="006D1DFA">
      <w:pPr>
        <w:pStyle w:val="BodyText"/>
      </w:pPr>
    </w:p>
    <w:p w:rsidR="00000000" w:rsidRPr="006D1DFA" w:rsidP="006D1DFA">
      <w:pPr>
        <w:pStyle w:val="BodyText"/>
      </w:pPr>
      <w:r w:rsidRPr="006D1DFA">
        <w:rPr>
          <w:rStyle w:val="SpecialBold"/>
        </w:rPr>
        <w:t>Required skills</w:t>
      </w:r>
    </w:p>
    <w:p w:rsidR="00000000" w:rsidRPr="006D1DFA" w:rsidP="006D1DFA">
      <w:pPr>
        <w:pStyle w:val="BodyText"/>
      </w:pPr>
    </w:p>
    <w:p w:rsidR="00000000" w:rsidRPr="006D1DFA" w:rsidP="006D1DFA">
      <w:pPr>
        <w:pStyle w:val="ListBullet"/>
      </w:pPr>
      <w:r w:rsidRPr="006D1DFA">
        <w:t>analytical skills to identify details relating to the project from approved network plan</w:t>
      </w:r>
    </w:p>
    <w:p w:rsidR="00000000" w:rsidRPr="006D1DFA" w:rsidP="006D1DFA">
      <w:pPr>
        <w:pStyle w:val="ListBullet"/>
      </w:pPr>
      <w:r w:rsidRPr="006D1DFA">
        <w:t>commu</w:t>
      </w:r>
      <w:r w:rsidRPr="006D1DFA">
        <w:t>nication skills to discuss project brief with the customer</w:t>
      </w:r>
    </w:p>
    <w:p w:rsidR="00000000" w:rsidRPr="006D1DFA" w:rsidP="006D1DFA">
      <w:pPr>
        <w:pStyle w:val="ListBullet"/>
      </w:pPr>
      <w:r w:rsidRPr="006D1DFA">
        <w:t>learning skills to:</w:t>
      </w:r>
    </w:p>
    <w:p w:rsidR="00000000" w:rsidRPr="006D1DFA" w:rsidP="006D1DFA">
      <w:pPr>
        <w:pStyle w:val="ListBullet2"/>
      </w:pPr>
      <w:r w:rsidRPr="006D1DFA">
        <w:t>develop and study planning options, considering present and future needs</w:t>
      </w:r>
    </w:p>
    <w:p w:rsidR="00000000" w:rsidRPr="006D1DFA" w:rsidP="006D1DFA">
      <w:pPr>
        <w:pStyle w:val="ListBullet2"/>
      </w:pPr>
      <w:r w:rsidRPr="006D1DFA">
        <w:t>identify barriers to plan realisation</w:t>
      </w:r>
    </w:p>
    <w:p w:rsidR="00000000" w:rsidRPr="006D1DFA" w:rsidP="006D1DFA">
      <w:pPr>
        <w:pStyle w:val="ListBullet"/>
      </w:pPr>
      <w:r w:rsidRPr="006D1DFA">
        <w:t>literacy skills to write project briefs</w:t>
      </w:r>
    </w:p>
    <w:p w:rsidR="00000000" w:rsidRPr="006D1DFA" w:rsidP="006D1DFA">
      <w:pPr>
        <w:pStyle w:val="ListBullet"/>
      </w:pPr>
      <w:r w:rsidRPr="006D1DFA">
        <w:t>numeracy skills to:</w:t>
      </w:r>
    </w:p>
    <w:p w:rsidR="00000000" w:rsidRPr="006D1DFA" w:rsidP="006D1DFA">
      <w:pPr>
        <w:pStyle w:val="ListBullet2"/>
      </w:pPr>
      <w:r w:rsidRPr="006D1DFA">
        <w:t>analyse site survey data</w:t>
      </w:r>
    </w:p>
    <w:p w:rsidR="00000000" w:rsidRPr="006D1DFA" w:rsidP="006D1DFA">
      <w:pPr>
        <w:pStyle w:val="ListBullet2"/>
      </w:pPr>
      <w:r w:rsidRPr="006D1DFA">
        <w:t>develop cost estimates and operating budgets according to enterprise policy</w:t>
      </w:r>
    </w:p>
    <w:p w:rsidR="00000000" w:rsidRPr="006D1DFA" w:rsidP="006D1DFA">
      <w:pPr>
        <w:pStyle w:val="ListBullet2"/>
      </w:pPr>
      <w:r w:rsidRPr="006D1DFA">
        <w:t>undertake cost-benefit studies to inform the decision-making process</w:t>
      </w:r>
    </w:p>
    <w:p w:rsidR="00000000" w:rsidRPr="006D1DFA" w:rsidP="006D1DFA">
      <w:pPr>
        <w:pStyle w:val="ListBullet"/>
      </w:pPr>
      <w:r w:rsidRPr="006D1DFA">
        <w:t>planning skills to review current and new technology, facilities and features when de</w:t>
      </w:r>
      <w:r w:rsidRPr="006D1DFA">
        <w:t>veloping options</w:t>
      </w:r>
    </w:p>
    <w:p w:rsidR="00000000" w:rsidRPr="006D1DFA" w:rsidP="006D1DFA">
      <w:pPr>
        <w:pStyle w:val="ListBullet"/>
      </w:pPr>
      <w:r w:rsidRPr="006D1DFA">
        <w:t>problem-solving skills to:</w:t>
      </w:r>
    </w:p>
    <w:p w:rsidR="00000000" w:rsidRPr="006D1DFA" w:rsidP="006D1DFA">
      <w:pPr>
        <w:pStyle w:val="ListBullet2"/>
      </w:pPr>
      <w:r w:rsidRPr="006D1DFA">
        <w:t>address and analyse specific customer requirements</w:t>
      </w:r>
    </w:p>
    <w:p w:rsidR="00000000" w:rsidRPr="006D1DFA" w:rsidP="006D1DFA">
      <w:pPr>
        <w:pStyle w:val="ListBullet2"/>
      </w:pPr>
      <w:r w:rsidRPr="006D1DFA">
        <w:t>assess current access network conditions</w:t>
      </w:r>
    </w:p>
    <w:p w:rsidR="00000000" w:rsidRPr="006D1DFA" w:rsidP="006D1DFA">
      <w:pPr>
        <w:pStyle w:val="ListBullet"/>
      </w:pPr>
      <w:r w:rsidRPr="006D1DFA">
        <w:t>research skills to:</w:t>
      </w:r>
    </w:p>
    <w:p w:rsidR="00000000" w:rsidRPr="006D1DFA" w:rsidP="006D1DFA">
      <w:pPr>
        <w:pStyle w:val="ListBullet2"/>
      </w:pPr>
      <w:r w:rsidRPr="006D1DFA">
        <w:t>analyse impact on planning processes</w:t>
      </w:r>
    </w:p>
    <w:p w:rsidR="00000000" w:rsidRPr="006D1DFA" w:rsidP="006D1DFA">
      <w:pPr>
        <w:pStyle w:val="ListBullet2"/>
      </w:pPr>
      <w:r w:rsidRPr="006D1DFA">
        <w:t>establish cabling requirements</w:t>
      </w:r>
    </w:p>
    <w:p w:rsidR="00000000" w:rsidRPr="006D1DFA" w:rsidP="006D1DFA">
      <w:pPr>
        <w:pStyle w:val="ListBullet2"/>
      </w:pPr>
      <w:r w:rsidRPr="006D1DFA">
        <w:t>evaluate requirements of rele</w:t>
      </w:r>
      <w:r w:rsidRPr="006D1DFA">
        <w:t>vant legislation and associated operational codes</w:t>
      </w:r>
    </w:p>
    <w:p w:rsidR="00000000" w:rsidRPr="006D1DFA" w:rsidP="006D1DFA">
      <w:pPr>
        <w:pStyle w:val="ListBullet2"/>
      </w:pPr>
      <w:r w:rsidRPr="006D1DFA">
        <w:t>inspect installed equipment</w:t>
      </w:r>
    </w:p>
    <w:p w:rsidR="00000000" w:rsidRPr="006D1DFA" w:rsidP="006D1DFA">
      <w:pPr>
        <w:pStyle w:val="ListBullet2"/>
      </w:pPr>
      <w:r w:rsidRPr="006D1DFA">
        <w:t>obtain and evaluate information relating to new technology or technology features</w:t>
      </w:r>
    </w:p>
    <w:p w:rsidR="00000000" w:rsidRPr="006D1DFA" w:rsidP="006D1DFA">
      <w:pPr>
        <w:pStyle w:val="ListBullet2"/>
      </w:pPr>
      <w:r w:rsidRPr="006D1DFA">
        <w:t>obtain geographical information</w:t>
      </w:r>
    </w:p>
    <w:p w:rsidR="00965F5D" w:rsidP="006D1DFA">
      <w:pPr>
        <w:pStyle w:val="ListBullet"/>
      </w:pPr>
      <w:r w:rsidRPr="006D1DFA">
        <w:t>technical skills to apply the three phases of project management to the project brief.</w:t>
      </w:r>
    </w:p>
    <w:p w:rsidR="00965F5D" w:rsidP="006D1DFA">
      <w:pPr>
        <w:pStyle w:val="ListBullet"/>
      </w:pPr>
    </w:p>
    <w:p w:rsidR="00000000" w:rsidRPr="006D1DFA" w:rsidP="006D1DFA">
      <w:pPr>
        <w:pStyle w:val="BodyText"/>
      </w:pPr>
      <w:r w:rsidRPr="006D1DFA">
        <w:rPr>
          <w:rStyle w:val="SpecialBold"/>
        </w:rPr>
        <w:t>Required knowledge</w:t>
      </w:r>
    </w:p>
    <w:p w:rsidR="00000000" w:rsidRPr="006D1DFA" w:rsidP="006D1DFA">
      <w:pPr>
        <w:pStyle w:val="BodyText"/>
      </w:pPr>
    </w:p>
    <w:p w:rsidR="00000000" w:rsidRPr="006D1DFA" w:rsidP="006D1DFA">
      <w:pPr>
        <w:pStyle w:val="ListBullet"/>
      </w:pPr>
      <w:r w:rsidRPr="006D1DFA">
        <w:t>detailed knowledge of:</w:t>
      </w:r>
    </w:p>
    <w:p w:rsidR="00000000" w:rsidRPr="006D1DFA" w:rsidP="006D1DFA">
      <w:pPr>
        <w:pStyle w:val="ListBullet2"/>
      </w:pPr>
      <w:r w:rsidRPr="006D1DFA">
        <w:t>content and format of project briefs, reports and charters</w:t>
      </w:r>
    </w:p>
    <w:p w:rsidR="00000000" w:rsidRPr="006D1DFA" w:rsidP="006D1DFA">
      <w:pPr>
        <w:pStyle w:val="ListBullet2"/>
      </w:pPr>
      <w:r w:rsidRPr="006D1DFA">
        <w:t xml:space="preserve">procedures for developing cost estimates and operating budgets </w:t>
      </w:r>
      <w:r w:rsidRPr="006D1DFA">
        <w:t>according to enterprise policy</w:t>
      </w:r>
    </w:p>
    <w:p w:rsidR="00000000" w:rsidRPr="006D1DFA" w:rsidP="006D1DFA">
      <w:pPr>
        <w:pStyle w:val="ListBullet2"/>
      </w:pPr>
      <w:r w:rsidRPr="006D1DFA">
        <w:t>project management software systems</w:t>
      </w:r>
    </w:p>
    <w:p w:rsidR="00000000" w:rsidRPr="006D1DFA" w:rsidP="006D1DFA">
      <w:pPr>
        <w:pStyle w:val="ListBullet2"/>
      </w:pPr>
      <w:r w:rsidRPr="006D1DFA">
        <w:t>telecommunications carrier infrastructure</w:t>
      </w:r>
    </w:p>
    <w:p w:rsidR="00000000" w:rsidRPr="006D1DFA" w:rsidP="006D1DFA">
      <w:pPr>
        <w:pStyle w:val="ListBullet2"/>
      </w:pPr>
      <w:r w:rsidRPr="006D1DFA">
        <w:t>theory of project management</w:t>
      </w:r>
    </w:p>
    <w:p w:rsidR="00000000" w:rsidRPr="006D1DFA" w:rsidP="006D1DFA">
      <w:pPr>
        <w:pStyle w:val="ListBullet"/>
      </w:pPr>
      <w:r w:rsidRPr="006D1DFA">
        <w:t>overview knowledge of:</w:t>
      </w:r>
    </w:p>
    <w:p w:rsidR="00000000" w:rsidRPr="006D1DFA" w:rsidP="006D1DFA">
      <w:pPr>
        <w:pStyle w:val="ListBullet2"/>
      </w:pPr>
      <w:r w:rsidRPr="006D1DFA">
        <w:t>current and emerging challenges facing technology</w:t>
      </w:r>
    </w:p>
    <w:p w:rsidR="00000000" w:rsidRPr="006D1DFA" w:rsidP="006D1DFA">
      <w:pPr>
        <w:pStyle w:val="ListBullet2"/>
      </w:pPr>
      <w:r w:rsidRPr="006D1DFA">
        <w:t>influence of local and international economic conditions and financial authorities on the telecommunications industry</w:t>
      </w:r>
    </w:p>
    <w:p w:rsidR="00000000" w:rsidRPr="006D1DFA" w:rsidP="006D1DFA">
      <w:pPr>
        <w:pStyle w:val="ListBullet2"/>
      </w:pPr>
      <w:r w:rsidRPr="006D1DFA">
        <w:t>legislation, codes of practice and other formal agreements that impact on the work activity</w:t>
      </w:r>
    </w:p>
    <w:p w:rsidR="00000000" w:rsidRPr="006D1DFA" w:rsidP="006D1DFA">
      <w:pPr>
        <w:pStyle w:val="ListBullet2"/>
      </w:pPr>
      <w:r w:rsidRPr="006D1DFA">
        <w:t>manufacturer requirements for safe operation o</w:t>
      </w:r>
      <w:r w:rsidRPr="006D1DFA">
        <w:t>f equipment</w:t>
      </w:r>
    </w:p>
    <w:p w:rsidR="00000000" w:rsidRPr="006D1DFA" w:rsidP="006D1DFA">
      <w:pPr>
        <w:pStyle w:val="ListBullet"/>
      </w:pPr>
      <w:r w:rsidRPr="006D1DFA">
        <w:t>procedures for responding to typical issues and challenges that occur on site, including:</w:t>
      </w:r>
    </w:p>
    <w:p w:rsidR="00000000" w:rsidRPr="006D1DFA" w:rsidP="006D1DFA">
      <w:pPr>
        <w:pStyle w:val="ListBullet2"/>
      </w:pPr>
      <w:r w:rsidRPr="006D1DFA">
        <w:t>barricading</w:t>
      </w:r>
    </w:p>
    <w:p w:rsidR="00000000" w:rsidRPr="006D1DFA" w:rsidP="006D1DFA">
      <w:pPr>
        <w:pStyle w:val="ListBullet2"/>
      </w:pPr>
      <w:r w:rsidRPr="006D1DFA">
        <w:t>damage to site</w:t>
      </w:r>
    </w:p>
    <w:p w:rsidR="00000000" w:rsidRPr="006D1DFA" w:rsidP="006D1DFA">
      <w:pPr>
        <w:pStyle w:val="ListBullet2"/>
      </w:pPr>
      <w:r w:rsidRPr="006D1DFA">
        <w:t>obtaining access</w:t>
      </w:r>
    </w:p>
    <w:p w:rsidR="00000000" w:rsidRPr="006D1DFA" w:rsidP="006D1DFA">
      <w:pPr>
        <w:pStyle w:val="ListBullet2"/>
      </w:pPr>
      <w:r w:rsidRPr="006D1DFA">
        <w:t>problematic weather</w:t>
      </w:r>
    </w:p>
    <w:p w:rsidR="00000000" w:rsidRPr="006D1DFA" w:rsidP="006D1DFA">
      <w:pPr>
        <w:pStyle w:val="ListBullet2"/>
      </w:pPr>
      <w:r w:rsidRPr="006D1DFA">
        <w:t>safety management</w:t>
      </w:r>
    </w:p>
    <w:p w:rsidR="00000000" w:rsidRPr="006D1DFA" w:rsidP="006D1DFA">
      <w:pPr>
        <w:pStyle w:val="ListBullet2"/>
      </w:pPr>
      <w:r w:rsidRPr="006D1DFA">
        <w:t>vegetation and mud</w:t>
      </w:r>
    </w:p>
    <w:p w:rsidR="00000000" w:rsidRPr="006D1DFA" w:rsidP="006D1DFA">
      <w:pPr>
        <w:pStyle w:val="ListBullet2"/>
      </w:pPr>
      <w:r w:rsidRPr="006D1DFA">
        <w:t>waste management.</w:t>
      </w:r>
    </w:p>
    <w:p w:rsidR="00000000" w:rsidRPr="006D1DFA" w:rsidP="006D1DFA">
      <w:pPr>
        <w:pStyle w:val="AllowPageBreak"/>
      </w:pPr>
    </w:p>
    <w:p w:rsidR="00000000" w:rsidRPr="006D1DFA" w:rsidP="006D1DFA">
      <w:pPr>
        <w:pStyle w:val="Heading1"/>
      </w:pPr>
      <w:bookmarkStart w:id="10" w:name="O_640146"/>
      <w:bookmarkEnd w:id="10"/>
      <w:r w:rsidRPr="006D1DFA">
        <w:t>Evidence Guide</w:t>
      </w:r>
    </w:p>
    <w:p w:rsidR="00000000" w:rsidRPr="006D1DFA" w:rsidP="006D1DFA">
      <w:pPr>
        <w:pStyle w:val="BodyText"/>
      </w:pPr>
      <w:r w:rsidRPr="006D1DFA">
        <w:rPr>
          <w:rStyle w:val="Emphasis"/>
        </w:rPr>
        <w:t>The evidence guide provides advice on assessment and must be read in conjunction with the performance criteria, required skills and knowledge, range statement and the Assessment Guidelines for the Training Package.</w:t>
      </w:r>
    </w:p>
    <w:p w:rsidR="00000000" w:rsidRPr="006D1DFA" w:rsidP="006D1DFA">
      <w:pPr>
        <w:pStyle w:val="BodyText"/>
      </w:pPr>
    </w:p>
    <w:tbl>
      <w:tblPr>
        <w:tblW w:w="0" w:type="auto"/>
        <w:tblLayout w:type="fixed"/>
        <w:tblCellMar>
          <w:left w:w="62" w:type="dxa"/>
          <w:right w:w="62" w:type="dxa"/>
        </w:tblCellMar>
        <w:tblLook w:val="0000"/>
      </w:tblPr>
      <w:tblGrid>
        <w:gridCol w:w="2520"/>
        <w:gridCol w:w="6225"/>
      </w:tblGrid>
      <w:tr w:rsidTr="006D1DFA">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1DFA">
            <w:pPr>
              <w:pStyle w:val="BodyText"/>
              <w:rPr>
                <w:lang w:val="en-NZ"/>
              </w:rPr>
            </w:pPr>
            <w:r w:rsidRPr="006D1DFA">
              <w:rPr>
                <w:rStyle w:val="SpecialBold"/>
              </w:rPr>
              <w:t>Overview of assessment</w:t>
            </w:r>
          </w:p>
        </w:tc>
        <w:tc>
          <w:tcPr>
            <w:tcW w:w="62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1DFA">
            <w:pPr>
              <w:pStyle w:val="BodyText"/>
              <w:rPr>
                <w:lang w:val="en-NZ"/>
              </w:rPr>
            </w:pPr>
          </w:p>
        </w:tc>
      </w:tr>
      <w:tr w:rsidTr="006D1DFA">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1DFA">
            <w:pPr>
              <w:pStyle w:val="BodyText"/>
              <w:rPr>
                <w:lang w:val="en-NZ"/>
              </w:rPr>
            </w:pPr>
            <w:r w:rsidRPr="006D1DFA">
              <w:rPr>
                <w:rStyle w:val="SpecialBold"/>
              </w:rPr>
              <w:t>Critical aspect</w:t>
            </w:r>
            <w:r w:rsidRPr="006D1DFA">
              <w:rPr>
                <w:rStyle w:val="SpecialBold"/>
              </w:rPr>
              <w:t>s for assessment and evidence required to demonstrate competency in this unit</w:t>
            </w:r>
          </w:p>
        </w:tc>
        <w:tc>
          <w:tcPr>
            <w:tcW w:w="62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D1DFA" w:rsidP="006D1DFA">
            <w:pPr>
              <w:pStyle w:val="BodyText"/>
            </w:pPr>
            <w:r w:rsidRPr="006D1DFA">
              <w:t>Evidence of the ability to:</w:t>
            </w:r>
          </w:p>
          <w:p w:rsidR="00000000" w:rsidRPr="006D1DFA" w:rsidP="006D1DFA">
            <w:pPr>
              <w:pStyle w:val="BodyText"/>
            </w:pPr>
          </w:p>
          <w:p w:rsidR="00000000" w:rsidRPr="006D1DFA" w:rsidP="006D1DFA">
            <w:pPr>
              <w:pStyle w:val="ListBullet"/>
            </w:pPr>
            <w:r w:rsidRPr="006D1DFA">
              <w:t>evaluate existing infrastructure on an installation site</w:t>
            </w:r>
          </w:p>
          <w:p w:rsidR="00000000" w:rsidRPr="006D1DFA" w:rsidP="006D1DFA">
            <w:pPr>
              <w:pStyle w:val="ListBullet"/>
            </w:pPr>
            <w:r w:rsidRPr="006D1DFA">
              <w:t>integrate existing infrastructure into an installation design</w:t>
            </w:r>
          </w:p>
          <w:p w:rsidR="00000000" w:rsidRPr="006D1DFA" w:rsidP="006D1DFA">
            <w:pPr>
              <w:pStyle w:val="ListBullet"/>
            </w:pPr>
            <w:r w:rsidRPr="006D1DFA">
              <w:t>develop design specifications for an installation project</w:t>
            </w:r>
          </w:p>
          <w:p w:rsidR="00000000" w:rsidP="006D1DFA">
            <w:pPr>
              <w:pStyle w:val="ListBullet"/>
              <w:rPr>
                <w:lang w:val="en-NZ"/>
              </w:rPr>
            </w:pPr>
            <w:r w:rsidRPr="006D1DFA">
              <w:t>engage stakeholders and carriers in design approval process.</w:t>
            </w:r>
          </w:p>
        </w:tc>
      </w:tr>
      <w:tr w:rsidTr="006D1DFA">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1DFA">
            <w:pPr>
              <w:pStyle w:val="BodyText"/>
              <w:rPr>
                <w:lang w:val="en-NZ"/>
              </w:rPr>
            </w:pPr>
            <w:r w:rsidRPr="006D1DFA">
              <w:rPr>
                <w:rStyle w:val="SpecialBold"/>
              </w:rPr>
              <w:t>Context of and specific resources for assessment</w:t>
            </w:r>
          </w:p>
        </w:tc>
        <w:tc>
          <w:tcPr>
            <w:tcW w:w="62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D1DFA" w:rsidP="006D1DFA">
            <w:pPr>
              <w:pStyle w:val="BodyText"/>
            </w:pPr>
            <w:r w:rsidRPr="006D1DFA">
              <w:t>Assessment must ensure:</w:t>
            </w:r>
          </w:p>
          <w:p w:rsidR="00000000" w:rsidRPr="006D1DFA" w:rsidP="006D1DFA">
            <w:pPr>
              <w:pStyle w:val="BodyText"/>
            </w:pPr>
          </w:p>
          <w:p w:rsidR="00000000" w:rsidRPr="006D1DFA" w:rsidP="006D1DFA">
            <w:pPr>
              <w:pStyle w:val="ListBullet"/>
            </w:pPr>
            <w:r w:rsidRPr="006D1DFA">
              <w:t>a network planning area, systems and deployment rules and sta</w:t>
            </w:r>
            <w:r w:rsidRPr="006D1DFA">
              <w:t>ndards</w:t>
            </w:r>
          </w:p>
          <w:p w:rsidR="00000000" w:rsidP="006D1DFA">
            <w:pPr>
              <w:pStyle w:val="ListBullet"/>
              <w:rPr>
                <w:lang w:val="en-NZ"/>
              </w:rPr>
            </w:pPr>
            <w:r w:rsidRPr="006D1DFA">
              <w:t>relevant databases, licensing requirements and other site-related procedures.</w:t>
            </w:r>
          </w:p>
        </w:tc>
      </w:tr>
      <w:tr w:rsidTr="006D1DFA">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1DFA">
            <w:pPr>
              <w:pStyle w:val="BodyText"/>
              <w:rPr>
                <w:lang w:val="en-NZ"/>
              </w:rPr>
            </w:pPr>
            <w:r w:rsidRPr="006D1DFA">
              <w:rPr>
                <w:rStyle w:val="SpecialBold"/>
              </w:rPr>
              <w:t>Method of assessment</w:t>
            </w:r>
          </w:p>
        </w:tc>
        <w:tc>
          <w:tcPr>
            <w:tcW w:w="62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D1DFA" w:rsidP="006D1DFA">
            <w:pPr>
              <w:pStyle w:val="BodyText"/>
            </w:pPr>
            <w:r w:rsidRPr="006D1DFA">
              <w:t>A range of assessment methods should be used to assess practical skills and knowledge. The following examples are appropriate for this unit:</w:t>
            </w:r>
          </w:p>
          <w:p w:rsidR="00000000" w:rsidRPr="006D1DFA" w:rsidP="006D1DFA">
            <w:pPr>
              <w:pStyle w:val="BodyText"/>
            </w:pPr>
          </w:p>
          <w:p w:rsidR="00000000" w:rsidRPr="006D1DFA" w:rsidP="006D1DFA">
            <w:pPr>
              <w:pStyle w:val="ListBullet"/>
            </w:pPr>
            <w:r w:rsidRPr="006D1DFA">
              <w:t>direct</w:t>
            </w:r>
            <w:r w:rsidRPr="006D1DFA">
              <w:t xml:space="preserve"> observation of the candidate undertaking an assessment of an access network</w:t>
            </w:r>
          </w:p>
          <w:p w:rsidR="00000000" w:rsidRPr="006D1DFA" w:rsidP="006D1DFA">
            <w:pPr>
              <w:pStyle w:val="ListBullet"/>
            </w:pPr>
            <w:r w:rsidRPr="006D1DFA">
              <w:t>review of documents prepared by the candidate, capturing the network design requirements for a range of project types</w:t>
            </w:r>
          </w:p>
          <w:p w:rsidR="00000000" w:rsidRPr="006D1DFA" w:rsidP="006D1DFA">
            <w:pPr>
              <w:pStyle w:val="ListBullet"/>
            </w:pPr>
            <w:r w:rsidRPr="006D1DFA">
              <w:t>review of solutions developed by the candidate that address network shortfalls</w:t>
            </w:r>
          </w:p>
          <w:p w:rsidR="00000000" w:rsidP="006D1DFA">
            <w:pPr>
              <w:pStyle w:val="ListBullet"/>
              <w:rPr>
                <w:lang w:val="en-NZ"/>
              </w:rPr>
            </w:pPr>
            <w:r w:rsidRPr="006D1DFA">
              <w:t>oral or written questioning to assess knowledge of planning the access network.</w:t>
            </w:r>
          </w:p>
        </w:tc>
      </w:tr>
      <w:tr w:rsidTr="006D1DFA">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1DFA">
            <w:pPr>
              <w:pStyle w:val="BodyText"/>
              <w:rPr>
                <w:lang w:val="en-NZ"/>
              </w:rPr>
            </w:pPr>
            <w:r w:rsidRPr="006D1DFA">
              <w:rPr>
                <w:rStyle w:val="SpecialBold"/>
              </w:rPr>
              <w:t>Guidance information for assessment</w:t>
            </w:r>
          </w:p>
        </w:tc>
        <w:tc>
          <w:tcPr>
            <w:tcW w:w="62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D1DFA" w:rsidP="006D1DFA">
            <w:pPr>
              <w:pStyle w:val="BodyText"/>
            </w:pPr>
            <w:r w:rsidRPr="006D1DFA">
              <w:t>Holistic assessment with other units relevant to the industr</w:t>
            </w:r>
            <w:r w:rsidRPr="006D1DFA">
              <w:t>y sector, workplace and job role is recommended, for example:</w:t>
            </w:r>
          </w:p>
          <w:p w:rsidR="00000000" w:rsidRPr="006D1DFA" w:rsidP="006D1DFA">
            <w:pPr>
              <w:pStyle w:val="BodyText"/>
            </w:pPr>
          </w:p>
          <w:p w:rsidR="00000000" w:rsidRPr="006D1DFA" w:rsidP="006D1DFA">
            <w:pPr>
              <w:pStyle w:val="ListBullet"/>
            </w:pPr>
            <w:r w:rsidRPr="006D1DFA">
              <w:t>ICTNPL4108A Plan the deployment of access network architectures</w:t>
            </w:r>
          </w:p>
          <w:p w:rsidR="00000000" w:rsidRPr="006D1DFA" w:rsidP="006D1DFA">
            <w:pPr>
              <w:pStyle w:val="ListBullet"/>
            </w:pPr>
            <w:r w:rsidRPr="006D1DFA">
              <w:t>ICTNPL4109A Evaluate the capability of access networks.</w:t>
            </w:r>
          </w:p>
          <w:p w:rsidR="00000000" w:rsidRPr="006D1DFA" w:rsidP="006D1DFA">
            <w:pPr>
              <w:pStyle w:val="BodyText"/>
            </w:pPr>
          </w:p>
          <w:p w:rsidR="00000000" w:rsidRPr="006D1DFA" w:rsidP="006D1DFA">
            <w:pPr>
              <w:pStyle w:val="BodyText"/>
            </w:pPr>
            <w:r w:rsidRPr="006D1DFA">
              <w:t>Aboriginal people and other people from a non-English speaking backgrou</w:t>
            </w:r>
            <w:r w:rsidRPr="006D1DFA">
              <w:t>nd may have second language issues.</w:t>
            </w:r>
          </w:p>
          <w:p w:rsidR="00000000" w:rsidRPr="006D1DFA" w:rsidP="006D1DFA">
            <w:pPr>
              <w:pStyle w:val="BodyText"/>
            </w:pPr>
          </w:p>
          <w:p w:rsidR="00000000" w:rsidRPr="006D1DFA" w:rsidP="006D1DFA">
            <w:pPr>
              <w:pStyle w:val="BodyText"/>
            </w:pPr>
            <w:r w:rsidRPr="006D1DFA">
              <w:t>Access must be provided to appropriate learning and assessment support when required.</w:t>
            </w:r>
          </w:p>
          <w:p w:rsidR="00000000" w:rsidRPr="006D1DFA" w:rsidP="006D1DFA">
            <w:pPr>
              <w:pStyle w:val="BodyText"/>
            </w:pPr>
          </w:p>
          <w:p w:rsidR="00000000" w:rsidRPr="006D1DFA" w:rsidP="006D1DFA">
            <w:pPr>
              <w:pStyle w:val="BodyText"/>
            </w:pPr>
            <w:r w:rsidRPr="006D1DFA">
              <w:t>Assessment processes and techniques must be culturally appropriate, and appropriate to the oral communication skill level, and langu</w:t>
            </w:r>
            <w:r w:rsidRPr="006D1DFA">
              <w:t>age and literacy capacity of the candidate and the work being performed.</w:t>
            </w:r>
          </w:p>
          <w:p w:rsidR="00000000" w:rsidRPr="006D1DFA" w:rsidP="006D1DFA">
            <w:pPr>
              <w:pStyle w:val="BodyText"/>
            </w:pPr>
          </w:p>
          <w:p w:rsidR="00000000" w:rsidRPr="006D1DFA" w:rsidP="006D1DFA">
            <w:pPr>
              <w:pStyle w:val="BodyText"/>
            </w:pPr>
            <w:r w:rsidRPr="006D1DFA">
              <w:t>In all cases where practical assessment is used it will be combined with targeted questioning to assess required knowledge. Questioning techniques should not require language, literacy and numeracy skills beyond those required in this unit of competency.</w:t>
            </w:r>
          </w:p>
          <w:p w:rsidR="00000000" w:rsidRPr="006D1DFA" w:rsidP="006D1DFA">
            <w:pPr>
              <w:pStyle w:val="BodyText"/>
            </w:pPr>
          </w:p>
          <w:p w:rsidR="00000000" w:rsidRPr="006D1DFA" w:rsidP="006D1DFA">
            <w:pPr>
              <w:pStyle w:val="BodyText"/>
            </w:pPr>
            <w:r w:rsidRPr="006D1DFA">
              <w:t>Where applicable, physical resources should include equipment modified for people with special needs.</w:t>
            </w:r>
          </w:p>
        </w:tc>
      </w:tr>
    </w:tbl>
    <w:p w:rsidR="00000000" w:rsidRPr="006D1DFA" w:rsidP="006D1DFA">
      <w:pPr>
        <w:pStyle w:val="BodyText"/>
      </w:pPr>
    </w:p>
    <w:p w:rsidR="00000000" w:rsidRPr="006D1DFA" w:rsidP="006D1DFA">
      <w:pPr>
        <w:pStyle w:val="AllowPageBreak"/>
      </w:pPr>
    </w:p>
    <w:p w:rsidR="00000000" w:rsidRPr="006D1DFA" w:rsidP="006D1DFA">
      <w:pPr>
        <w:pStyle w:val="Heading1"/>
      </w:pPr>
      <w:bookmarkStart w:id="11" w:name="O_640147"/>
      <w:bookmarkEnd w:id="11"/>
      <w:r w:rsidRPr="006D1DFA">
        <w:t>Range Statement</w:t>
      </w:r>
    </w:p>
    <w:p w:rsidR="00000000" w:rsidRPr="006D1DFA" w:rsidP="006D1DFA">
      <w:pPr>
        <w:pStyle w:val="BodyText"/>
      </w:pPr>
      <w:r w:rsidRPr="006D1DFA">
        <w:rPr>
          <w:rStyle w:val="Emphasis"/>
        </w:rPr>
        <w:t>The range statement relates to the unit of competency as a whole. It allows for different work environments and situati</w:t>
      </w:r>
      <w:r w:rsidRPr="006D1DFA">
        <w:rPr>
          <w:rStyle w:val="Emphasis"/>
        </w:rPr>
        <w:t>ons that may affect performance. Bold italicised wording, if used in the performance criteria, is detailed below. Essential operating conditions that may be present with training and assessment (depending on the work situation, needs of the candidate, acce</w:t>
      </w:r>
      <w:r w:rsidRPr="006D1DFA">
        <w:rPr>
          <w:rStyle w:val="Emphasis"/>
        </w:rPr>
        <w:t>ssibility of the item, and local industry and regional contexts) may also be included.</w:t>
      </w:r>
    </w:p>
    <w:p w:rsidR="00000000" w:rsidRPr="006D1DFA" w:rsidP="006D1DFA">
      <w:pPr>
        <w:pStyle w:val="BodyText"/>
      </w:pPr>
    </w:p>
    <w:tbl>
      <w:tblPr>
        <w:tblW w:w="0" w:type="auto"/>
        <w:tblLayout w:type="fixed"/>
        <w:tblCellMar>
          <w:left w:w="62" w:type="dxa"/>
          <w:right w:w="62" w:type="dxa"/>
        </w:tblCellMar>
        <w:tblLook w:val="0000"/>
      </w:tblPr>
      <w:tblGrid>
        <w:gridCol w:w="2520"/>
        <w:gridCol w:w="6225"/>
      </w:tblGrid>
      <w:tr w:rsidTr="006D1DFA">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1DFA">
            <w:pPr>
              <w:pStyle w:val="BodyText"/>
              <w:rPr>
                <w:lang w:val="en-NZ"/>
              </w:rPr>
            </w:pPr>
            <w:r w:rsidRPr="006D1DFA">
              <w:rPr>
                <w:rStyle w:val="BoldandItalics"/>
              </w:rPr>
              <w:t xml:space="preserve">Carrier network systems </w:t>
            </w:r>
            <w:r w:rsidRPr="006D1DFA">
              <w:t>may refer to:</w:t>
            </w:r>
          </w:p>
        </w:tc>
        <w:tc>
          <w:tcPr>
            <w:tcW w:w="62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D1DFA" w:rsidP="006D1DFA">
            <w:pPr>
              <w:pStyle w:val="ListBullet"/>
            </w:pPr>
            <w:r w:rsidRPr="006D1DFA">
              <w:t>broadband:</w:t>
            </w:r>
          </w:p>
          <w:p w:rsidR="00000000" w:rsidRPr="006D1DFA" w:rsidP="006D1DFA">
            <w:pPr>
              <w:pStyle w:val="ListBullet2"/>
            </w:pPr>
            <w:r w:rsidRPr="006D1DFA">
              <w:t>wireless fidelity (WiFi)</w:t>
            </w:r>
          </w:p>
          <w:p w:rsidR="00000000" w:rsidRPr="006D1DFA" w:rsidP="006D1DFA">
            <w:pPr>
              <w:pStyle w:val="ListBullet2"/>
            </w:pPr>
            <w:r w:rsidRPr="006D1DFA">
              <w:t>world interoperability for microwave access (WiMAX)</w:t>
            </w:r>
          </w:p>
          <w:p w:rsidR="00000000" w:rsidRPr="006D1DFA" w:rsidP="006D1DFA">
            <w:pPr>
              <w:pStyle w:val="ListBullet"/>
            </w:pPr>
            <w:r w:rsidRPr="006D1DFA">
              <w:t>copper:</w:t>
            </w:r>
          </w:p>
          <w:p w:rsidR="00000000" w:rsidRPr="006D1DFA" w:rsidP="006D1DFA">
            <w:pPr>
              <w:pStyle w:val="ListBullet2"/>
            </w:pPr>
            <w:r w:rsidRPr="006D1DFA">
              <w:t>coaxial</w:t>
            </w:r>
          </w:p>
          <w:p w:rsidR="00000000" w:rsidRPr="006D1DFA" w:rsidP="006D1DFA">
            <w:pPr>
              <w:pStyle w:val="ListBullet2"/>
            </w:pPr>
            <w:r w:rsidRPr="006D1DFA">
              <w:t>hybrid f</w:t>
            </w:r>
            <w:r w:rsidRPr="006D1DFA">
              <w:t>ibre coaxial (HFC)</w:t>
            </w:r>
          </w:p>
          <w:p w:rsidR="00000000" w:rsidRPr="006D1DFA" w:rsidP="006D1DFA">
            <w:pPr>
              <w:pStyle w:val="ListBullet2"/>
            </w:pPr>
            <w:r w:rsidRPr="006D1DFA">
              <w:t>twisted-pair</w:t>
            </w:r>
          </w:p>
          <w:p w:rsidR="00000000" w:rsidRPr="006D1DFA" w:rsidP="006D1DFA">
            <w:pPr>
              <w:pStyle w:val="ListBullet"/>
            </w:pPr>
            <w:r w:rsidRPr="006D1DFA">
              <w:t>digital services:</w:t>
            </w:r>
          </w:p>
          <w:p w:rsidR="00000000" w:rsidRPr="006D1DFA" w:rsidP="006D1DFA">
            <w:pPr>
              <w:pStyle w:val="ListBullet2"/>
            </w:pPr>
            <w:r w:rsidRPr="006D1DFA">
              <w:t>asymmetrical digital subscriber lines (ADSL)</w:t>
            </w:r>
          </w:p>
          <w:p w:rsidR="00000000" w:rsidRPr="006D1DFA" w:rsidP="006D1DFA">
            <w:pPr>
              <w:pStyle w:val="ListBullet2"/>
            </w:pPr>
            <w:r w:rsidRPr="006D1DFA">
              <w:t>digital subscriber lines (DSL)</w:t>
            </w:r>
          </w:p>
          <w:p w:rsidR="00000000" w:rsidRPr="006D1DFA" w:rsidP="006D1DFA">
            <w:pPr>
              <w:pStyle w:val="ListBullet"/>
            </w:pPr>
            <w:r w:rsidRPr="006D1DFA">
              <w:t>internet protocol (IP) network:</w:t>
            </w:r>
          </w:p>
          <w:p w:rsidR="00000000" w:rsidRPr="006D1DFA" w:rsidP="006D1DFA">
            <w:pPr>
              <w:pStyle w:val="ListBullet2"/>
            </w:pPr>
            <w:r w:rsidRPr="006D1DFA">
              <w:t>computer</w:t>
            </w:r>
          </w:p>
          <w:p w:rsidR="00000000" w:rsidRPr="006D1DFA" w:rsidP="006D1DFA">
            <w:pPr>
              <w:pStyle w:val="ListBullet2"/>
            </w:pPr>
            <w:r w:rsidRPr="006D1DFA">
              <w:t>IP private branch exchange (IP PBX)</w:t>
            </w:r>
          </w:p>
          <w:p w:rsidR="00000000" w:rsidRPr="006D1DFA" w:rsidP="006D1DFA">
            <w:pPr>
              <w:pStyle w:val="ListBullet2"/>
            </w:pPr>
            <w:r w:rsidRPr="006D1DFA">
              <w:t>internet protocol TV (IPTV)</w:t>
            </w:r>
          </w:p>
          <w:p w:rsidR="00000000" w:rsidRPr="006D1DFA" w:rsidP="006D1DFA">
            <w:pPr>
              <w:pStyle w:val="ListBullet2"/>
            </w:pPr>
            <w:r w:rsidRPr="006D1DFA">
              <w:t>voice over internet p</w:t>
            </w:r>
            <w:r w:rsidRPr="006D1DFA">
              <w:t xml:space="preserve">rotocol (VoIP) </w:t>
            </w:r>
          </w:p>
          <w:p w:rsidR="00000000" w:rsidRPr="006D1DFA" w:rsidP="006D1DFA">
            <w:pPr>
              <w:pStyle w:val="ListBullet"/>
            </w:pPr>
            <w:r w:rsidRPr="006D1DFA">
              <w:t>optical:</w:t>
            </w:r>
          </w:p>
          <w:p w:rsidR="00000000" w:rsidRPr="006D1DFA" w:rsidP="006D1DFA">
            <w:pPr>
              <w:pStyle w:val="ListBullet2"/>
            </w:pPr>
            <w:r w:rsidRPr="006D1DFA">
              <w:t>fibre to the x (FTTx)</w:t>
            </w:r>
          </w:p>
          <w:p w:rsidR="00000000" w:rsidRPr="006D1DFA" w:rsidP="006D1DFA">
            <w:pPr>
              <w:pStyle w:val="ListBullet2"/>
            </w:pPr>
            <w:r w:rsidRPr="006D1DFA">
              <w:t>fibre to the node (FTTN)</w:t>
            </w:r>
          </w:p>
          <w:p w:rsidR="00000000" w:rsidRPr="006D1DFA" w:rsidP="006D1DFA">
            <w:pPr>
              <w:pStyle w:val="ListBullet2"/>
            </w:pPr>
            <w:r w:rsidRPr="006D1DFA">
              <w:t>fibre to the premises (FTTP)</w:t>
            </w:r>
          </w:p>
          <w:p w:rsidR="00000000" w:rsidRPr="006D1DFA" w:rsidP="006D1DFA">
            <w:pPr>
              <w:pStyle w:val="ListBullet2"/>
            </w:pPr>
            <w:r w:rsidRPr="006D1DFA">
              <w:t>HFC</w:t>
            </w:r>
          </w:p>
          <w:p w:rsidR="00000000" w:rsidRPr="006D1DFA" w:rsidP="006D1DFA">
            <w:pPr>
              <w:pStyle w:val="ListBullet"/>
            </w:pPr>
            <w:r w:rsidRPr="006D1DFA">
              <w:t>point-to-point network</w:t>
            </w:r>
          </w:p>
          <w:p w:rsidR="00000000" w:rsidRPr="006D1DFA" w:rsidP="006D1DFA">
            <w:pPr>
              <w:pStyle w:val="ListBullet"/>
            </w:pPr>
            <w:r w:rsidRPr="006D1DFA">
              <w:t>point-to-multipoint network</w:t>
            </w:r>
          </w:p>
          <w:p w:rsidR="00000000" w:rsidRPr="006D1DFA" w:rsidP="006D1DFA">
            <w:pPr>
              <w:pStyle w:val="ListBullet"/>
            </w:pPr>
            <w:r w:rsidRPr="006D1DFA">
              <w:t>wireless networks:</w:t>
            </w:r>
          </w:p>
          <w:p w:rsidR="00000000" w:rsidRPr="006D1DFA" w:rsidP="006D1DFA">
            <w:pPr>
              <w:pStyle w:val="ListBullet2"/>
            </w:pPr>
            <w:r w:rsidRPr="006D1DFA">
              <w:t>cellular</w:t>
            </w:r>
          </w:p>
          <w:p w:rsidR="00000000" w:rsidRPr="006D1DFA" w:rsidP="006D1DFA">
            <w:pPr>
              <w:pStyle w:val="ListBullet2"/>
            </w:pPr>
            <w:r w:rsidRPr="006D1DFA">
              <w:t>microwave</w:t>
            </w:r>
          </w:p>
          <w:p w:rsidR="00000000" w:rsidRPr="006D1DFA" w:rsidP="006D1DFA">
            <w:pPr>
              <w:pStyle w:val="ListBullet2"/>
            </w:pPr>
            <w:r w:rsidRPr="006D1DFA">
              <w:t>radio</w:t>
            </w:r>
          </w:p>
          <w:p w:rsidR="00000000" w:rsidP="006D1DFA">
            <w:pPr>
              <w:pStyle w:val="ListBullet2"/>
              <w:rPr>
                <w:lang w:val="en-NZ"/>
              </w:rPr>
            </w:pPr>
            <w:r w:rsidRPr="006D1DFA">
              <w:t>satellite.</w:t>
            </w:r>
          </w:p>
        </w:tc>
      </w:tr>
      <w:tr w:rsidTr="006D1DFA">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1DFA">
            <w:pPr>
              <w:pStyle w:val="BodyText"/>
              <w:rPr>
                <w:lang w:val="en-NZ"/>
              </w:rPr>
            </w:pPr>
            <w:r w:rsidRPr="006D1DFA">
              <w:rPr>
                <w:rStyle w:val="BoldandItalics"/>
              </w:rPr>
              <w:t xml:space="preserve">Network information systems </w:t>
            </w:r>
            <w:r w:rsidRPr="006D1DFA">
              <w:t>may include:</w:t>
            </w:r>
          </w:p>
        </w:tc>
        <w:tc>
          <w:tcPr>
            <w:tcW w:w="62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D1DFA" w:rsidP="006D1DFA">
            <w:pPr>
              <w:pStyle w:val="ListBullet"/>
            </w:pPr>
            <w:r w:rsidRPr="006D1DFA">
              <w:t>network management databases for:</w:t>
            </w:r>
          </w:p>
          <w:p w:rsidR="00000000" w:rsidRPr="006D1DFA" w:rsidP="006D1DFA">
            <w:pPr>
              <w:pStyle w:val="ListBullet2"/>
            </w:pPr>
            <w:r w:rsidRPr="006D1DFA">
              <w:t>capacity assessment data</w:t>
            </w:r>
          </w:p>
          <w:p w:rsidR="00000000" w:rsidRPr="006D1DFA" w:rsidP="006D1DFA">
            <w:pPr>
              <w:pStyle w:val="ListBullet2"/>
            </w:pPr>
            <w:r w:rsidRPr="006D1DFA">
              <w:t>network performance data</w:t>
            </w:r>
          </w:p>
          <w:p w:rsidR="00000000" w:rsidRPr="006D1DFA" w:rsidP="006D1DFA">
            <w:pPr>
              <w:pStyle w:val="ListBullet2"/>
            </w:pPr>
            <w:r w:rsidRPr="006D1DFA">
              <w:t>traffic dimensioning data</w:t>
            </w:r>
          </w:p>
          <w:p w:rsidR="00000000" w:rsidP="006D1DFA">
            <w:pPr>
              <w:pStyle w:val="ListBullet"/>
              <w:rPr>
                <w:lang w:val="en-NZ"/>
              </w:rPr>
            </w:pPr>
            <w:r w:rsidRPr="006D1DFA">
              <w:t>network management tools.</w:t>
            </w:r>
          </w:p>
        </w:tc>
      </w:tr>
      <w:tr w:rsidTr="006D1DFA">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1DFA">
            <w:pPr>
              <w:pStyle w:val="BodyText"/>
              <w:rPr>
                <w:lang w:val="en-NZ"/>
              </w:rPr>
            </w:pPr>
            <w:r w:rsidRPr="006D1DFA">
              <w:rPr>
                <w:rStyle w:val="BoldandItalics"/>
              </w:rPr>
              <w:t xml:space="preserve">Planning data </w:t>
            </w:r>
            <w:r w:rsidRPr="006D1DFA">
              <w:t>may relate to:</w:t>
            </w:r>
          </w:p>
        </w:tc>
        <w:tc>
          <w:tcPr>
            <w:tcW w:w="62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D1DFA" w:rsidP="006D1DFA">
            <w:pPr>
              <w:pStyle w:val="ListBullet"/>
            </w:pPr>
            <w:r w:rsidRPr="006D1DFA">
              <w:t>current and proposed network growth</w:t>
            </w:r>
          </w:p>
          <w:p w:rsidR="00000000" w:rsidRPr="006D1DFA" w:rsidP="006D1DFA">
            <w:pPr>
              <w:pStyle w:val="ListBullet"/>
            </w:pPr>
            <w:r w:rsidRPr="006D1DFA">
              <w:t>demographic growth</w:t>
            </w:r>
          </w:p>
          <w:p w:rsidR="00000000" w:rsidP="006D1DFA">
            <w:pPr>
              <w:pStyle w:val="ListBullet"/>
              <w:rPr>
                <w:lang w:val="en-NZ"/>
              </w:rPr>
            </w:pPr>
            <w:r w:rsidRPr="006D1DFA">
              <w:t>traffic quantity and flow.</w:t>
            </w:r>
          </w:p>
        </w:tc>
      </w:tr>
      <w:tr w:rsidTr="006D1DFA">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1DFA">
            <w:pPr>
              <w:pStyle w:val="BodyText"/>
              <w:rPr>
                <w:lang w:val="en-NZ"/>
              </w:rPr>
            </w:pPr>
            <w:r w:rsidRPr="006D1DFA">
              <w:rPr>
                <w:rStyle w:val="BoldandItalics"/>
              </w:rPr>
              <w:t xml:space="preserve">Barriers to planned network extensions </w:t>
            </w:r>
            <w:r w:rsidRPr="006D1DFA">
              <w:t>may include:</w:t>
            </w:r>
          </w:p>
        </w:tc>
        <w:tc>
          <w:tcPr>
            <w:tcW w:w="62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D1DFA" w:rsidP="006D1DFA">
            <w:pPr>
              <w:pStyle w:val="ListBullet"/>
            </w:pPr>
            <w:r w:rsidRPr="006D1DFA">
              <w:t>building availability</w:t>
            </w:r>
          </w:p>
          <w:p w:rsidR="00000000" w:rsidRPr="006D1DFA" w:rsidP="006D1DFA">
            <w:pPr>
              <w:pStyle w:val="ListBullet"/>
            </w:pPr>
            <w:r w:rsidRPr="006D1DFA">
              <w:t>environmental considerations</w:t>
            </w:r>
          </w:p>
          <w:p w:rsidR="00000000" w:rsidRPr="006D1DFA" w:rsidP="006D1DFA">
            <w:pPr>
              <w:pStyle w:val="ListBullet"/>
            </w:pPr>
            <w:r w:rsidRPr="006D1DFA">
              <w:t>financial constraints</w:t>
            </w:r>
          </w:p>
          <w:p w:rsidR="00000000" w:rsidRPr="006D1DFA" w:rsidP="006D1DFA">
            <w:pPr>
              <w:pStyle w:val="ListBullet"/>
            </w:pPr>
            <w:r w:rsidRPr="006D1DFA">
              <w:t>government policy</w:t>
            </w:r>
          </w:p>
          <w:p w:rsidR="00000000" w:rsidRPr="006D1DFA" w:rsidP="006D1DFA">
            <w:pPr>
              <w:pStyle w:val="ListBullet"/>
            </w:pPr>
            <w:r w:rsidRPr="006D1DFA">
              <w:t>heritage legislation restrictions</w:t>
            </w:r>
          </w:p>
          <w:p w:rsidR="00000000" w:rsidRPr="006D1DFA" w:rsidP="006D1DFA">
            <w:pPr>
              <w:pStyle w:val="ListBullet"/>
            </w:pPr>
            <w:r w:rsidRPr="006D1DFA">
              <w:t>land acquisition constraints</w:t>
            </w:r>
          </w:p>
          <w:p w:rsidR="00000000" w:rsidRPr="006D1DFA" w:rsidP="006D1DFA">
            <w:pPr>
              <w:pStyle w:val="ListBullet"/>
            </w:pPr>
            <w:r w:rsidRPr="006D1DFA">
              <w:t>material availability</w:t>
            </w:r>
          </w:p>
          <w:p w:rsidR="00000000" w:rsidRPr="006D1DFA" w:rsidP="006D1DFA">
            <w:pPr>
              <w:pStyle w:val="ListBullet"/>
            </w:pPr>
            <w:r w:rsidRPr="006D1DFA">
              <w:t>planning approvals</w:t>
            </w:r>
          </w:p>
          <w:p w:rsidR="00000000" w:rsidP="006D1DFA">
            <w:pPr>
              <w:pStyle w:val="ListBullet"/>
              <w:rPr>
                <w:lang w:val="en-NZ"/>
              </w:rPr>
            </w:pPr>
            <w:r w:rsidRPr="006D1DFA">
              <w:t>technolo</w:t>
            </w:r>
            <w:r w:rsidRPr="006D1DFA">
              <w:t>gy availability.</w:t>
            </w:r>
          </w:p>
        </w:tc>
      </w:tr>
      <w:tr w:rsidTr="006D1DFA">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1DFA">
            <w:pPr>
              <w:pStyle w:val="BodyText"/>
              <w:rPr>
                <w:lang w:val="en-NZ"/>
              </w:rPr>
            </w:pPr>
            <w:r w:rsidRPr="006D1DFA">
              <w:rPr>
                <w:rStyle w:val="BoldandItalics"/>
              </w:rPr>
              <w:t xml:space="preserve">Existing network </w:t>
            </w:r>
            <w:r w:rsidRPr="006D1DFA">
              <w:t>may include:</w:t>
            </w:r>
          </w:p>
        </w:tc>
        <w:tc>
          <w:tcPr>
            <w:tcW w:w="62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D1DFA" w:rsidP="006D1DFA">
            <w:pPr>
              <w:pStyle w:val="ListBullet"/>
            </w:pPr>
            <w:r w:rsidRPr="006D1DFA">
              <w:t>access network technology and exchange switching and transmission systems</w:t>
            </w:r>
          </w:p>
          <w:p w:rsidR="00000000" w:rsidP="006D1DFA">
            <w:pPr>
              <w:pStyle w:val="ListBullet"/>
              <w:rPr>
                <w:lang w:val="en-NZ"/>
              </w:rPr>
            </w:pPr>
            <w:r w:rsidRPr="006D1DFA">
              <w:t>boundaries between access and inter-exchange networks.</w:t>
            </w:r>
          </w:p>
        </w:tc>
      </w:tr>
      <w:tr w:rsidTr="006D1DFA">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1DFA">
            <w:pPr>
              <w:pStyle w:val="BodyText"/>
              <w:rPr>
                <w:lang w:val="en-NZ"/>
              </w:rPr>
            </w:pPr>
            <w:r w:rsidRPr="006D1DFA">
              <w:rPr>
                <w:rStyle w:val="BoldandItalics"/>
              </w:rPr>
              <w:t xml:space="preserve">Relevant legislation </w:t>
            </w:r>
            <w:r w:rsidRPr="006D1DFA">
              <w:t>may include:</w:t>
            </w:r>
          </w:p>
        </w:tc>
        <w:tc>
          <w:tcPr>
            <w:tcW w:w="62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D1DFA" w:rsidP="006D1DFA">
            <w:pPr>
              <w:pStyle w:val="ListBullet"/>
            </w:pPr>
            <w:r w:rsidRPr="006D1DFA">
              <w:t>Australian Communications and Media Authority (ACMA) standard TS 14</w:t>
            </w:r>
          </w:p>
          <w:p w:rsidR="00000000" w:rsidRPr="006D1DFA" w:rsidP="006D1DFA">
            <w:pPr>
              <w:pStyle w:val="ListBullet"/>
            </w:pPr>
            <w:r w:rsidRPr="006D1DFA">
              <w:t>Australian standards applying to radiation hazards</w:t>
            </w:r>
          </w:p>
          <w:p w:rsidR="00000000" w:rsidRPr="006D1DFA" w:rsidP="006D1DFA">
            <w:pPr>
              <w:pStyle w:val="ListBullet"/>
            </w:pPr>
            <w:r w:rsidRPr="006D1DFA">
              <w:t>heritage legislation</w:t>
            </w:r>
          </w:p>
          <w:p w:rsidR="00000000" w:rsidRPr="006D1DFA" w:rsidP="006D1DFA">
            <w:pPr>
              <w:pStyle w:val="ListBullet"/>
            </w:pPr>
            <w:r w:rsidRPr="006D1DFA">
              <w:t>industrial awards and conditions</w:t>
            </w:r>
          </w:p>
          <w:p w:rsidR="00000000" w:rsidRPr="006D1DFA" w:rsidP="006D1DFA">
            <w:pPr>
              <w:pStyle w:val="ListBullet"/>
            </w:pPr>
            <w:r w:rsidRPr="006D1DFA">
              <w:t>International Standards ISO 9001:2008</w:t>
            </w:r>
          </w:p>
          <w:p w:rsidR="00000000" w:rsidRPr="006D1DFA" w:rsidP="006D1DFA">
            <w:pPr>
              <w:pStyle w:val="ListBullet"/>
            </w:pPr>
            <w:r w:rsidRPr="006D1DFA">
              <w:t xml:space="preserve">International Telecommunications Union (ITU) </w:t>
            </w:r>
            <w:r w:rsidRPr="006D1DFA">
              <w:t>recommendations</w:t>
            </w:r>
          </w:p>
          <w:p w:rsidR="00000000" w:rsidRPr="006D1DFA" w:rsidP="006D1DFA">
            <w:pPr>
              <w:pStyle w:val="ListBullet"/>
            </w:pPr>
            <w:r w:rsidRPr="006D1DFA">
              <w:t>National Parks Act</w:t>
            </w:r>
          </w:p>
          <w:p w:rsidR="00000000" w:rsidRPr="006D1DFA" w:rsidP="006D1DFA">
            <w:pPr>
              <w:pStyle w:val="ListBullet"/>
            </w:pPr>
            <w:r w:rsidRPr="006D1DFA">
              <w:t>Privacy Act</w:t>
            </w:r>
          </w:p>
          <w:p w:rsidR="00000000" w:rsidRPr="006D1DFA" w:rsidP="006D1DFA">
            <w:pPr>
              <w:pStyle w:val="ListBullet"/>
            </w:pPr>
            <w:r w:rsidRPr="006D1DFA">
              <w:t>state, territory and federal Environment Acts</w:t>
            </w:r>
          </w:p>
          <w:p w:rsidR="00000000" w:rsidRPr="006D1DFA" w:rsidP="006D1DFA">
            <w:pPr>
              <w:pStyle w:val="ListBullet"/>
            </w:pPr>
            <w:r w:rsidRPr="006D1DFA">
              <w:t>Telecommunications Act and relevant codes</w:t>
            </w:r>
          </w:p>
          <w:p w:rsidR="00000000" w:rsidP="006D1DFA">
            <w:pPr>
              <w:pStyle w:val="ListBullet"/>
              <w:rPr>
                <w:lang w:val="en-NZ"/>
              </w:rPr>
            </w:pPr>
            <w:r w:rsidRPr="006D1DFA">
              <w:t>WHS.</w:t>
            </w:r>
          </w:p>
        </w:tc>
      </w:tr>
      <w:tr w:rsidTr="006D1DFA">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1DFA">
            <w:pPr>
              <w:pStyle w:val="BodyText"/>
              <w:rPr>
                <w:lang w:val="en-NZ"/>
              </w:rPr>
            </w:pPr>
            <w:r w:rsidRPr="006D1DFA">
              <w:rPr>
                <w:rStyle w:val="BoldandItalics"/>
              </w:rPr>
              <w:t xml:space="preserve">Planning parameters </w:t>
            </w:r>
            <w:r w:rsidRPr="006D1DFA">
              <w:t>may relate to:</w:t>
            </w:r>
          </w:p>
        </w:tc>
        <w:tc>
          <w:tcPr>
            <w:tcW w:w="62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D1DFA" w:rsidP="006D1DFA">
            <w:pPr>
              <w:pStyle w:val="ListBullet"/>
            </w:pPr>
            <w:r w:rsidRPr="006D1DFA">
              <w:t>network criteria cover:</w:t>
            </w:r>
          </w:p>
          <w:p w:rsidR="00000000" w:rsidRPr="006D1DFA" w:rsidP="006D1DFA">
            <w:pPr>
              <w:pStyle w:val="ListBullet2"/>
            </w:pPr>
            <w:r w:rsidRPr="006D1DFA">
              <w:t>network change</w:t>
            </w:r>
          </w:p>
          <w:p w:rsidR="00000000" w:rsidRPr="006D1DFA" w:rsidP="006D1DFA">
            <w:pPr>
              <w:pStyle w:val="ListBullet2"/>
            </w:pPr>
            <w:r w:rsidRPr="006D1DFA">
              <w:t>network growth</w:t>
            </w:r>
          </w:p>
          <w:p w:rsidR="00000000" w:rsidRPr="006D1DFA" w:rsidP="006D1DFA">
            <w:pPr>
              <w:pStyle w:val="ListBullet2"/>
            </w:pPr>
            <w:r w:rsidRPr="006D1DFA">
              <w:t>network reduction</w:t>
            </w:r>
          </w:p>
          <w:p w:rsidR="00000000" w:rsidRPr="006D1DFA" w:rsidP="006D1DFA">
            <w:pPr>
              <w:pStyle w:val="ListBullet2"/>
            </w:pPr>
            <w:r w:rsidRPr="006D1DFA">
              <w:t>sites, buildings and structures</w:t>
            </w:r>
          </w:p>
          <w:p w:rsidR="00000000" w:rsidRPr="006D1DFA" w:rsidP="006D1DFA">
            <w:pPr>
              <w:pStyle w:val="ListBullet"/>
            </w:pPr>
            <w:r w:rsidRPr="006D1DFA">
              <w:t>organisational policies, procedures and guidelines</w:t>
            </w:r>
          </w:p>
          <w:p w:rsidR="00000000" w:rsidRPr="006D1DFA" w:rsidP="006D1DFA">
            <w:pPr>
              <w:pStyle w:val="ListBullet"/>
            </w:pPr>
            <w:r w:rsidRPr="006D1DFA">
              <w:t>planning priorities driven by:</w:t>
            </w:r>
          </w:p>
          <w:p w:rsidR="00000000" w:rsidRPr="006D1DFA" w:rsidP="006D1DFA">
            <w:pPr>
              <w:pStyle w:val="ListBullet2"/>
            </w:pPr>
            <w:r w:rsidRPr="006D1DFA">
              <w:t>customer demand</w:t>
            </w:r>
          </w:p>
          <w:p w:rsidR="00000000" w:rsidRPr="006D1DFA" w:rsidP="006D1DFA">
            <w:pPr>
              <w:pStyle w:val="ListBullet2"/>
            </w:pPr>
            <w:r w:rsidRPr="006D1DFA">
              <w:t>enterprise policy</w:t>
            </w:r>
          </w:p>
          <w:p w:rsidR="00000000" w:rsidRPr="006D1DFA" w:rsidP="006D1DFA">
            <w:pPr>
              <w:pStyle w:val="ListBullet2"/>
            </w:pPr>
            <w:r w:rsidRPr="006D1DFA">
              <w:t>legislative requirements</w:t>
            </w:r>
          </w:p>
          <w:p w:rsidR="00000000" w:rsidRPr="006D1DFA" w:rsidP="006D1DFA">
            <w:pPr>
              <w:pStyle w:val="ListBullet2"/>
            </w:pPr>
            <w:r w:rsidRPr="006D1DFA">
              <w:t>marketing initiatives</w:t>
            </w:r>
          </w:p>
          <w:p w:rsidR="00000000" w:rsidRPr="006D1DFA" w:rsidP="006D1DFA">
            <w:pPr>
              <w:pStyle w:val="ListBullet2"/>
            </w:pPr>
            <w:r w:rsidRPr="006D1DFA">
              <w:t>network conditions</w:t>
            </w:r>
          </w:p>
          <w:p w:rsidR="00000000" w:rsidRPr="006D1DFA" w:rsidP="006D1DFA">
            <w:pPr>
              <w:pStyle w:val="ListBullet2"/>
            </w:pPr>
            <w:r w:rsidRPr="006D1DFA">
              <w:t>revenue projections</w:t>
            </w:r>
          </w:p>
          <w:p w:rsidR="00000000" w:rsidP="006D1DFA">
            <w:pPr>
              <w:pStyle w:val="ListBullet2"/>
              <w:rPr>
                <w:lang w:val="en-NZ"/>
              </w:rPr>
            </w:pPr>
            <w:r w:rsidRPr="006D1DFA">
              <w:t xml:space="preserve">planning processes, </w:t>
            </w:r>
            <w:r w:rsidRPr="006D1DFA">
              <w:t xml:space="preserve">documented within enterprise process </w:t>
            </w:r>
            <w:r w:rsidRPr="006D1DFA">
              <w:t>manuals.</w:t>
            </w:r>
          </w:p>
        </w:tc>
      </w:tr>
      <w:tr w:rsidTr="006D1DFA">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1DFA">
            <w:pPr>
              <w:pStyle w:val="BodyText"/>
              <w:rPr>
                <w:lang w:val="en-NZ"/>
              </w:rPr>
            </w:pPr>
            <w:r w:rsidRPr="006D1DFA">
              <w:rPr>
                <w:rStyle w:val="BoldandItalics"/>
              </w:rPr>
              <w:t xml:space="preserve">Project plan </w:t>
            </w:r>
            <w:r w:rsidRPr="006D1DFA">
              <w:t>may include:</w:t>
            </w:r>
          </w:p>
        </w:tc>
        <w:tc>
          <w:tcPr>
            <w:tcW w:w="62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D1DFA" w:rsidP="006D1DFA">
            <w:pPr>
              <w:pStyle w:val="ListBullet"/>
            </w:pPr>
            <w:r w:rsidRPr="006D1DFA">
              <w:t>activities</w:t>
            </w:r>
          </w:p>
          <w:p w:rsidR="00000000" w:rsidRPr="006D1DFA" w:rsidP="006D1DFA">
            <w:pPr>
              <w:pStyle w:val="ListBullet"/>
            </w:pPr>
            <w:r w:rsidRPr="006D1DFA">
              <w:t>finance</w:t>
            </w:r>
          </w:p>
          <w:p w:rsidR="00000000" w:rsidRPr="006D1DFA" w:rsidP="006D1DFA">
            <w:pPr>
              <w:pStyle w:val="ListBullet"/>
            </w:pPr>
            <w:r w:rsidRPr="006D1DFA">
              <w:t>labour</w:t>
            </w:r>
          </w:p>
          <w:p w:rsidR="00000000" w:rsidRPr="006D1DFA" w:rsidP="006D1DFA">
            <w:pPr>
              <w:pStyle w:val="ListBullet"/>
            </w:pPr>
            <w:r w:rsidRPr="006D1DFA">
              <w:t>materials.</w:t>
            </w:r>
          </w:p>
        </w:tc>
      </w:tr>
    </w:tbl>
    <w:p w:rsidR="00000000" w:rsidRPr="006D1DFA" w:rsidP="006D1DFA">
      <w:pPr>
        <w:pStyle w:val="BodyText"/>
      </w:pPr>
    </w:p>
    <w:p w:rsidR="00000000" w:rsidRPr="006D1DFA" w:rsidP="006D1DFA">
      <w:pPr>
        <w:pStyle w:val="AllowPageBreak"/>
      </w:pPr>
    </w:p>
    <w:p w:rsidR="00000000" w:rsidRPr="006D1DFA" w:rsidP="006D1DFA">
      <w:pPr>
        <w:pStyle w:val="Heading1"/>
      </w:pPr>
      <w:bookmarkStart w:id="12" w:name="O_640148"/>
      <w:bookmarkEnd w:id="12"/>
      <w:r w:rsidRPr="006D1DFA">
        <w:t>Unit Sector(s)</w:t>
      </w:r>
    </w:p>
    <w:p w:rsidR="00000000" w:rsidRPr="006D1DFA" w:rsidP="006D1DFA">
      <w:pPr>
        <w:pStyle w:val="BodyText"/>
      </w:pPr>
      <w:r w:rsidRPr="006D1DFA">
        <w:t>Telecommunications - Telecommunications networks engineering</w:t>
      </w:r>
    </w:p>
    <w:p w:rsidR="00000000" w:rsidRPr="006D1DFA" w:rsidP="006D1DFA"/>
    <w:sectPr w:rsidSect="006D1DF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1DF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1DFA" w:rsidRPr="00965F5D" w:rsidP="00965F5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1DF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5F5D" w:rsidP="006D1DF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11</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965F5D" w:rsidP="006D1DFA">
    <w:pPr>
      <w:pStyle w:val="Footer"/>
      <w:framePr w:wrap="around"/>
    </w:pPr>
    <w:r>
      <w:t xml:space="preserve">© Commonwealth of Australia, </w:t>
    </w:r>
    <w:r>
      <w:fldChar w:fldCharType="begin"/>
    </w:r>
    <w:r>
      <w:instrText xml:space="preserve"> DATE  \@ "yyyy"  \* MERGEFORMAT </w:instrText>
    </w:r>
    <w:r>
      <w:fldChar w:fldCharType="separate"/>
    </w:r>
    <w:r>
      <w:rPr>
        <w:noProof/>
      </w:rPr>
      <w:t>2014</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965F5D" w:rsidP="006D1DF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1DF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1DFA" w:rsidRPr="00965F5D" w:rsidP="00965F5D">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1DF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5F5D" w:rsidRPr="002D2AF8" w:rsidP="006D1DFA">
    <w:pPr>
      <w:pStyle w:val="Header"/>
      <w:framePr w:wrap="around"/>
    </w:pPr>
    <w:r>
      <w:fldChar w:fldCharType="begin"/>
    </w:r>
    <w:r>
      <w:instrText xml:space="preserve"> TITLE   \* MERGEFORMAT </w:instrText>
    </w:r>
    <w:r>
      <w:fldChar w:fldCharType="separate"/>
    </w:r>
    <w:r>
      <w:t>ICTTEN4242A Conduct site surveys to identify carrier installation requirements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February 2014</w:t>
    </w:r>
    <w:r>
      <w:fldChar w:fldCharType="end"/>
    </w:r>
  </w:p>
  <w:p w:rsidR="00965F5D" w:rsidP="006D1DF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94C7D4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09257E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6127DD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D1DF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D1DFA"/>
    <w:pPr>
      <w:spacing w:before="360" w:after="60"/>
      <w:outlineLvl w:val="0"/>
    </w:pPr>
    <w:rPr>
      <w:sz w:val="32"/>
    </w:rPr>
  </w:style>
  <w:style w:type="paragraph" w:styleId="Heading2">
    <w:name w:val="heading 2"/>
    <w:basedOn w:val="HeadingBase"/>
    <w:next w:val="BodyText"/>
    <w:link w:val="Heading2Char"/>
    <w:qFormat/>
    <w:rsid w:val="006D1DFA"/>
    <w:pPr>
      <w:keepLines/>
      <w:spacing w:before="240" w:after="120"/>
      <w:outlineLvl w:val="1"/>
    </w:pPr>
    <w:rPr>
      <w:sz w:val="28"/>
      <w:szCs w:val="40"/>
    </w:rPr>
  </w:style>
  <w:style w:type="paragraph" w:styleId="Heading3">
    <w:name w:val="heading 3"/>
    <w:basedOn w:val="HeadingBase"/>
    <w:next w:val="BodyText"/>
    <w:link w:val="Heading3Char"/>
    <w:qFormat/>
    <w:rsid w:val="006D1DFA"/>
    <w:pPr>
      <w:spacing w:before="180" w:after="120"/>
      <w:outlineLvl w:val="2"/>
    </w:pPr>
    <w:rPr>
      <w:spacing w:val="-10"/>
      <w:kern w:val="32"/>
    </w:rPr>
  </w:style>
  <w:style w:type="paragraph" w:styleId="Heading4">
    <w:name w:val="heading 4"/>
    <w:basedOn w:val="HeadingBase"/>
    <w:next w:val="BodyText"/>
    <w:link w:val="Heading4Char"/>
    <w:qFormat/>
    <w:rsid w:val="006D1DFA"/>
    <w:pPr>
      <w:spacing w:before="160" w:after="120"/>
      <w:outlineLvl w:val="3"/>
    </w:pPr>
    <w:rPr>
      <w:sz w:val="22"/>
    </w:rPr>
  </w:style>
  <w:style w:type="paragraph" w:styleId="Heading5">
    <w:name w:val="heading 5"/>
    <w:basedOn w:val="HeadingBase"/>
    <w:next w:val="Normal"/>
    <w:link w:val="Heading5Char"/>
    <w:qFormat/>
    <w:rsid w:val="006D1DFA"/>
    <w:pPr>
      <w:spacing w:before="80"/>
      <w:outlineLvl w:val="4"/>
    </w:pPr>
    <w:rPr>
      <w:color w:val="918585"/>
      <w:sz w:val="20"/>
    </w:rPr>
  </w:style>
  <w:style w:type="paragraph" w:styleId="Heading6">
    <w:name w:val="heading 6"/>
    <w:basedOn w:val="HeadingBase"/>
    <w:next w:val="Normal"/>
    <w:link w:val="Heading6Char"/>
    <w:qFormat/>
    <w:rsid w:val="006D1DFA"/>
    <w:pPr>
      <w:spacing w:before="60"/>
      <w:outlineLvl w:val="5"/>
    </w:pPr>
    <w:rPr>
      <w:color w:val="918585"/>
      <w:sz w:val="20"/>
    </w:rPr>
  </w:style>
  <w:style w:type="paragraph" w:styleId="Heading7">
    <w:name w:val="heading 7"/>
    <w:basedOn w:val="Normal"/>
    <w:next w:val="Normal"/>
    <w:link w:val="Heading7Char"/>
    <w:qFormat/>
    <w:rsid w:val="006D1DFA"/>
    <w:pPr>
      <w:ind w:left="720"/>
      <w:outlineLvl w:val="6"/>
    </w:pPr>
    <w:rPr>
      <w:i/>
    </w:rPr>
  </w:style>
  <w:style w:type="paragraph" w:styleId="Heading8">
    <w:name w:val="heading 8"/>
    <w:basedOn w:val="Normal"/>
    <w:next w:val="Normal"/>
    <w:link w:val="Heading8Char"/>
    <w:qFormat/>
    <w:rsid w:val="006D1DFA"/>
    <w:pPr>
      <w:ind w:left="720"/>
      <w:outlineLvl w:val="7"/>
    </w:pPr>
    <w:rPr>
      <w:i/>
    </w:rPr>
  </w:style>
  <w:style w:type="paragraph" w:styleId="Heading9">
    <w:name w:val="heading 9"/>
    <w:basedOn w:val="Normal"/>
    <w:next w:val="Normal"/>
    <w:link w:val="Heading9Char"/>
    <w:qFormat/>
    <w:rsid w:val="006D1DFA"/>
    <w:pPr>
      <w:ind w:left="720"/>
      <w:outlineLvl w:val="8"/>
    </w:pPr>
    <w:rPr>
      <w:i/>
    </w:rPr>
  </w:style>
  <w:style w:type="character" w:default="1" w:styleId="DefaultParagraphFont">
    <w:name w:val="Default Paragraph Font"/>
    <w:uiPriority w:val="1"/>
    <w:unhideWhenUsed/>
    <w:rsid w:val="006D1DF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D1DFA"/>
  </w:style>
  <w:style w:type="character" w:customStyle="1" w:styleId="Heading1Char">
    <w:name w:val="Heading 1 Char"/>
    <w:basedOn w:val="DefaultParagraphFont"/>
    <w:link w:val="Heading1"/>
    <w:rsid w:val="006D1DFA"/>
    <w:rPr>
      <w:rFonts w:ascii="Times New Roman" w:eastAsia="Times New Roman" w:hAnsi="Times New Roman" w:cs="Times New Roman"/>
      <w:b/>
      <w:sz w:val="32"/>
      <w:szCs w:val="20"/>
      <w:lang w:eastAsia="en-US"/>
    </w:rPr>
  </w:style>
  <w:style w:type="paragraph" w:styleId="BodyText">
    <w:name w:val="Body Text"/>
    <w:basedOn w:val="Normal"/>
    <w:link w:val="BodyTextChar"/>
    <w:rsid w:val="006D1DF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D1DFA"/>
    <w:rPr>
      <w:rFonts w:ascii="Times New Roman" w:eastAsia="Times New Roman" w:hAnsi="Times New Roman" w:cs="Times New Roman"/>
      <w:sz w:val="24"/>
      <w:lang w:eastAsia="en-US"/>
    </w:rPr>
  </w:style>
  <w:style w:type="paragraph" w:styleId="ListBullet">
    <w:name w:val="List Bullet"/>
    <w:basedOn w:val="List"/>
    <w:rsid w:val="006D1DFA"/>
    <w:pPr>
      <w:numPr>
        <w:numId w:val="13"/>
      </w:numPr>
      <w:tabs>
        <w:tab w:val="clear" w:pos="340"/>
      </w:tabs>
      <w:spacing w:before="40" w:after="40"/>
    </w:pPr>
  </w:style>
  <w:style w:type="character" w:customStyle="1" w:styleId="SpecialBold">
    <w:name w:val="Special Bold"/>
    <w:basedOn w:val="DefaultParagraphFont"/>
    <w:rsid w:val="006D1DFA"/>
    <w:rPr>
      <w:b/>
      <w:spacing w:val="0"/>
    </w:rPr>
  </w:style>
  <w:style w:type="paragraph" w:styleId="ListBullet2">
    <w:name w:val="List Bullet 2"/>
    <w:basedOn w:val="List2"/>
    <w:rsid w:val="006D1DFA"/>
    <w:pPr>
      <w:numPr>
        <w:numId w:val="14"/>
      </w:numPr>
      <w:tabs>
        <w:tab w:val="clear" w:pos="680"/>
      </w:tabs>
    </w:pPr>
  </w:style>
  <w:style w:type="character" w:styleId="Emphasis">
    <w:name w:val="Emphasis"/>
    <w:basedOn w:val="DefaultParagraphFont"/>
    <w:qFormat/>
    <w:rsid w:val="006D1DFA"/>
    <w:rPr>
      <w:i/>
    </w:rPr>
  </w:style>
  <w:style w:type="paragraph" w:customStyle="1" w:styleId="SuperHeading">
    <w:name w:val="SuperHeading"/>
    <w:basedOn w:val="Normal"/>
    <w:rsid w:val="006D1DFA"/>
    <w:pPr>
      <w:spacing w:before="240" w:after="120"/>
      <w:outlineLvl w:val="0"/>
    </w:pPr>
    <w:rPr>
      <w:rFonts w:ascii="Times New Roman" w:hAnsi="Times New Roman"/>
      <w:b/>
      <w:sz w:val="32"/>
    </w:rPr>
  </w:style>
  <w:style w:type="paragraph" w:customStyle="1" w:styleId="AllowPageBreak">
    <w:name w:val="AllowPageBreak"/>
    <w:rsid w:val="006D1DF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6D1DFA"/>
    <w:rPr>
      <w:b/>
      <w:i/>
      <w:u w:val="none"/>
    </w:rPr>
  </w:style>
  <w:style w:type="character" w:customStyle="1" w:styleId="Heading2Char">
    <w:name w:val="Heading 2 Char"/>
    <w:basedOn w:val="DefaultParagraphFont"/>
    <w:link w:val="Heading2"/>
    <w:rsid w:val="006D1DF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D1DF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D1DF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D1DF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D1DF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D1DF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D1DF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D1DFA"/>
    <w:rPr>
      <w:rFonts w:ascii="Courier New" w:eastAsia="Times New Roman" w:hAnsi="Courier New" w:cs="Times New Roman"/>
      <w:i/>
      <w:szCs w:val="20"/>
      <w:lang w:eastAsia="en-US"/>
    </w:rPr>
  </w:style>
  <w:style w:type="paragraph" w:customStyle="1" w:styleId="HeadingBase">
    <w:name w:val="Heading Base"/>
    <w:rsid w:val="006D1DF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D1DFA"/>
    <w:pPr>
      <w:tabs>
        <w:tab w:val="right" w:leader="dot" w:pos="9072"/>
      </w:tabs>
      <w:ind w:left="567"/>
    </w:pPr>
    <w:rPr>
      <w:szCs w:val="22"/>
    </w:rPr>
  </w:style>
  <w:style w:type="paragraph" w:customStyle="1" w:styleId="TOCBase">
    <w:name w:val="TOC Base"/>
    <w:rsid w:val="006D1DF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D1DFA"/>
    <w:pPr>
      <w:tabs>
        <w:tab w:val="right" w:leader="dot" w:pos="9072"/>
      </w:tabs>
      <w:spacing w:before="40" w:after="40"/>
      <w:ind w:left="284"/>
    </w:pPr>
    <w:rPr>
      <w:rFonts w:ascii="Times New Roman" w:hAnsi="Times New Roman"/>
    </w:rPr>
  </w:style>
  <w:style w:type="paragraph" w:styleId="TOC1">
    <w:name w:val="toc 1"/>
    <w:basedOn w:val="TOCBase"/>
    <w:next w:val="Normal"/>
    <w:rsid w:val="006D1DF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D1DF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D1DFA"/>
    <w:rPr>
      <w:rFonts w:ascii="Times New Roman" w:eastAsia="Times New Roman" w:hAnsi="Times New Roman" w:cs="Times New Roman"/>
      <w:sz w:val="16"/>
      <w:lang w:eastAsia="en-US"/>
    </w:rPr>
  </w:style>
  <w:style w:type="paragraph" w:styleId="Title">
    <w:name w:val="Title"/>
    <w:basedOn w:val="HeadingBase"/>
    <w:link w:val="TitleChar"/>
    <w:qFormat/>
    <w:rsid w:val="006D1DFA"/>
    <w:pPr>
      <w:spacing w:before="5040"/>
      <w:jc w:val="center"/>
    </w:pPr>
    <w:rPr>
      <w:sz w:val="48"/>
      <w:szCs w:val="72"/>
      <w:lang w:val="en-US"/>
    </w:rPr>
  </w:style>
  <w:style w:type="character" w:customStyle="1" w:styleId="TitleChar">
    <w:name w:val="Title Char"/>
    <w:basedOn w:val="DefaultParagraphFont"/>
    <w:link w:val="Title"/>
    <w:rsid w:val="006D1DF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D1DFA"/>
    <w:pPr>
      <w:tabs>
        <w:tab w:val="left" w:pos="3600"/>
        <w:tab w:val="left" w:pos="3958"/>
      </w:tabs>
    </w:pPr>
  </w:style>
  <w:style w:type="paragraph" w:styleId="List">
    <w:name w:val="List"/>
    <w:basedOn w:val="BodyText"/>
    <w:next w:val="BodyText"/>
    <w:rsid w:val="006D1DFA"/>
    <w:pPr>
      <w:tabs>
        <w:tab w:val="left" w:pos="340"/>
      </w:tabs>
      <w:spacing w:before="60" w:after="60"/>
      <w:ind w:left="340" w:hanging="340"/>
    </w:pPr>
  </w:style>
  <w:style w:type="paragraph" w:customStyle="1" w:styleId="Note">
    <w:name w:val="Note"/>
    <w:basedOn w:val="BodyText"/>
    <w:rsid w:val="006D1DF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D1DFA"/>
    <w:pPr>
      <w:framePr w:wrap="auto" w:hAnchor="text" w:y="6049"/>
    </w:pPr>
    <w:rPr>
      <w:color w:val="000000"/>
      <w:sz w:val="40"/>
    </w:rPr>
  </w:style>
  <w:style w:type="paragraph" w:customStyle="1" w:styleId="TOCTitle">
    <w:name w:val="TOCTitle"/>
    <w:basedOn w:val="Heading1"/>
    <w:rsid w:val="006D1DFA"/>
    <w:pPr>
      <w:spacing w:after="240"/>
      <w:jc w:val="center"/>
      <w:outlineLvl w:val="9"/>
    </w:pPr>
    <w:rPr>
      <w:caps/>
    </w:rPr>
  </w:style>
  <w:style w:type="paragraph" w:customStyle="1" w:styleId="Version">
    <w:name w:val="Version"/>
    <w:rsid w:val="006D1DF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D1DFA"/>
    <w:pPr>
      <w:keepNext w:val="0"/>
      <w:tabs>
        <w:tab w:val="right" w:pos="4176"/>
      </w:tabs>
      <w:ind w:left="198" w:hanging="198"/>
    </w:pPr>
    <w:rPr>
      <w:rFonts w:ascii="Garamond" w:hAnsi="Garamond"/>
    </w:rPr>
  </w:style>
  <w:style w:type="paragraph" w:styleId="IndexHeading">
    <w:name w:val="index heading"/>
    <w:basedOn w:val="Normal"/>
    <w:next w:val="Index1"/>
    <w:semiHidden/>
    <w:rsid w:val="006D1DFA"/>
    <w:pPr>
      <w:spacing w:before="120" w:after="120"/>
    </w:pPr>
    <w:rPr>
      <w:rFonts w:ascii="Arial" w:hAnsi="Arial"/>
      <w:b/>
      <w:color w:val="918585"/>
      <w:sz w:val="24"/>
    </w:rPr>
  </w:style>
  <w:style w:type="paragraph" w:styleId="Header">
    <w:name w:val="header"/>
    <w:basedOn w:val="Normal"/>
    <w:link w:val="HeaderChar"/>
    <w:rsid w:val="006D1DF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D1DFA"/>
    <w:rPr>
      <w:rFonts w:ascii="Times New Roman" w:eastAsia="Times New Roman" w:hAnsi="Times New Roman" w:cs="Times New Roman"/>
      <w:sz w:val="16"/>
      <w:szCs w:val="20"/>
      <w:lang w:val="en-GB" w:eastAsia="en-US"/>
    </w:rPr>
  </w:style>
  <w:style w:type="paragraph" w:customStyle="1" w:styleId="Chapter">
    <w:name w:val="Chapter"/>
    <w:basedOn w:val="Normal"/>
    <w:rsid w:val="006D1DFA"/>
    <w:pPr>
      <w:spacing w:before="240"/>
    </w:pPr>
    <w:rPr>
      <w:rFonts w:ascii="Times New Roman" w:hAnsi="Times New Roman"/>
      <w:smallCaps/>
      <w:spacing w:val="80"/>
      <w:sz w:val="28"/>
    </w:rPr>
  </w:style>
  <w:style w:type="paragraph" w:customStyle="1" w:styleId="InChapter">
    <w:name w:val="InChapter"/>
    <w:basedOn w:val="Heading3"/>
    <w:rsid w:val="006D1DFA"/>
    <w:pPr>
      <w:spacing w:after="240"/>
      <w:outlineLvl w:val="9"/>
    </w:pPr>
    <w:rPr>
      <w:noProof/>
    </w:rPr>
  </w:style>
  <w:style w:type="paragraph" w:styleId="Index2">
    <w:name w:val="index 2"/>
    <w:basedOn w:val="Normal"/>
    <w:next w:val="Normal"/>
    <w:semiHidden/>
    <w:rsid w:val="006D1DFA"/>
    <w:pPr>
      <w:tabs>
        <w:tab w:val="right" w:pos="4176"/>
      </w:tabs>
      <w:ind w:left="568" w:hanging="284"/>
    </w:pPr>
    <w:rPr>
      <w:rFonts w:ascii="Garamond" w:hAnsi="Garamond"/>
    </w:rPr>
  </w:style>
  <w:style w:type="paragraph" w:customStyle="1" w:styleId="Byline">
    <w:name w:val="Byline"/>
    <w:rsid w:val="006D1DF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D1DFA"/>
    <w:pPr>
      <w:tabs>
        <w:tab w:val="clear" w:pos="3600"/>
        <w:tab w:val="clear" w:pos="3958"/>
      </w:tabs>
      <w:jc w:val="right"/>
    </w:pPr>
  </w:style>
  <w:style w:type="paragraph" w:styleId="Caption">
    <w:name w:val="caption"/>
    <w:basedOn w:val="BodyText"/>
    <w:next w:val="Normal"/>
    <w:qFormat/>
    <w:rsid w:val="006D1DFA"/>
    <w:pPr>
      <w:framePr w:w="2268" w:hSpace="181" w:vSpace="181" w:wrap="around" w:vAnchor="text" w:hAnchor="page" w:x="1135" w:y="285" w:anchorLock="1"/>
    </w:pPr>
    <w:rPr>
      <w:i/>
    </w:rPr>
  </w:style>
  <w:style w:type="paragraph" w:customStyle="1" w:styleId="MiniTOCTitle">
    <w:name w:val="MiniTOCTitle"/>
    <w:basedOn w:val="Heading4"/>
    <w:rsid w:val="006D1DFA"/>
    <w:pPr>
      <w:spacing w:before="240"/>
      <w:outlineLvl w:val="9"/>
    </w:pPr>
    <w:rPr>
      <w:noProof/>
      <w:sz w:val="24"/>
    </w:rPr>
  </w:style>
  <w:style w:type="paragraph" w:customStyle="1" w:styleId="MiniTOCItem">
    <w:name w:val="MiniTOCItem"/>
    <w:basedOn w:val="ListBullet"/>
    <w:rsid w:val="006D1DFA"/>
    <w:pPr>
      <w:numPr>
        <w:numId w:val="0"/>
      </w:numPr>
      <w:tabs>
        <w:tab w:val="right" w:leader="dot" w:pos="6521"/>
      </w:tabs>
      <w:spacing w:before="0" w:after="0"/>
    </w:pPr>
  </w:style>
  <w:style w:type="paragraph" w:customStyle="1" w:styleId="TOFTitle">
    <w:name w:val="TOFTitle"/>
    <w:basedOn w:val="TOCTitle"/>
    <w:rsid w:val="006D1DFA"/>
  </w:style>
  <w:style w:type="paragraph" w:styleId="TableofFigures">
    <w:name w:val="table of figures"/>
    <w:basedOn w:val="Normal"/>
    <w:next w:val="Normal"/>
    <w:semiHidden/>
    <w:rsid w:val="006D1DFA"/>
    <w:pPr>
      <w:tabs>
        <w:tab w:val="right" w:leader="dot" w:pos="9072"/>
      </w:tabs>
      <w:ind w:left="970" w:hanging="403"/>
    </w:pPr>
    <w:rPr>
      <w:rFonts w:ascii="Times New Roman" w:hAnsi="Times New Roman"/>
      <w:b/>
    </w:rPr>
  </w:style>
  <w:style w:type="paragraph" w:styleId="ListNumber">
    <w:name w:val="List Number"/>
    <w:basedOn w:val="List"/>
    <w:rsid w:val="006D1DFA"/>
    <w:pPr>
      <w:numPr>
        <w:numId w:val="11"/>
      </w:numPr>
    </w:pPr>
  </w:style>
  <w:style w:type="character" w:customStyle="1" w:styleId="WingdingSymbols">
    <w:name w:val="Wingding Symbols"/>
    <w:rsid w:val="006D1DFA"/>
    <w:rPr>
      <w:rFonts w:ascii="Wingdings" w:hAnsi="Wingdings"/>
    </w:rPr>
  </w:style>
  <w:style w:type="paragraph" w:customStyle="1" w:styleId="TableHeading">
    <w:name w:val="Table Heading"/>
    <w:basedOn w:val="HeadingBase"/>
    <w:rsid w:val="006D1DFA"/>
    <w:pPr>
      <w:keepLines/>
      <w:pBdr>
        <w:bottom w:val="single" w:sz="6" w:space="1" w:color="918585"/>
      </w:pBdr>
      <w:spacing w:before="240"/>
    </w:pPr>
  </w:style>
  <w:style w:type="character" w:customStyle="1" w:styleId="HotSpot">
    <w:name w:val="HotSpot"/>
    <w:rsid w:val="006D1DFA"/>
    <w:rPr>
      <w:color w:val="0033CC"/>
      <w:u w:val="none"/>
    </w:rPr>
  </w:style>
  <w:style w:type="paragraph" w:customStyle="1" w:styleId="BodyTextRight">
    <w:name w:val="Body Text Right"/>
    <w:basedOn w:val="BodyText"/>
    <w:rsid w:val="006D1DFA"/>
    <w:pPr>
      <w:spacing w:before="0" w:after="0"/>
      <w:jc w:val="right"/>
    </w:pPr>
  </w:style>
  <w:style w:type="paragraph" w:styleId="Index3">
    <w:name w:val="index 3"/>
    <w:basedOn w:val="ListNumber2"/>
    <w:next w:val="Normal"/>
    <w:semiHidden/>
    <w:rsid w:val="006D1DFA"/>
    <w:pPr>
      <w:numPr>
        <w:numId w:val="0"/>
      </w:numPr>
      <w:tabs>
        <w:tab w:val="right" w:leader="dot" w:pos="4176"/>
      </w:tabs>
    </w:pPr>
  </w:style>
  <w:style w:type="paragraph" w:styleId="ListNumber2">
    <w:name w:val="List Number 2"/>
    <w:basedOn w:val="List2"/>
    <w:rsid w:val="006D1DFA"/>
    <w:pPr>
      <w:numPr>
        <w:numId w:val="10"/>
      </w:numPr>
      <w:tabs>
        <w:tab w:val="clear" w:pos="1060"/>
      </w:tabs>
    </w:pPr>
  </w:style>
  <w:style w:type="paragraph" w:customStyle="1" w:styleId="MarginNote">
    <w:name w:val="Margin Note"/>
    <w:basedOn w:val="BodyText"/>
    <w:rsid w:val="006D1DF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D1DF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D1DF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D1DFA"/>
    <w:rPr>
      <w:sz w:val="32"/>
    </w:rPr>
  </w:style>
  <w:style w:type="paragraph" w:customStyle="1" w:styleId="HeadingProcedure">
    <w:name w:val="Heading Procedure"/>
    <w:basedOn w:val="HeadingBase"/>
    <w:next w:val="Normal"/>
    <w:rsid w:val="006D1DFA"/>
    <w:pPr>
      <w:tabs>
        <w:tab w:val="left" w:pos="0"/>
      </w:tabs>
      <w:spacing w:before="120" w:after="60"/>
    </w:pPr>
    <w:rPr>
      <w:i/>
      <w:color w:val="918585"/>
      <w:sz w:val="22"/>
    </w:rPr>
  </w:style>
  <w:style w:type="paragraph" w:customStyle="1" w:styleId="TableBodyText">
    <w:name w:val="Table Body Text"/>
    <w:basedOn w:val="BodyText"/>
    <w:rsid w:val="006D1DFA"/>
    <w:pPr>
      <w:spacing w:before="60" w:after="60"/>
    </w:pPr>
  </w:style>
  <w:style w:type="paragraph" w:styleId="ListContinue">
    <w:name w:val="List Continue"/>
    <w:basedOn w:val="List"/>
    <w:rsid w:val="006D1DFA"/>
    <w:pPr>
      <w:ind w:firstLine="0"/>
    </w:pPr>
  </w:style>
  <w:style w:type="paragraph" w:customStyle="1" w:styleId="ListNote">
    <w:name w:val="List Note"/>
    <w:basedOn w:val="List"/>
    <w:rsid w:val="006D1DFA"/>
    <w:pPr>
      <w:pBdr>
        <w:top w:val="single" w:sz="6" w:space="2" w:color="918585"/>
        <w:bottom w:val="single" w:sz="6" w:space="2" w:color="918585"/>
      </w:pBdr>
      <w:tabs>
        <w:tab w:val="left" w:pos="1021"/>
      </w:tabs>
      <w:ind w:firstLine="0"/>
    </w:pPr>
  </w:style>
  <w:style w:type="paragraph" w:customStyle="1" w:styleId="Warning">
    <w:name w:val="Warning"/>
    <w:basedOn w:val="BodyText"/>
    <w:rsid w:val="006D1DFA"/>
    <w:pPr>
      <w:shd w:val="clear" w:color="auto" w:fill="D9D9D9"/>
      <w:tabs>
        <w:tab w:val="left" w:pos="992"/>
      </w:tabs>
      <w:ind w:left="119" w:right="119"/>
    </w:pPr>
    <w:rPr>
      <w:sz w:val="20"/>
    </w:rPr>
  </w:style>
  <w:style w:type="paragraph" w:customStyle="1" w:styleId="MarginIcons">
    <w:name w:val="Margin Icons"/>
    <w:basedOn w:val="BodyText"/>
    <w:rsid w:val="006D1DF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D1DFA"/>
    <w:rPr>
      <w:rFonts w:ascii="Courier New" w:hAnsi="Courier New"/>
    </w:rPr>
  </w:style>
  <w:style w:type="paragraph" w:customStyle="1" w:styleId="NoteBullet">
    <w:name w:val="Note Bullet"/>
    <w:basedOn w:val="Note"/>
    <w:rsid w:val="006D1DFA"/>
    <w:pPr>
      <w:tabs>
        <w:tab w:val="clear" w:pos="680"/>
      </w:tabs>
      <w:spacing w:before="60" w:after="60"/>
    </w:pPr>
  </w:style>
  <w:style w:type="paragraph" w:customStyle="1" w:styleId="SubHeading2">
    <w:name w:val="SubHeading2"/>
    <w:basedOn w:val="HeadingBase"/>
    <w:rsid w:val="006D1DFA"/>
    <w:pPr>
      <w:spacing w:before="240" w:after="60"/>
    </w:pPr>
    <w:rPr>
      <w:sz w:val="20"/>
    </w:rPr>
  </w:style>
  <w:style w:type="paragraph" w:customStyle="1" w:styleId="SubHeading1">
    <w:name w:val="SubHeading1"/>
    <w:basedOn w:val="HeadingBase"/>
    <w:rsid w:val="006D1DFA"/>
    <w:pPr>
      <w:spacing w:before="240" w:after="60"/>
    </w:pPr>
    <w:rPr>
      <w:color w:val="918585"/>
      <w:sz w:val="22"/>
    </w:rPr>
  </w:style>
  <w:style w:type="paragraph" w:customStyle="1" w:styleId="SideHeading">
    <w:name w:val="Side Heading"/>
    <w:basedOn w:val="HeadingBase"/>
    <w:rsid w:val="006D1DF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D1DFA"/>
    <w:pPr>
      <w:numPr>
        <w:numId w:val="12"/>
      </w:numPr>
    </w:pPr>
  </w:style>
  <w:style w:type="paragraph" w:styleId="PlainText">
    <w:name w:val="Plain Text"/>
    <w:basedOn w:val="Normal"/>
    <w:link w:val="PlainTextChar"/>
    <w:rsid w:val="006D1DFA"/>
    <w:rPr>
      <w:sz w:val="20"/>
    </w:rPr>
  </w:style>
  <w:style w:type="character" w:customStyle="1" w:styleId="PlainTextChar">
    <w:name w:val="Plain Text Char"/>
    <w:basedOn w:val="DefaultParagraphFont"/>
    <w:link w:val="PlainText"/>
    <w:rsid w:val="006D1DFA"/>
    <w:rPr>
      <w:rFonts w:ascii="Courier New" w:eastAsia="Times New Roman" w:hAnsi="Courier New" w:cs="Times New Roman"/>
      <w:sz w:val="20"/>
      <w:szCs w:val="20"/>
      <w:lang w:eastAsia="en-US"/>
    </w:rPr>
  </w:style>
  <w:style w:type="character" w:customStyle="1" w:styleId="MenuOption">
    <w:name w:val="Menu Option"/>
    <w:basedOn w:val="DefaultParagraphFont"/>
    <w:rsid w:val="006D1DFA"/>
    <w:rPr>
      <w:b/>
      <w:smallCaps/>
    </w:rPr>
  </w:style>
  <w:style w:type="paragraph" w:customStyle="1" w:styleId="TableListNumber">
    <w:name w:val="Table List Number"/>
    <w:basedOn w:val="ListNumber"/>
    <w:rsid w:val="006D1DFA"/>
    <w:pPr>
      <w:numPr>
        <w:numId w:val="0"/>
      </w:numPr>
    </w:pPr>
  </w:style>
  <w:style w:type="paragraph" w:styleId="TOC4">
    <w:name w:val="toc 4"/>
    <w:basedOn w:val="TOCBase"/>
    <w:next w:val="Normal"/>
    <w:semiHidden/>
    <w:rsid w:val="006D1DFA"/>
    <w:pPr>
      <w:tabs>
        <w:tab w:val="right" w:leader="dot" w:pos="9071"/>
      </w:tabs>
      <w:ind w:left="1701"/>
    </w:pPr>
  </w:style>
  <w:style w:type="paragraph" w:customStyle="1" w:styleId="ListAlpha">
    <w:name w:val="List Alpha"/>
    <w:basedOn w:val="List"/>
    <w:rsid w:val="006D1DFA"/>
    <w:pPr>
      <w:numPr>
        <w:numId w:val="9"/>
      </w:numPr>
    </w:pPr>
  </w:style>
  <w:style w:type="paragraph" w:customStyle="1" w:styleId="ListAlpha2">
    <w:name w:val="List Alpha 2"/>
    <w:basedOn w:val="List2"/>
    <w:rsid w:val="006D1DFA"/>
    <w:pPr>
      <w:numPr>
        <w:numId w:val="8"/>
      </w:numPr>
    </w:pPr>
  </w:style>
  <w:style w:type="paragraph" w:styleId="List2">
    <w:name w:val="List 2"/>
    <w:basedOn w:val="BodyText"/>
    <w:rsid w:val="006D1DFA"/>
    <w:pPr>
      <w:tabs>
        <w:tab w:val="left" w:pos="680"/>
      </w:tabs>
      <w:spacing w:before="60" w:after="60"/>
      <w:ind w:left="680" w:hanging="340"/>
    </w:pPr>
  </w:style>
  <w:style w:type="paragraph" w:styleId="List3">
    <w:name w:val="List 3"/>
    <w:basedOn w:val="BodyText"/>
    <w:rsid w:val="006D1DFA"/>
    <w:pPr>
      <w:tabs>
        <w:tab w:val="left" w:pos="1021"/>
      </w:tabs>
      <w:spacing w:before="60" w:after="60"/>
      <w:ind w:left="1020" w:hanging="340"/>
    </w:pPr>
  </w:style>
  <w:style w:type="paragraph" w:styleId="List4">
    <w:name w:val="List 4"/>
    <w:basedOn w:val="BodyText"/>
    <w:rsid w:val="006D1DFA"/>
    <w:pPr>
      <w:tabs>
        <w:tab w:val="left" w:pos="1361"/>
      </w:tabs>
      <w:spacing w:before="60" w:after="60"/>
      <w:ind w:left="1361" w:hanging="340"/>
    </w:pPr>
  </w:style>
  <w:style w:type="paragraph" w:styleId="List5">
    <w:name w:val="List 5"/>
    <w:basedOn w:val="BodyText"/>
    <w:rsid w:val="006D1DFA"/>
    <w:pPr>
      <w:tabs>
        <w:tab w:val="left" w:pos="1701"/>
      </w:tabs>
      <w:spacing w:before="60" w:after="60"/>
      <w:ind w:left="1701" w:hanging="340"/>
    </w:pPr>
  </w:style>
  <w:style w:type="paragraph" w:styleId="ListBullet3">
    <w:name w:val="List Bullet 3"/>
    <w:basedOn w:val="List3"/>
    <w:rsid w:val="006D1DFA"/>
    <w:pPr>
      <w:numPr>
        <w:numId w:val="15"/>
      </w:numPr>
      <w:tabs>
        <w:tab w:val="clear" w:pos="1021"/>
      </w:tabs>
      <w:ind w:left="1037" w:hanging="357"/>
    </w:pPr>
  </w:style>
  <w:style w:type="paragraph" w:styleId="ListBullet4">
    <w:name w:val="List Bullet 4"/>
    <w:basedOn w:val="List4"/>
    <w:rsid w:val="006D1DFA"/>
    <w:pPr>
      <w:numPr>
        <w:numId w:val="3"/>
      </w:numPr>
    </w:pPr>
  </w:style>
  <w:style w:type="paragraph" w:styleId="ListBullet5">
    <w:name w:val="List Bullet 5"/>
    <w:basedOn w:val="List5"/>
    <w:rsid w:val="006D1DFA"/>
    <w:pPr>
      <w:numPr>
        <w:numId w:val="4"/>
      </w:numPr>
    </w:pPr>
  </w:style>
  <w:style w:type="paragraph" w:styleId="ListContinue2">
    <w:name w:val="List Continue 2"/>
    <w:basedOn w:val="List2"/>
    <w:rsid w:val="006D1DFA"/>
    <w:pPr>
      <w:ind w:firstLine="0"/>
    </w:pPr>
  </w:style>
  <w:style w:type="paragraph" w:styleId="ListContinue3">
    <w:name w:val="List Continue 3"/>
    <w:basedOn w:val="List3"/>
    <w:rsid w:val="006D1DFA"/>
    <w:pPr>
      <w:ind w:left="1021" w:firstLine="0"/>
    </w:pPr>
  </w:style>
  <w:style w:type="paragraph" w:styleId="ListContinue4">
    <w:name w:val="List Continue 4"/>
    <w:basedOn w:val="List4"/>
    <w:rsid w:val="006D1DFA"/>
    <w:pPr>
      <w:ind w:firstLine="0"/>
    </w:pPr>
  </w:style>
  <w:style w:type="paragraph" w:styleId="ListContinue5">
    <w:name w:val="List Continue 5"/>
    <w:basedOn w:val="List5"/>
    <w:rsid w:val="006D1DFA"/>
    <w:pPr>
      <w:ind w:firstLine="0"/>
    </w:pPr>
  </w:style>
  <w:style w:type="paragraph" w:styleId="ListNumber3">
    <w:name w:val="List Number 3"/>
    <w:basedOn w:val="List3"/>
    <w:rsid w:val="006D1DFA"/>
    <w:pPr>
      <w:numPr>
        <w:numId w:val="5"/>
      </w:numPr>
    </w:pPr>
  </w:style>
  <w:style w:type="paragraph" w:styleId="ListNumber4">
    <w:name w:val="List Number 4"/>
    <w:basedOn w:val="List4"/>
    <w:rsid w:val="006D1DFA"/>
    <w:pPr>
      <w:numPr>
        <w:numId w:val="6"/>
      </w:numPr>
    </w:pPr>
  </w:style>
  <w:style w:type="paragraph" w:styleId="ListNumber5">
    <w:name w:val="List Number 5"/>
    <w:basedOn w:val="List5"/>
    <w:rsid w:val="006D1DFA"/>
    <w:pPr>
      <w:numPr>
        <w:numId w:val="7"/>
      </w:numPr>
    </w:pPr>
  </w:style>
  <w:style w:type="paragraph" w:styleId="BlockText">
    <w:name w:val="Block Text"/>
    <w:basedOn w:val="Normal"/>
    <w:rsid w:val="006D1DFA"/>
    <w:pPr>
      <w:spacing w:after="120"/>
      <w:ind w:left="1440" w:right="1440"/>
    </w:pPr>
  </w:style>
  <w:style w:type="character" w:customStyle="1" w:styleId="Subscript">
    <w:name w:val="Subscript"/>
    <w:basedOn w:val="DefaultParagraphFont"/>
    <w:rsid w:val="006D1DFA"/>
    <w:rPr>
      <w:sz w:val="16"/>
      <w:vertAlign w:val="subscript"/>
    </w:rPr>
  </w:style>
  <w:style w:type="character" w:customStyle="1" w:styleId="Superscript">
    <w:name w:val="Superscript"/>
    <w:basedOn w:val="DefaultParagraphFont"/>
    <w:rsid w:val="006D1DFA"/>
    <w:rPr>
      <w:sz w:val="16"/>
      <w:vertAlign w:val="superscript"/>
    </w:rPr>
  </w:style>
  <w:style w:type="character" w:customStyle="1" w:styleId="Symbols">
    <w:name w:val="Symbols"/>
    <w:basedOn w:val="DefaultParagraphFont"/>
    <w:rsid w:val="006D1DFA"/>
    <w:rPr>
      <w:rFonts w:ascii="Symbol" w:hAnsi="Symbol"/>
    </w:rPr>
  </w:style>
  <w:style w:type="character" w:customStyle="1" w:styleId="MenuOptions">
    <w:name w:val="Menu Options"/>
    <w:basedOn w:val="DefaultParagraphFont"/>
    <w:rsid w:val="006D1DFA"/>
    <w:rPr>
      <w:rFonts w:ascii="Arial Narrow" w:hAnsi="Arial Narrow"/>
      <w:smallCaps/>
    </w:rPr>
  </w:style>
  <w:style w:type="character" w:customStyle="1" w:styleId="Buttons">
    <w:name w:val="Buttons"/>
    <w:basedOn w:val="DefaultParagraphFont"/>
    <w:rsid w:val="006D1DFA"/>
    <w:rPr>
      <w:b/>
    </w:rPr>
  </w:style>
  <w:style w:type="character" w:customStyle="1" w:styleId="Underlined">
    <w:name w:val="Underlined"/>
    <w:basedOn w:val="DefaultParagraphFont"/>
    <w:rsid w:val="006D1DFA"/>
    <w:rPr>
      <w:u w:val="single"/>
    </w:rPr>
  </w:style>
  <w:style w:type="paragraph" w:customStyle="1" w:styleId="TableBodyTextRight">
    <w:name w:val="Table Body Text Right"/>
    <w:basedOn w:val="TableBodyText"/>
    <w:rsid w:val="006D1DFA"/>
    <w:pPr>
      <w:widowControl w:val="0"/>
      <w:autoSpaceDE w:val="0"/>
      <w:autoSpaceDN w:val="0"/>
      <w:adjustRightInd w:val="0"/>
      <w:jc w:val="right"/>
    </w:pPr>
    <w:rPr>
      <w:rFonts w:cs="Arial"/>
      <w:szCs w:val="18"/>
    </w:rPr>
  </w:style>
  <w:style w:type="paragraph" w:customStyle="1" w:styleId="CopyrightText">
    <w:name w:val="Copyright Text"/>
    <w:basedOn w:val="BodyText"/>
    <w:rsid w:val="006D1DFA"/>
    <w:rPr>
      <w:sz w:val="18"/>
    </w:rPr>
  </w:style>
  <w:style w:type="paragraph" w:customStyle="1" w:styleId="BodySmallRight">
    <w:name w:val="Body Small Right"/>
    <w:basedOn w:val="BodyTextRight"/>
    <w:rsid w:val="006D1DFA"/>
    <w:rPr>
      <w:sz w:val="18"/>
      <w:szCs w:val="18"/>
    </w:rPr>
  </w:style>
  <w:style w:type="paragraph" w:customStyle="1" w:styleId="MarginEdition">
    <w:name w:val="Margin Edition"/>
    <w:basedOn w:val="MarginNote"/>
    <w:rsid w:val="006D1DFA"/>
    <w:pPr>
      <w:spacing w:before="0" w:after="0"/>
    </w:pPr>
    <w:rPr>
      <w:rFonts w:ascii="Times New Roman" w:hAnsi="Times New Roman"/>
      <w:color w:val="999999"/>
    </w:rPr>
  </w:style>
  <w:style w:type="paragraph" w:customStyle="1" w:styleId="Spacer">
    <w:name w:val="Spacer"/>
    <w:basedOn w:val="Normal"/>
    <w:rsid w:val="006D1DFA"/>
    <w:rPr>
      <w:sz w:val="2"/>
      <w:szCs w:val="2"/>
    </w:rPr>
  </w:style>
  <w:style w:type="character" w:customStyle="1" w:styleId="Small">
    <w:name w:val="Small"/>
    <w:basedOn w:val="DefaultParagraphFont"/>
    <w:rsid w:val="006D1DFA"/>
    <w:rPr>
      <w:sz w:val="16"/>
    </w:rPr>
  </w:style>
  <w:style w:type="paragraph" w:customStyle="1" w:styleId="WideTable">
    <w:name w:val="Wide Table"/>
    <w:basedOn w:val="Normal"/>
    <w:rsid w:val="006D1DFA"/>
    <w:pPr>
      <w:ind w:left="-1418"/>
    </w:pPr>
    <w:rPr>
      <w:sz w:val="2"/>
      <w:szCs w:val="2"/>
    </w:rPr>
  </w:style>
  <w:style w:type="character" w:styleId="PageNumber">
    <w:name w:val="page number"/>
    <w:basedOn w:val="DefaultParagraphFont"/>
    <w:rsid w:val="006D1DFA"/>
  </w:style>
  <w:style w:type="paragraph" w:styleId="Quote">
    <w:name w:val="Quote"/>
    <w:basedOn w:val="Heading1"/>
    <w:link w:val="QuoteChar"/>
    <w:qFormat/>
    <w:rsid w:val="006D1DFA"/>
    <w:rPr>
      <w:b w:val="0"/>
      <w:sz w:val="72"/>
      <w:szCs w:val="72"/>
      <w:lang w:val="en-NZ"/>
    </w:rPr>
  </w:style>
  <w:style w:type="character" w:customStyle="1" w:styleId="QuoteChar">
    <w:name w:val="Quote Char"/>
    <w:basedOn w:val="DefaultParagraphFont"/>
    <w:link w:val="Quote"/>
    <w:rsid w:val="006D1DF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D1DFA"/>
    <w:pPr>
      <w:pageBreakBefore/>
    </w:pPr>
  </w:style>
  <w:style w:type="paragraph" w:customStyle="1" w:styleId="Border">
    <w:name w:val="Border"/>
    <w:basedOn w:val="Normal"/>
    <w:qFormat/>
    <w:rsid w:val="006D1DF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D1DFA"/>
    <w:rPr>
      <w:b/>
      <w:bCs/>
      <w:i/>
      <w:iCs/>
      <w:color w:val="auto"/>
    </w:rPr>
  </w:style>
  <w:style w:type="paragraph" w:styleId="IntenseQuote">
    <w:name w:val="Intense Quote"/>
    <w:basedOn w:val="Normal"/>
    <w:next w:val="Normal"/>
    <w:link w:val="IntenseQuoteChar"/>
    <w:uiPriority w:val="30"/>
    <w:qFormat/>
    <w:rsid w:val="006D1DF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D1DF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D1DFA"/>
    <w:rPr>
      <w:smallCaps/>
      <w:color w:val="auto"/>
      <w:u w:val="single"/>
    </w:rPr>
  </w:style>
  <w:style w:type="character" w:styleId="IntenseReference">
    <w:name w:val="Intense Reference"/>
    <w:basedOn w:val="DefaultParagraphFont"/>
    <w:uiPriority w:val="32"/>
    <w:qFormat/>
    <w:rsid w:val="006D1DFA"/>
    <w:rPr>
      <w:b/>
      <w:bCs/>
      <w:smallCaps/>
      <w:color w:val="auto"/>
      <w:spacing w:val="5"/>
      <w:u w:val="single"/>
    </w:rPr>
  </w:style>
  <w:style w:type="paragraph" w:customStyle="1" w:styleId="2ColumnHeading">
    <w:name w:val="2Column Heading"/>
    <w:basedOn w:val="BodyText"/>
    <w:qFormat/>
    <w:rsid w:val="006D1DFA"/>
    <w:pPr>
      <w:spacing w:after="60"/>
      <w:ind w:left="-2268"/>
    </w:pPr>
    <w:rPr>
      <w:b/>
    </w:rPr>
  </w:style>
  <w:style w:type="paragraph" w:customStyle="1" w:styleId="Heading1TOC">
    <w:name w:val="Heading1 TOC"/>
    <w:basedOn w:val="Normal"/>
    <w:qFormat/>
    <w:rsid w:val="006D1DFA"/>
    <w:pPr>
      <w:spacing w:before="240" w:after="120"/>
    </w:pPr>
    <w:rPr>
      <w:rFonts w:ascii="Times New Roman" w:hAnsi="Times New Roman"/>
      <w:b/>
      <w:sz w:val="32"/>
    </w:rPr>
  </w:style>
  <w:style w:type="paragraph" w:customStyle="1" w:styleId="Heading2TOC">
    <w:name w:val="Heading2 TOC"/>
    <w:basedOn w:val="Normal"/>
    <w:qFormat/>
    <w:rsid w:val="006D1DFA"/>
    <w:pPr>
      <w:spacing w:before="240" w:after="60"/>
    </w:pPr>
    <w:rPr>
      <w:rFonts w:ascii="Times New Roman" w:hAnsi="Times New Roman"/>
      <w:b/>
      <w:sz w:val="28"/>
    </w:rPr>
  </w:style>
  <w:style w:type="character" w:customStyle="1" w:styleId="Underline">
    <w:name w:val="Underline"/>
    <w:basedOn w:val="DefaultParagraphFont"/>
    <w:qFormat/>
    <w:rsid w:val="006D1DFA"/>
    <w:rPr>
      <w:u w:val="single"/>
    </w:rPr>
  </w:style>
  <w:style w:type="paragraph" w:styleId="BalloonText">
    <w:name w:val="Balloon Text"/>
    <w:basedOn w:val="Normal"/>
    <w:link w:val="BalloonTextChar"/>
    <w:rsid w:val="006D1DFA"/>
    <w:rPr>
      <w:rFonts w:ascii="Tahoma" w:hAnsi="Tahoma" w:cs="Tahoma"/>
      <w:sz w:val="16"/>
      <w:szCs w:val="16"/>
    </w:rPr>
  </w:style>
  <w:style w:type="character" w:customStyle="1" w:styleId="BalloonTextChar">
    <w:name w:val="Balloon Text Char"/>
    <w:basedOn w:val="DefaultParagraphFont"/>
    <w:link w:val="BalloonText"/>
    <w:rsid w:val="006D1DF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D1DF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D1DF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D1DFA"/>
    <w:rPr>
      <w:b/>
      <w:color w:val="660033"/>
      <w:spacing w:val="0"/>
    </w:rPr>
  </w:style>
  <w:style w:type="paragraph" w:customStyle="1" w:styleId="Nameditemlist">
    <w:name w:val="Named item list"/>
    <w:basedOn w:val="BodyText"/>
    <w:qFormat/>
    <w:rsid w:val="006D1DFA"/>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11</Pages>
  <Words>1479</Words>
  <Characters>9879</Characters>
  <Application>Microsoft Office Word</Application>
  <DocSecurity>0</DocSecurity>
  <Lines>345</Lines>
  <Paragraphs>216</Paragraphs>
  <ScaleCrop>false</ScaleCrop>
  <Company>Author-it Software Corporation Ltd.</Company>
  <LinksUpToDate>false</LinksUpToDate>
  <CharactersWithSpaces>11277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ICTTEN4242A Conduct site surveys to identify carrier installation requirements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2014-02-07T09:25:57Z</dcterms:created>
  <dcterms:modified xsi:type="dcterms:W3CDTF">2014-02-06T04:26:00Z</dcterms:modified>
</cp:coreProperties>
</file>