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BF2" w:rsidP="00A01BF2">
      <w:pPr>
        <w:pStyle w:val="Title"/>
      </w:pPr>
      <w:bookmarkStart w:id="0" w:name="_GoBack"/>
      <w:bookmarkEnd w:id="0"/>
      <w:r>
        <w:fldChar w:fldCharType="begin"/>
      </w:r>
      <w:r>
        <w:instrText xml:space="preserve"> TITLE   \* MERGEFORMAT </w:instrText>
      </w:r>
      <w:r>
        <w:fldChar w:fldCharType="separate"/>
      </w:r>
      <w:r>
        <w:t>ICTTEN4215A Install and configure internet protocol TV in a service provider network</w:t>
      </w:r>
      <w:r>
        <w:fldChar w:fldCharType="end"/>
      </w:r>
    </w:p>
    <w:p w:rsidR="00A01BF2" w:rsidP="00A01BF2">
      <w:pPr>
        <w:pStyle w:val="Version"/>
        <w:sectPr w:rsidSect="003C2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8A2" w:rsidP="003C28A2">
      <w:pPr>
        <w:pStyle w:val="SuperHeading"/>
      </w:pPr>
      <w:r w:rsidRPr="003C28A2">
        <w:t>ICTTEN4215A Install and configure internet protocol TV in a service provider network</w:t>
      </w:r>
    </w:p>
    <w:p w:rsidR="00000000" w:rsidRPr="003C28A2" w:rsidP="003C28A2">
      <w:pPr>
        <w:pStyle w:val="Heading1"/>
      </w:pPr>
      <w:bookmarkStart w:id="1" w:name="O_271910"/>
      <w:bookmarkEnd w:id="1"/>
      <w:r w:rsidRPr="003C28A2">
        <w:t>Modification History</w:t>
      </w:r>
    </w:p>
    <w:p w:rsidR="00000000" w:rsidRPr="003C28A2" w:rsidP="003C28A2">
      <w:pPr>
        <w:pStyle w:val="BodyText"/>
      </w:pPr>
      <w:r w:rsidRPr="003C28A2">
        <w:t>Not Applicable</w:t>
      </w:r>
    </w:p>
    <w:p w:rsidR="00000000" w:rsidRPr="003C28A2" w:rsidP="003C28A2">
      <w:pPr>
        <w:pStyle w:val="AllowPageBreak"/>
      </w:pPr>
    </w:p>
    <w:p w:rsidR="00000000" w:rsidRPr="003C28A2" w:rsidP="003C28A2">
      <w:pPr>
        <w:pStyle w:val="Heading1"/>
      </w:pPr>
      <w:bookmarkStart w:id="2" w:name="O_209809"/>
      <w:bookmarkEnd w:id="2"/>
      <w:r w:rsidRPr="003C28A2">
        <w:t>Unit Descrip</w:t>
      </w:r>
      <w:r w:rsidRPr="003C28A2">
        <w:t>tor</w:t>
      </w:r>
    </w:p>
    <w:tbl>
      <w:tblPr>
        <w:tblW w:w="0" w:type="auto"/>
        <w:tblLayout w:type="fixed"/>
        <w:tblCellMar>
          <w:left w:w="62" w:type="dxa"/>
          <w:right w:w="62" w:type="dxa"/>
        </w:tblCellMar>
        <w:tblLook w:val="0000"/>
      </w:tblPr>
      <w:tblGrid>
        <w:gridCol w:w="2669"/>
        <w:gridCol w:w="5853"/>
      </w:tblGrid>
      <w:tr w:rsidTr="00A01BF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 xml:space="preserve">This unit describes the performance outcomes, skills and knowledge required to install and configure a multi-protocol label switching (MPLS) network for internet protocol TV (IPTV). This includes secure Core and Access Networks for the </w:t>
            </w:r>
            <w:r w:rsidRPr="003C28A2">
              <w:t>service provider.</w:t>
            </w:r>
          </w:p>
          <w:p w:rsidR="00000000" w:rsidRPr="003C28A2" w:rsidP="003C28A2">
            <w:pPr>
              <w:pStyle w:val="BodyText"/>
            </w:pPr>
          </w:p>
          <w:p w:rsidR="00000000" w:rsidRPr="003C28A2" w:rsidP="003C28A2">
            <w:pPr>
              <w:pStyle w:val="BodyText"/>
            </w:pPr>
            <w:r w:rsidRPr="003C28A2">
              <w:t>No licensing, legislative, regulatory or certification requirements apply to this unit at the time of endorsement but users should confirm requirements with the relevant federal, state or territory authority.</w:t>
            </w:r>
          </w:p>
        </w:tc>
      </w:tr>
    </w:tbl>
    <w:p w:rsidR="00A01BF2" w:rsidP="003C28A2">
      <w:pPr>
        <w:pStyle w:val="BodyText"/>
      </w:pPr>
    </w:p>
    <w:p w:rsidR="00A01BF2" w:rsidP="003C28A2">
      <w:pPr>
        <w:pStyle w:val="BodyText"/>
      </w:pPr>
    </w:p>
    <w:p w:rsidR="00000000" w:rsidRPr="003C28A2" w:rsidP="003C28A2">
      <w:pPr>
        <w:pStyle w:val="Heading1"/>
      </w:pPr>
      <w:bookmarkStart w:id="3" w:name="O_209813"/>
      <w:bookmarkEnd w:id="3"/>
      <w:r w:rsidRPr="003C28A2">
        <w:t>Application of the Unit</w:t>
      </w:r>
    </w:p>
    <w:tbl>
      <w:tblPr>
        <w:tblW w:w="0" w:type="auto"/>
        <w:tblLayout w:type="fixed"/>
        <w:tblCellMar>
          <w:left w:w="62" w:type="dxa"/>
          <w:right w:w="62" w:type="dxa"/>
        </w:tblCellMar>
        <w:tblLook w:val="0000"/>
      </w:tblPr>
      <w:tblGrid>
        <w:gridCol w:w="2751"/>
        <w:gridCol w:w="5771"/>
      </w:tblGrid>
      <w:tr w:rsidTr="00A01BF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This unit applies to technical staff installing an internet protocol (IP) service provider network for the delivery of emerging technologies for IPTV using multicast (broadcast) and unicast video on demand (V</w:t>
            </w:r>
            <w:r w:rsidRPr="003C28A2">
              <w:t>oD) streaming.</w:t>
            </w:r>
          </w:p>
          <w:p w:rsidR="00000000" w:rsidRPr="003C28A2" w:rsidP="003C28A2">
            <w:pPr>
              <w:pStyle w:val="BodyText"/>
            </w:pPr>
          </w:p>
          <w:p w:rsidR="00000000" w:rsidRPr="003C28A2" w:rsidP="003C28A2">
            <w:pPr>
              <w:pStyle w:val="BodyText"/>
            </w:pPr>
            <w:r w:rsidRPr="003C28A2">
              <w:t xml:space="preserve">Relevant job roles include installer of Next Generation Networks (NGN). These IP networks provide fast internet, voice over internet protocol (VoIP), IPTV and internet TV services. </w:t>
            </w:r>
          </w:p>
        </w:tc>
      </w:tr>
    </w:tbl>
    <w:p w:rsidR="00A01BF2" w:rsidP="003C28A2">
      <w:pPr>
        <w:pStyle w:val="BodyText"/>
      </w:pPr>
    </w:p>
    <w:p w:rsidR="00A01BF2" w:rsidP="003C28A2">
      <w:pPr>
        <w:pStyle w:val="BodyText"/>
      </w:pPr>
    </w:p>
    <w:p w:rsidR="00000000" w:rsidRPr="003C28A2" w:rsidP="003C28A2">
      <w:pPr>
        <w:pStyle w:val="Heading1"/>
      </w:pPr>
      <w:bookmarkStart w:id="4" w:name="O_280170"/>
      <w:bookmarkEnd w:id="4"/>
      <w:r w:rsidRPr="003C28A2">
        <w:t>Licensing/Regulatory Information</w:t>
      </w:r>
    </w:p>
    <w:p w:rsidR="00000000" w:rsidRPr="003C28A2" w:rsidP="003C28A2">
      <w:pPr>
        <w:pStyle w:val="BodyText"/>
      </w:pPr>
      <w:r w:rsidRPr="003C28A2">
        <w:t>Refer</w:t>
      </w:r>
      <w:r w:rsidRPr="003C28A2">
        <w:t xml:space="preserve"> to Unit Descriptor</w:t>
      </w:r>
    </w:p>
    <w:p w:rsidR="00000000" w:rsidRPr="003C28A2" w:rsidP="003C28A2">
      <w:pPr>
        <w:pStyle w:val="AllowPageBreak"/>
      </w:pPr>
    </w:p>
    <w:p w:rsidR="00000000" w:rsidRPr="003C28A2" w:rsidP="003C28A2">
      <w:pPr>
        <w:pStyle w:val="Heading1"/>
      </w:pPr>
      <w:bookmarkStart w:id="5" w:name="O_209811"/>
      <w:bookmarkEnd w:id="5"/>
      <w:r w:rsidRPr="003C28A2">
        <w:t>Pre-Requisites</w:t>
      </w:r>
    </w:p>
    <w:tbl>
      <w:tblPr>
        <w:tblW w:w="0" w:type="auto"/>
        <w:tblLayout w:type="fixed"/>
        <w:tblCellMar>
          <w:left w:w="62" w:type="dxa"/>
          <w:right w:w="62" w:type="dxa"/>
        </w:tblCellMar>
        <w:tblLook w:val="0000"/>
      </w:tblPr>
      <w:tblGrid>
        <w:gridCol w:w="2772"/>
        <w:gridCol w:w="1306"/>
        <w:gridCol w:w="4444"/>
      </w:tblGrid>
      <w:tr w:rsidTr="00A01BF2">
        <w:tblPrEx>
          <w:tblW w:w="0" w:type="auto"/>
          <w:tblLayout w:type="fixed"/>
          <w:tblCellMar>
            <w:left w:w="62" w:type="dxa"/>
            <w:right w:w="62" w:type="dxa"/>
          </w:tblCellMar>
          <w:tblLook w:val="0000"/>
        </w:tblPrEx>
        <w:trPr>
          <w:tblHeader/>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Prerequisite units</w:t>
            </w:r>
          </w:p>
        </w:tc>
        <w:tc>
          <w:tcPr>
            <w:tcW w:w="57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tab/>
            </w:r>
          </w:p>
        </w:tc>
      </w:tr>
      <w:tr w:rsidTr="00A01BF2">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p>
        </w:tc>
      </w:tr>
      <w:tr w:rsidTr="00A01BF2">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p>
        </w:tc>
      </w:tr>
    </w:tbl>
    <w:p w:rsidR="00A01BF2" w:rsidP="003C28A2">
      <w:pPr>
        <w:pStyle w:val="BodyText"/>
      </w:pPr>
    </w:p>
    <w:p w:rsidR="00A01BF2" w:rsidP="003C28A2">
      <w:pPr>
        <w:pStyle w:val="BodyText"/>
      </w:pPr>
    </w:p>
    <w:p w:rsidR="00000000" w:rsidRPr="003C28A2" w:rsidP="003C28A2">
      <w:pPr>
        <w:pStyle w:val="Heading1"/>
      </w:pPr>
      <w:bookmarkStart w:id="6" w:name="O_209810"/>
      <w:bookmarkEnd w:id="6"/>
      <w:r w:rsidRPr="003C28A2">
        <w:t>Employability Skills Information</w:t>
      </w:r>
    </w:p>
    <w:tbl>
      <w:tblPr>
        <w:tblW w:w="0" w:type="auto"/>
        <w:tblLayout w:type="fixed"/>
        <w:tblCellMar>
          <w:left w:w="62" w:type="dxa"/>
          <w:right w:w="62" w:type="dxa"/>
        </w:tblCellMar>
        <w:tblLook w:val="0000"/>
      </w:tblPr>
      <w:tblGrid>
        <w:gridCol w:w="2802"/>
        <w:gridCol w:w="5720"/>
      </w:tblGrid>
      <w:tr w:rsidTr="00A01B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This unit contains employability skills.</w:t>
            </w:r>
          </w:p>
        </w:tc>
      </w:tr>
    </w:tbl>
    <w:p w:rsidR="00A01BF2" w:rsidP="003C28A2">
      <w:pPr>
        <w:pStyle w:val="BodyText"/>
      </w:pPr>
    </w:p>
    <w:p w:rsidR="00A01BF2" w:rsidP="003C28A2">
      <w:pPr>
        <w:pStyle w:val="BodyText"/>
      </w:pPr>
    </w:p>
    <w:p w:rsidR="00000000" w:rsidRPr="003C28A2" w:rsidP="003C28A2">
      <w:pPr>
        <w:pStyle w:val="Heading1"/>
      </w:pPr>
      <w:bookmarkStart w:id="7" w:name="O_289956"/>
      <w:bookmarkEnd w:id="7"/>
      <w:r w:rsidRPr="003C28A2">
        <w:t>Elements and Performance Criteria Pre-Content</w:t>
      </w:r>
    </w:p>
    <w:tbl>
      <w:tblPr>
        <w:tblW w:w="9606" w:type="dxa"/>
        <w:tblLayout w:type="fixed"/>
        <w:tblCellMar>
          <w:left w:w="62" w:type="dxa"/>
          <w:right w:w="62" w:type="dxa"/>
        </w:tblCellMar>
        <w:tblLook w:val="0000"/>
      </w:tblPr>
      <w:tblGrid>
        <w:gridCol w:w="2802"/>
        <w:gridCol w:w="6804"/>
      </w:tblGrid>
      <w:tr w:rsidTr="00A01BF2">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t>Elements describe the essential outcomes of a unit of competency.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Performance criteria describe the performance needed to demonstrate achievement of the element. Where bold italicised text is used, further info</w:t>
            </w:r>
            <w:r w:rsidRPr="003C28A2">
              <w:t>rmation is detailed in the required skills and knowledge section and the range statement. Assessment of performance is to be consistent with the evidence guide.</w:t>
            </w:r>
          </w:p>
        </w:tc>
      </w:tr>
    </w:tbl>
    <w:p w:rsidR="00000000" w:rsidRPr="003C28A2" w:rsidP="003C28A2">
      <w:pPr>
        <w:pStyle w:val="BodyText"/>
      </w:pPr>
    </w:p>
    <w:p w:rsidR="00000000" w:rsidRPr="003C28A2" w:rsidP="003C28A2">
      <w:pPr>
        <w:pStyle w:val="AllowPageBreak"/>
      </w:pPr>
    </w:p>
    <w:p w:rsidR="00000000" w:rsidRPr="003C28A2" w:rsidP="003C28A2">
      <w:pPr>
        <w:pStyle w:val="Heading1"/>
      </w:pPr>
      <w:bookmarkStart w:id="8" w:name="O_236623"/>
      <w:bookmarkEnd w:id="8"/>
      <w:r w:rsidRPr="003C28A2">
        <w:t>Elements and Performance Criteria</w:t>
      </w:r>
    </w:p>
    <w:tbl>
      <w:tblPr>
        <w:tblW w:w="9606" w:type="dxa"/>
        <w:tblLayout w:type="fixed"/>
        <w:tblCellMar>
          <w:left w:w="62" w:type="dxa"/>
          <w:right w:w="62" w:type="dxa"/>
        </w:tblCellMar>
        <w:tblLook w:val="0000"/>
      </w:tblPr>
      <w:tblGrid>
        <w:gridCol w:w="2802"/>
        <w:gridCol w:w="6804"/>
      </w:tblGrid>
      <w:tr w:rsidTr="00A01BF2">
        <w:tblPrEx>
          <w:tblW w:w="9606"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rPr>
                <w:rStyle w:val="SpecialBold"/>
              </w:rPr>
              <w:t>ELEMENT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PERFORMANCE CRITERIA</w:t>
            </w:r>
          </w:p>
        </w:tc>
      </w:tr>
      <w:tr w:rsidTr="00A01BF2">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List"/>
              <w:rPr>
                <w:lang w:val="en-NZ"/>
              </w:rPr>
            </w:pPr>
            <w:r w:rsidRPr="003C28A2">
              <w:t>1.</w:t>
            </w:r>
            <w:r w:rsidRPr="003C28A2">
              <w:tab/>
            </w:r>
            <w:r w:rsidRPr="003C28A2">
              <w:t xml:space="preserve">Prepare to implement an IPTV service provider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2"/>
            </w:pPr>
            <w:r w:rsidRPr="003C28A2">
              <w:t>1.1.</w:t>
            </w:r>
            <w:r w:rsidRPr="003C28A2">
              <w:tab/>
              <w:t>Obtain and clarify occupational health and safety (</w:t>
            </w:r>
            <w:r w:rsidRPr="003C28A2">
              <w:rPr>
                <w:rStyle w:val="BoldandItalics"/>
              </w:rPr>
              <w:t>OHS</w:t>
            </w:r>
            <w:r w:rsidRPr="003C28A2">
              <w:t xml:space="preserve">) </w:t>
            </w:r>
            <w:r w:rsidRPr="003C28A2">
              <w:rPr>
                <w:rStyle w:val="BoldandItalics"/>
              </w:rPr>
              <w:t>requirements</w:t>
            </w:r>
            <w:r w:rsidRPr="003C28A2">
              <w:t xml:space="preserve"> and risk control measures and procedures for a given work area with </w:t>
            </w:r>
            <w:r w:rsidRPr="003C28A2">
              <w:rPr>
                <w:rStyle w:val="BoldandItalics"/>
              </w:rPr>
              <w:t>appropriate personnel</w:t>
            </w:r>
          </w:p>
          <w:p w:rsidR="00000000" w:rsidRPr="003C28A2" w:rsidP="003C28A2">
            <w:pPr>
              <w:pStyle w:val="List2"/>
            </w:pPr>
            <w:r w:rsidRPr="003C28A2">
              <w:t>1.2.</w:t>
            </w:r>
            <w:r w:rsidRPr="003C28A2">
              <w:tab/>
              <w:t xml:space="preserve">Use the </w:t>
            </w:r>
            <w:r w:rsidRPr="003C28A2">
              <w:rPr>
                <w:rStyle w:val="BoldandItalics"/>
              </w:rPr>
              <w:t>topology of an IPTV network</w:t>
            </w:r>
            <w:r w:rsidRPr="003C28A2">
              <w:t xml:space="preserve"> and </w:t>
            </w:r>
            <w:r w:rsidRPr="003C28A2">
              <w:t xml:space="preserve">design plans to locate the </w:t>
            </w:r>
            <w:r w:rsidRPr="003C28A2">
              <w:rPr>
                <w:rStyle w:val="BoldandItalics"/>
              </w:rPr>
              <w:t>network elements</w:t>
            </w:r>
            <w:r w:rsidRPr="003C28A2">
              <w:t xml:space="preserve"> for video over broadband</w:t>
            </w:r>
          </w:p>
          <w:p w:rsidR="00000000" w:rsidRPr="003C28A2" w:rsidP="003C28A2">
            <w:pPr>
              <w:pStyle w:val="List2"/>
            </w:pPr>
            <w:r w:rsidRPr="003C28A2">
              <w:t>1.3.</w:t>
            </w:r>
            <w:r w:rsidRPr="003C28A2">
              <w:tab/>
              <w:t>Select network elements to provide optimum video delivery service</w:t>
            </w:r>
          </w:p>
          <w:p w:rsidR="00000000" w:rsidP="003C28A2">
            <w:pPr>
              <w:pStyle w:val="List2"/>
              <w:rPr>
                <w:lang w:val="en-NZ"/>
              </w:rPr>
            </w:pPr>
            <w:r w:rsidRPr="003C28A2">
              <w:t>1.4.</w:t>
            </w:r>
            <w:r w:rsidRPr="003C28A2">
              <w:tab/>
              <w:t>Obtain configuration instructions for the network elements</w:t>
            </w:r>
          </w:p>
        </w:tc>
      </w:tr>
      <w:tr w:rsidTr="00A01BF2">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List"/>
              <w:rPr>
                <w:lang w:val="en-NZ"/>
              </w:rPr>
            </w:pPr>
            <w:r w:rsidRPr="003C28A2">
              <w:t>2.</w:t>
            </w:r>
            <w:r w:rsidRPr="003C28A2">
              <w:tab/>
              <w:t>Implement an IPTV network to meet business requi</w:t>
            </w:r>
            <w:r w:rsidRPr="003C28A2">
              <w:t>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2"/>
            </w:pPr>
            <w:r w:rsidRPr="003C28A2">
              <w:t>2.1.</w:t>
            </w:r>
            <w:r w:rsidRPr="003C28A2">
              <w:tab/>
              <w:t>Configure an IP-MPLS core network overlaying the IP network to deliver IPTV</w:t>
            </w:r>
          </w:p>
          <w:p w:rsidR="00000000" w:rsidRPr="003C28A2" w:rsidP="003C28A2">
            <w:pPr>
              <w:pStyle w:val="List2"/>
            </w:pPr>
            <w:r w:rsidRPr="003C28A2">
              <w:t>2.2.</w:t>
            </w:r>
            <w:r w:rsidRPr="003C28A2">
              <w:tab/>
              <w:t>Implement VoD application to meet bandwidth requirements and quality of service (QoS) requirements for commercial viability of IPTV network</w:t>
            </w:r>
          </w:p>
          <w:p w:rsidR="00000000" w:rsidRPr="003C28A2" w:rsidP="003C28A2">
            <w:pPr>
              <w:pStyle w:val="List2"/>
            </w:pPr>
            <w:r w:rsidRPr="003C28A2">
              <w:t>2.3.</w:t>
            </w:r>
            <w:r w:rsidRPr="003C28A2">
              <w:tab/>
              <w:t>Install and confi</w:t>
            </w:r>
            <w:r w:rsidRPr="003C28A2">
              <w:t>gure video service routers for content delivery system (CDS) applications to support TV streaming and internet streaming with session shifting for follow-me or mobile video facility</w:t>
            </w:r>
          </w:p>
          <w:p w:rsidR="00000000" w:rsidRPr="003C28A2" w:rsidP="003C28A2">
            <w:pPr>
              <w:pStyle w:val="List2"/>
            </w:pPr>
            <w:r w:rsidRPr="003C28A2">
              <w:t>2.4.</w:t>
            </w:r>
            <w:r w:rsidRPr="003C28A2">
              <w:tab/>
              <w:t xml:space="preserve">Produce the addressing scheme and </w:t>
            </w:r>
            <w:r w:rsidRPr="003C28A2">
              <w:rPr>
                <w:rStyle w:val="BoldandItalics"/>
              </w:rPr>
              <w:t>protocols</w:t>
            </w:r>
            <w:r w:rsidRPr="003C28A2">
              <w:t xml:space="preserve"> required for IP multicasting used in the IPTV network</w:t>
            </w:r>
          </w:p>
          <w:p w:rsidR="00000000" w:rsidRPr="003C28A2" w:rsidP="003C28A2">
            <w:pPr>
              <w:pStyle w:val="List2"/>
            </w:pPr>
            <w:r w:rsidRPr="003C28A2">
              <w:t>2.5.</w:t>
            </w:r>
            <w:r w:rsidRPr="003C28A2">
              <w:tab/>
              <w:t xml:space="preserve">Configure </w:t>
            </w:r>
            <w:r w:rsidRPr="003C28A2">
              <w:rPr>
                <w:rStyle w:val="BoldandItalics"/>
              </w:rPr>
              <w:t>security measures</w:t>
            </w:r>
            <w:r w:rsidRPr="003C28A2">
              <w:t xml:space="preserve"> in an IPTV network to protect against </w:t>
            </w:r>
            <w:r w:rsidRPr="003C28A2">
              <w:rPr>
                <w:rStyle w:val="BoldandItalics"/>
              </w:rPr>
              <w:t>security threats</w:t>
            </w:r>
          </w:p>
          <w:p w:rsidR="00000000" w:rsidRPr="003C28A2" w:rsidP="003C28A2">
            <w:pPr>
              <w:pStyle w:val="List2"/>
            </w:pPr>
            <w:r w:rsidRPr="003C28A2">
              <w:t>2.6.</w:t>
            </w:r>
            <w:r w:rsidRPr="003C28A2">
              <w:tab/>
              <w:t xml:space="preserve">Configure the label switch routers (LSR) to provide secure methods of transporting IP packets using </w:t>
            </w:r>
            <w:r w:rsidRPr="003C28A2">
              <w:rPr>
                <w:rStyle w:val="BoldandItalics"/>
              </w:rPr>
              <w:t xml:space="preserve">layer 2 </w:t>
            </w:r>
            <w:r w:rsidRPr="003C28A2">
              <w:rPr>
                <w:rStyle w:val="BoldandItalics"/>
              </w:rPr>
              <w:t>protocols</w:t>
            </w:r>
            <w:r w:rsidRPr="003C28A2">
              <w:t xml:space="preserve"> in an </w:t>
            </w:r>
            <w:r w:rsidRPr="003C28A2">
              <w:rPr>
                <w:rStyle w:val="BoldandItalics"/>
              </w:rPr>
              <w:t>MPLS network</w:t>
            </w:r>
          </w:p>
          <w:p w:rsidR="00000000" w:rsidRPr="003C28A2" w:rsidP="003C28A2">
            <w:pPr>
              <w:pStyle w:val="List2"/>
            </w:pPr>
            <w:r w:rsidRPr="003C28A2">
              <w:t>2.7.</w:t>
            </w:r>
            <w:r w:rsidRPr="003C28A2">
              <w:tab/>
              <w:t>Configure the MPLS-TE (traffic engineering) to provide routing on diverse paths to avoid congestion and guarantee bandwidth services</w:t>
            </w:r>
          </w:p>
          <w:p w:rsidR="00000000" w:rsidP="003C28A2">
            <w:pPr>
              <w:pStyle w:val="List2"/>
              <w:rPr>
                <w:lang w:val="en-NZ"/>
              </w:rPr>
            </w:pPr>
            <w:r w:rsidRPr="003C28A2">
              <w:t>2.8.</w:t>
            </w:r>
            <w:r w:rsidRPr="003C28A2">
              <w:tab/>
              <w:t>Troubleshoot network according to manufacturer's specifications and enterprise proce</w:t>
            </w:r>
            <w:r w:rsidRPr="003C28A2">
              <w:t>dures</w:t>
            </w:r>
          </w:p>
        </w:tc>
      </w:tr>
      <w:tr w:rsidTr="00A01BF2">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List"/>
              <w:rPr>
                <w:lang w:val="en-NZ"/>
              </w:rPr>
            </w:pPr>
            <w:r w:rsidRPr="003C28A2">
              <w:t>3.</w:t>
            </w:r>
            <w:r w:rsidRPr="003C28A2">
              <w:tab/>
              <w:t>Build and configure CDN architecture network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2"/>
            </w:pPr>
            <w:r w:rsidRPr="003C28A2">
              <w:t>3.1.</w:t>
            </w:r>
            <w:r w:rsidRPr="003C28A2">
              <w:tab/>
              <w:t xml:space="preserve">Build the content delivery network (CDN) architecture overlaying the routing and switching architecture of an IP network to deliver internet TV to </w:t>
            </w:r>
            <w:r w:rsidRPr="003C28A2">
              <w:rPr>
                <w:rStyle w:val="BoldandItalics"/>
              </w:rPr>
              <w:t>Internet devices</w:t>
            </w:r>
          </w:p>
          <w:p w:rsidR="00000000" w:rsidRPr="003C28A2" w:rsidP="003C28A2">
            <w:pPr>
              <w:pStyle w:val="List2"/>
            </w:pPr>
            <w:r w:rsidRPr="003C28A2">
              <w:t>3.2.</w:t>
            </w:r>
            <w:r w:rsidRPr="003C28A2">
              <w:tab/>
              <w:t>Use routing and switching i</w:t>
            </w:r>
            <w:r w:rsidRPr="003C28A2">
              <w:t xml:space="preserve">nfrastructure to enable CDN share characteristics of each element to produce </w:t>
            </w:r>
            <w:r w:rsidRPr="003C28A2">
              <w:rPr>
                <w:rStyle w:val="BoldandItalics"/>
              </w:rPr>
              <w:t>network functionality</w:t>
            </w:r>
          </w:p>
          <w:p w:rsidR="00000000" w:rsidP="003C28A2">
            <w:pPr>
              <w:pStyle w:val="List2"/>
              <w:rPr>
                <w:lang w:val="en-NZ"/>
              </w:rPr>
            </w:pPr>
            <w:r w:rsidRPr="003C28A2">
              <w:t>3.3.</w:t>
            </w:r>
            <w:r w:rsidRPr="003C28A2">
              <w:tab/>
              <w:t>Install and configure web cache communication protocol (WCCP) on the router to redirect traffic flows in real-time to reduce transmission costs and down</w:t>
            </w:r>
            <w:r w:rsidRPr="003C28A2">
              <w:t>load times</w:t>
            </w:r>
          </w:p>
        </w:tc>
      </w:tr>
      <w:tr w:rsidTr="00A01BF2">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List"/>
              <w:rPr>
                <w:lang w:val="en-NZ"/>
              </w:rPr>
            </w:pPr>
            <w:r w:rsidRPr="003C28A2">
              <w:t>4.</w:t>
            </w:r>
            <w:r w:rsidRPr="003C28A2">
              <w:tab/>
              <w:t>Complete and document network installation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2"/>
            </w:pPr>
            <w:r w:rsidRPr="003C28A2">
              <w:t>4.1.</w:t>
            </w:r>
            <w:r w:rsidRPr="003C28A2">
              <w:tab/>
              <w:t>Restore worksite to safe condition according to established safety procedures</w:t>
            </w:r>
          </w:p>
          <w:p w:rsidR="00000000" w:rsidRPr="003C28A2" w:rsidP="003C28A2">
            <w:pPr>
              <w:pStyle w:val="List2"/>
            </w:pPr>
            <w:r w:rsidRPr="003C28A2">
              <w:t>4.2.</w:t>
            </w:r>
            <w:r w:rsidRPr="003C28A2">
              <w:tab/>
              <w:t xml:space="preserve">Record and store </w:t>
            </w:r>
            <w:r w:rsidRPr="003C28A2">
              <w:rPr>
                <w:rStyle w:val="BoldandItalics"/>
              </w:rPr>
              <w:t>essential installation information</w:t>
            </w:r>
            <w:r w:rsidRPr="003C28A2">
              <w:t xml:space="preserve"> according to enterprise procedures</w:t>
            </w:r>
          </w:p>
          <w:p w:rsidR="00000000" w:rsidRPr="003C28A2" w:rsidP="003C28A2">
            <w:pPr>
              <w:pStyle w:val="List2"/>
            </w:pPr>
            <w:r w:rsidRPr="003C28A2">
              <w:t>4.3.</w:t>
            </w:r>
            <w:r w:rsidRPr="003C28A2">
              <w:tab/>
              <w:t>Notify appropriate</w:t>
            </w:r>
            <w:r w:rsidRPr="003C28A2">
              <w:t xml:space="preserve"> personnel about the completion of the task according to enterprise procedures</w:t>
            </w:r>
          </w:p>
        </w:tc>
      </w:tr>
    </w:tbl>
    <w:p w:rsidR="00A01BF2" w:rsidP="003C28A2">
      <w:pPr>
        <w:pStyle w:val="BodyText"/>
      </w:pPr>
    </w:p>
    <w:p w:rsidR="00A01BF2" w:rsidP="003C28A2">
      <w:pPr>
        <w:pStyle w:val="BodyText"/>
      </w:pPr>
    </w:p>
    <w:p w:rsidR="00000000" w:rsidRPr="003C28A2" w:rsidP="003C28A2">
      <w:pPr>
        <w:pStyle w:val="Heading1"/>
      </w:pPr>
      <w:bookmarkStart w:id="9" w:name="O_260573"/>
      <w:bookmarkEnd w:id="9"/>
      <w:r w:rsidRPr="003C28A2">
        <w:t>Required Skills and Knowledge</w:t>
      </w:r>
    </w:p>
    <w:tbl>
      <w:tblPr>
        <w:tblW w:w="0" w:type="auto"/>
        <w:tblLayout w:type="fixed"/>
        <w:tblCellMar>
          <w:left w:w="62" w:type="dxa"/>
          <w:right w:w="62" w:type="dxa"/>
        </w:tblCellMar>
        <w:tblLook w:val="0000"/>
      </w:tblPr>
      <w:tblGrid>
        <w:gridCol w:w="8522"/>
      </w:tblGrid>
      <w:tr w:rsidTr="00A01B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REQUIRED SKILLS AND KNOWLEDGE</w:t>
            </w:r>
          </w:p>
        </w:tc>
      </w:tr>
      <w:tr w:rsidTr="00A01B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t>This section describes the skills and knowledge required for this unit.</w:t>
            </w:r>
          </w:p>
        </w:tc>
      </w:tr>
      <w:tr w:rsidTr="00A01B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Required skills</w:t>
            </w:r>
          </w:p>
        </w:tc>
      </w:tr>
      <w:tr w:rsidTr="00A01B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communication skills to liaise with customer to determine needs</w:t>
            </w:r>
          </w:p>
          <w:p w:rsidR="00000000" w:rsidRPr="003C28A2" w:rsidP="003C28A2">
            <w:pPr>
              <w:pStyle w:val="ListBullet"/>
            </w:pPr>
            <w:r w:rsidRPr="003C28A2">
              <w:t xml:space="preserve">literacy skills to interpret technical specifications and related documentation </w:t>
            </w:r>
          </w:p>
          <w:p w:rsidR="00000000" w:rsidRPr="003C28A2" w:rsidP="003C28A2">
            <w:pPr>
              <w:pStyle w:val="ListBullet"/>
            </w:pPr>
            <w:r w:rsidRPr="003C28A2">
              <w:t>project planning skills to set benchmarks and identify scope</w:t>
            </w:r>
          </w:p>
          <w:p w:rsidR="00000000" w:rsidRPr="003C28A2" w:rsidP="003C28A2">
            <w:pPr>
              <w:pStyle w:val="ListBullet"/>
            </w:pPr>
            <w:r w:rsidRPr="003C28A2">
              <w:t>problem solving skills to resolve</w:t>
            </w:r>
            <w:r w:rsidRPr="003C28A2">
              <w:t xml:space="preserve"> a predictable range of network problems</w:t>
            </w:r>
          </w:p>
          <w:p w:rsidR="00000000" w:rsidRPr="003C28A2" w:rsidP="003C28A2">
            <w:pPr>
              <w:pStyle w:val="ListBullet"/>
            </w:pPr>
            <w:r w:rsidRPr="003C28A2">
              <w:t>numeracy skills to produce IP addressing schemes</w:t>
            </w:r>
          </w:p>
          <w:p w:rsidR="00000000" w:rsidRPr="003C28A2" w:rsidP="003C28A2">
            <w:pPr>
              <w:pStyle w:val="ListBullet"/>
            </w:pPr>
            <w:r w:rsidRPr="003C28A2">
              <w:t>technical skills to:</w:t>
            </w:r>
          </w:p>
          <w:p w:rsidR="00000000" w:rsidRPr="003C28A2" w:rsidP="003C28A2">
            <w:pPr>
              <w:pStyle w:val="ListBullet2"/>
            </w:pPr>
            <w:r w:rsidRPr="003C28A2">
              <w:t>deploy point-to-multipoint video broadcast over IP-MPLS network</w:t>
            </w:r>
          </w:p>
          <w:p w:rsidR="00000000" w:rsidRPr="003C28A2" w:rsidP="003C28A2">
            <w:pPr>
              <w:pStyle w:val="ListBullet2"/>
            </w:pPr>
            <w:r w:rsidRPr="003C28A2">
              <w:t>dimension network parameters</w:t>
            </w:r>
          </w:p>
          <w:p w:rsidR="00000000" w:rsidRPr="003C28A2" w:rsidP="003C28A2">
            <w:pPr>
              <w:pStyle w:val="ListBullet2"/>
            </w:pPr>
            <w:r w:rsidRPr="003C28A2">
              <w:t>evaluate competing video over broadband networks</w:t>
            </w:r>
          </w:p>
          <w:p w:rsidR="00000000" w:rsidRPr="003C28A2" w:rsidP="003C28A2">
            <w:pPr>
              <w:pStyle w:val="ListBullet2"/>
            </w:pPr>
            <w:r w:rsidRPr="003C28A2">
              <w:t>implement and verify implement and verify:</w:t>
            </w:r>
          </w:p>
          <w:p w:rsidR="00000000" w:rsidRPr="003C28A2" w:rsidP="003C28A2">
            <w:pPr>
              <w:pStyle w:val="ListBullet3"/>
            </w:pPr>
            <w:r w:rsidRPr="003C28A2">
              <w:t xml:space="preserve">border gateway protocol (BGP) </w:t>
            </w:r>
          </w:p>
          <w:p w:rsidR="00000000" w:rsidRPr="003C28A2" w:rsidP="003C28A2">
            <w:pPr>
              <w:pStyle w:val="ListBullet3"/>
            </w:pPr>
            <w:r w:rsidRPr="003C28A2">
              <w:t>enhanced interior gateway routing protocol (EIGRP)</w:t>
            </w:r>
          </w:p>
          <w:p w:rsidR="00000000" w:rsidRPr="003C28A2" w:rsidP="003C28A2">
            <w:pPr>
              <w:pStyle w:val="ListBullet3"/>
            </w:pPr>
            <w:r w:rsidRPr="003C28A2">
              <w:t xml:space="preserve">flash </w:t>
            </w:r>
          </w:p>
          <w:p w:rsidR="00000000" w:rsidRPr="003C28A2" w:rsidP="003C28A2">
            <w:pPr>
              <w:pStyle w:val="ListBullet3"/>
            </w:pPr>
            <w:r w:rsidRPr="003C28A2">
              <w:t xml:space="preserve">hypertext transfer protocol (HTTP) </w:t>
            </w:r>
          </w:p>
          <w:p w:rsidR="00000000" w:rsidRPr="003C28A2" w:rsidP="003C28A2">
            <w:pPr>
              <w:pStyle w:val="ListBullet3"/>
            </w:pPr>
            <w:r w:rsidRPr="003C28A2">
              <w:t xml:space="preserve">internet group management protocol (IGMP) </w:t>
            </w:r>
          </w:p>
          <w:p w:rsidR="00000000" w:rsidRPr="003C28A2" w:rsidP="003C28A2">
            <w:pPr>
              <w:pStyle w:val="ListBullet3"/>
            </w:pPr>
            <w:r w:rsidRPr="003C28A2">
              <w:t xml:space="preserve">open shortest path first (OSPF) </w:t>
            </w:r>
          </w:p>
          <w:p w:rsidR="00000000" w:rsidRPr="003C28A2" w:rsidP="003C28A2">
            <w:pPr>
              <w:pStyle w:val="ListBullet3"/>
            </w:pPr>
            <w:r w:rsidRPr="003C28A2">
              <w:t>real time s</w:t>
            </w:r>
            <w:r w:rsidRPr="003C28A2">
              <w:t>treaming protocol (RTSP)</w:t>
            </w:r>
          </w:p>
          <w:p w:rsidR="00000000" w:rsidRPr="003C28A2" w:rsidP="003C28A2">
            <w:pPr>
              <w:pStyle w:val="ListBullet3"/>
            </w:pPr>
            <w:r w:rsidRPr="003C28A2">
              <w:t>routing information protocol (RIP)</w:t>
            </w:r>
          </w:p>
          <w:p w:rsidR="00000000" w:rsidRPr="003C28A2" w:rsidP="003C28A2">
            <w:pPr>
              <w:pStyle w:val="ListBullet3"/>
            </w:pPr>
            <w:r w:rsidRPr="003C28A2">
              <w:t>web cache communication protocol (WCCP) operations</w:t>
            </w:r>
          </w:p>
          <w:p w:rsidR="00000000" w:rsidRPr="003C28A2" w:rsidP="003C28A2">
            <w:pPr>
              <w:pStyle w:val="ListBullet2"/>
            </w:pPr>
            <w:r w:rsidRPr="003C28A2">
              <w:t>implement MPLS architecture across a WAN environment</w:t>
            </w:r>
          </w:p>
          <w:p w:rsidR="00000000" w:rsidP="003C28A2">
            <w:pPr>
              <w:pStyle w:val="ListBullet2"/>
              <w:rPr>
                <w:lang w:val="en-NZ"/>
              </w:rPr>
            </w:pPr>
            <w:r w:rsidRPr="003C28A2">
              <w:t>implement secure video streaming (unicast) over MPLS network</w:t>
            </w:r>
          </w:p>
        </w:tc>
      </w:tr>
      <w:tr w:rsidTr="00A01B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Required knowledge</w:t>
            </w:r>
          </w:p>
        </w:tc>
      </w:tr>
      <w:tr w:rsidTr="00A01B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competing video delivery over broadband networks</w:t>
            </w:r>
          </w:p>
          <w:p w:rsidR="00000000" w:rsidRPr="003C28A2" w:rsidP="003C28A2">
            <w:pPr>
              <w:pStyle w:val="ListBullet"/>
            </w:pPr>
            <w:r w:rsidRPr="003C28A2">
              <w:t>current industry-accepted hardware and software products</w:t>
            </w:r>
          </w:p>
          <w:p w:rsidR="00000000" w:rsidRPr="003C28A2" w:rsidP="003C28A2">
            <w:pPr>
              <w:pStyle w:val="ListBullet"/>
            </w:pPr>
            <w:r w:rsidRPr="003C28A2">
              <w:t>networking technologies incorporating detailed knowledge of network operating systems and IP networks</w:t>
            </w:r>
          </w:p>
          <w:p w:rsidR="00000000" w:rsidRPr="003C28A2" w:rsidP="003C28A2">
            <w:pPr>
              <w:pStyle w:val="ListBullet"/>
            </w:pPr>
            <w:r w:rsidRPr="003C28A2">
              <w:t>transmission technologies and protocols</w:t>
            </w:r>
          </w:p>
        </w:tc>
      </w:tr>
    </w:tbl>
    <w:p w:rsidR="00A01BF2" w:rsidP="003C28A2">
      <w:pPr>
        <w:pStyle w:val="BodyText"/>
      </w:pPr>
    </w:p>
    <w:p w:rsidR="00A01BF2" w:rsidP="003C28A2">
      <w:pPr>
        <w:pStyle w:val="BodyText"/>
      </w:pPr>
    </w:p>
    <w:p w:rsidR="00000000" w:rsidRPr="003C28A2" w:rsidP="003C28A2">
      <w:pPr>
        <w:pStyle w:val="AllowPageBreak"/>
      </w:pPr>
    </w:p>
    <w:p w:rsidR="00000000" w:rsidRPr="003C28A2" w:rsidP="003C28A2">
      <w:pPr>
        <w:pStyle w:val="Heading1"/>
      </w:pPr>
      <w:bookmarkStart w:id="10" w:name="O_244607"/>
      <w:bookmarkEnd w:id="10"/>
      <w:r w:rsidRPr="003C28A2">
        <w:t>Evidence Guide</w:t>
      </w:r>
    </w:p>
    <w:tbl>
      <w:tblPr>
        <w:tblW w:w="9570" w:type="dxa"/>
        <w:tblLayout w:type="fixed"/>
        <w:tblCellMar>
          <w:left w:w="62" w:type="dxa"/>
          <w:right w:w="62" w:type="dxa"/>
        </w:tblCellMar>
        <w:tblLook w:val="0000"/>
      </w:tblPr>
      <w:tblGrid>
        <w:gridCol w:w="3908"/>
        <w:gridCol w:w="5662"/>
      </w:tblGrid>
      <w:tr w:rsidTr="00A01B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EVIDENCE GUIDE</w:t>
            </w:r>
          </w:p>
        </w:tc>
      </w:tr>
      <w:tr w:rsidTr="00A01B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t xml:space="preserve">The evidence guide provides advice on assessment and must be read in conjunction with the performance criteria, required skills and knowledge, </w:t>
            </w:r>
            <w:r w:rsidRPr="003C28A2">
              <w:t>range statement and the Assessment Guidelines for the Training Package.</w:t>
            </w:r>
          </w:p>
        </w:tc>
      </w:tr>
      <w:tr w:rsidTr="00A01B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p>
        </w:tc>
      </w:tr>
      <w:tr w:rsidTr="00A01B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Evidence of the ability to:</w:t>
            </w:r>
          </w:p>
          <w:p w:rsidR="00000000" w:rsidRPr="003C28A2" w:rsidP="003C28A2">
            <w:pPr>
              <w:pStyle w:val="ListBullet"/>
            </w:pPr>
            <w:r w:rsidRPr="003C28A2">
              <w:t>install relevant network hardware and software</w:t>
            </w:r>
          </w:p>
          <w:p w:rsidR="00000000" w:rsidRPr="003C28A2" w:rsidP="003C28A2">
            <w:pPr>
              <w:pStyle w:val="ListBullet"/>
            </w:pPr>
            <w:r w:rsidRPr="003C28A2">
              <w:t>configure and test the IPTV network according to specified guidelines</w:t>
            </w:r>
          </w:p>
          <w:p w:rsidR="00000000" w:rsidRPr="003C28A2" w:rsidP="003C28A2">
            <w:pPr>
              <w:pStyle w:val="ListBullet"/>
            </w:pPr>
            <w:r w:rsidRPr="003C28A2">
              <w:t>configure the LSR in an MPLS network</w:t>
            </w:r>
          </w:p>
          <w:p w:rsidR="00000000" w:rsidRPr="003C28A2" w:rsidP="003C28A2">
            <w:pPr>
              <w:pStyle w:val="ListBullet"/>
            </w:pPr>
            <w:r w:rsidRPr="003C28A2">
              <w:t>build and configure CDN architecture network</w:t>
            </w:r>
          </w:p>
          <w:p w:rsidR="00000000" w:rsidP="003C28A2">
            <w:pPr>
              <w:pStyle w:val="ListBullet"/>
              <w:rPr>
                <w:lang w:val="en-NZ"/>
              </w:rPr>
            </w:pPr>
            <w:r w:rsidRPr="003C28A2">
              <w:t>implement secure network.</w:t>
            </w:r>
          </w:p>
        </w:tc>
      </w:tr>
      <w:tr w:rsidTr="00A01B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Context of and specific resour</w:t>
            </w:r>
            <w:r w:rsidRPr="003C28A2">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Assessment must ensure:</w:t>
            </w:r>
          </w:p>
          <w:p w:rsidR="00000000" w:rsidRPr="003C28A2" w:rsidP="003C28A2">
            <w:pPr>
              <w:pStyle w:val="ListBullet"/>
            </w:pPr>
            <w:r w:rsidRPr="003C28A2">
              <w:t>a site where the installation and configuration of an IPTV network may be conducted</w:t>
            </w:r>
          </w:p>
          <w:p w:rsidR="00000000" w:rsidRPr="003C28A2" w:rsidP="003C28A2">
            <w:pPr>
              <w:pStyle w:val="ListBullet"/>
            </w:pPr>
            <w:r w:rsidRPr="003C28A2">
              <w:t>equipment currently used in industry</w:t>
            </w:r>
          </w:p>
          <w:p w:rsidR="00000000" w:rsidRPr="003C28A2" w:rsidP="003C28A2">
            <w:pPr>
              <w:pStyle w:val="ListBullet"/>
            </w:pPr>
            <w:r w:rsidRPr="003C28A2">
              <w:t>information on different protocols</w:t>
            </w:r>
          </w:p>
          <w:p w:rsidR="00000000" w:rsidP="003C28A2">
            <w:pPr>
              <w:pStyle w:val="ListBullet"/>
              <w:rPr>
                <w:lang w:val="en-NZ"/>
              </w:rPr>
            </w:pPr>
            <w:r w:rsidRPr="003C28A2">
              <w:t xml:space="preserve">relevant technical information, legislative requirements </w:t>
            </w:r>
            <w:r w:rsidRPr="003C28A2">
              <w:t>and other site and project-related documentation.</w:t>
            </w:r>
          </w:p>
        </w:tc>
      </w:tr>
      <w:tr w:rsidTr="00A01B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A range of assessment methods should be used to assess practical skills and knowledge. The following examples are appropriate for this unit:</w:t>
            </w:r>
          </w:p>
          <w:p w:rsidR="00000000" w:rsidRPr="003C28A2" w:rsidP="003C28A2">
            <w:pPr>
              <w:pStyle w:val="ListBullet"/>
            </w:pPr>
            <w:r w:rsidRPr="003C28A2">
              <w:t>direct observation of the candidate install</w:t>
            </w:r>
            <w:r w:rsidRPr="003C28A2">
              <w:t>ing and configuring IPTV in a service provider network ensuring network security</w:t>
            </w:r>
          </w:p>
          <w:p w:rsidR="00000000" w:rsidRPr="003C28A2" w:rsidP="003C28A2">
            <w:pPr>
              <w:pStyle w:val="ListBullet"/>
            </w:pPr>
            <w:r w:rsidRPr="003C28A2">
              <w:t>direct observation of the candidate building and configuring CDN architecture network</w:t>
            </w:r>
          </w:p>
          <w:p w:rsidR="00000000" w:rsidRPr="003C28A2" w:rsidP="003C28A2">
            <w:pPr>
              <w:pStyle w:val="ListBullet"/>
            </w:pPr>
            <w:r w:rsidRPr="003C28A2">
              <w:t>direct observation of the candidate configuring the LSR in an MPLS network</w:t>
            </w:r>
          </w:p>
          <w:p w:rsidR="00000000" w:rsidP="003C28A2">
            <w:pPr>
              <w:pStyle w:val="ListBullet"/>
              <w:rPr>
                <w:lang w:val="en-NZ"/>
              </w:rPr>
            </w:pPr>
            <w:r w:rsidRPr="003C28A2">
              <w:t>oral or written questioning to assess required knowledge.</w:t>
            </w:r>
          </w:p>
        </w:tc>
      </w:tr>
      <w:tr w:rsidTr="00A01B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Holistic assessment with other units relevant to the industry sector, workplace and job role is recommended, for example:</w:t>
            </w:r>
          </w:p>
          <w:p w:rsidR="00000000" w:rsidRPr="003C28A2" w:rsidP="003C28A2">
            <w:pPr>
              <w:pStyle w:val="ListBullet"/>
            </w:pPr>
            <w:r w:rsidRPr="003C28A2">
              <w:t>ICTTEN4126A Install and configure inter</w:t>
            </w:r>
            <w:r w:rsidRPr="003C28A2">
              <w:t>net protocol TV in a home network</w:t>
            </w:r>
          </w:p>
          <w:p w:rsidR="00000000" w:rsidRPr="003C28A2" w:rsidP="003C28A2">
            <w:pPr>
              <w:pStyle w:val="ListBullet"/>
            </w:pPr>
            <w:r w:rsidRPr="003C28A2">
              <w:t>ICTTEN4198A Install, configure and test an internet protocol (IP) network</w:t>
            </w:r>
          </w:p>
          <w:p w:rsidR="00000000" w:rsidRPr="003C28A2" w:rsidP="003C28A2">
            <w:pPr>
              <w:pStyle w:val="ListBullet"/>
            </w:pPr>
            <w:r w:rsidRPr="003C28A2">
              <w:t>ICTTEN4199A Install, configure and test a router</w:t>
            </w:r>
          </w:p>
          <w:p w:rsidR="00000000" w:rsidRPr="003C28A2" w:rsidP="003C28A2">
            <w:pPr>
              <w:pStyle w:val="ListBullet"/>
            </w:pPr>
            <w:r w:rsidRPr="003C28A2">
              <w:t>ICTTEN4212A Apply advanced routing protocols to network design</w:t>
            </w:r>
          </w:p>
          <w:p w:rsidR="00000000" w:rsidRPr="003C28A2" w:rsidP="003C28A2">
            <w:pPr>
              <w:pStyle w:val="ListBullet"/>
            </w:pPr>
            <w:r w:rsidRPr="003C28A2">
              <w:t>ICTTEN4213A Configure and troublesho</w:t>
            </w:r>
            <w:r w:rsidRPr="003C28A2">
              <w:t>ot advanced network switching.</w:t>
            </w:r>
          </w:p>
          <w:p w:rsidR="00000000" w:rsidRPr="003C28A2" w:rsidP="003C28A2">
            <w:pPr>
              <w:pStyle w:val="BodyText"/>
            </w:pPr>
          </w:p>
          <w:p w:rsidR="00000000" w:rsidRPr="003C28A2" w:rsidP="003C28A2">
            <w:pPr>
              <w:pStyle w:val="BodyText"/>
            </w:pPr>
            <w:r w:rsidRPr="003C28A2">
              <w:t>Aboriginal people and other people from a non-English speaking background may have second language issues.</w:t>
            </w:r>
          </w:p>
          <w:p w:rsidR="00000000" w:rsidRPr="003C28A2" w:rsidP="003C28A2">
            <w:pPr>
              <w:pStyle w:val="BodyText"/>
            </w:pPr>
          </w:p>
          <w:p w:rsidR="00000000" w:rsidRPr="003C28A2" w:rsidP="003C28A2">
            <w:pPr>
              <w:pStyle w:val="BodyText"/>
            </w:pPr>
            <w:r w:rsidRPr="003C28A2">
              <w:t xml:space="preserve">Access must be provided to appropriate learning and assessment support when required. </w:t>
            </w:r>
          </w:p>
          <w:p w:rsidR="00000000" w:rsidRPr="003C28A2" w:rsidP="003C28A2">
            <w:pPr>
              <w:pStyle w:val="BodyText"/>
            </w:pPr>
          </w:p>
          <w:p w:rsidR="00000000" w:rsidRPr="003C28A2" w:rsidP="003C28A2">
            <w:pPr>
              <w:pStyle w:val="BodyText"/>
            </w:pPr>
            <w:r w:rsidRPr="003C28A2">
              <w:t>Assessment processes and tec</w:t>
            </w:r>
            <w:r w:rsidRPr="003C28A2">
              <w:t>hniques must be culturally appropriate, and appropriate to the oral communication skill level, and language and literacy capacity of the candidate and the work being performed.</w:t>
            </w:r>
          </w:p>
          <w:p w:rsidR="00000000" w:rsidRPr="003C28A2" w:rsidP="003C28A2">
            <w:pPr>
              <w:pStyle w:val="BodyText"/>
            </w:pPr>
          </w:p>
          <w:p w:rsidR="00000000" w:rsidRPr="003C28A2" w:rsidP="003C28A2">
            <w:pPr>
              <w:pStyle w:val="BodyText"/>
            </w:pPr>
            <w:r w:rsidRPr="003C28A2">
              <w:t>In all cases where practical assessment is used it will be combined with targe</w:t>
            </w:r>
            <w:r w:rsidRPr="003C28A2">
              <w:t xml:space="preserve">ted questioning to assess required knowledge. Questioning techniques should not require language, literacy and numeracy skills beyond those required in this unit of competency. </w:t>
            </w:r>
          </w:p>
          <w:p w:rsidR="00000000" w:rsidRPr="003C28A2" w:rsidP="003C28A2">
            <w:pPr>
              <w:pStyle w:val="BodyText"/>
            </w:pPr>
          </w:p>
          <w:p w:rsidR="00000000" w:rsidRPr="003C28A2" w:rsidP="003C28A2">
            <w:pPr>
              <w:pStyle w:val="BodyText"/>
            </w:pPr>
            <w:r w:rsidRPr="003C28A2">
              <w:t>Where applicable, physical resources should include equipment modified for people with special needs.</w:t>
            </w:r>
          </w:p>
        </w:tc>
      </w:tr>
    </w:tbl>
    <w:p w:rsidR="00A01BF2" w:rsidP="003C28A2">
      <w:pPr>
        <w:pStyle w:val="BodyText"/>
      </w:pPr>
    </w:p>
    <w:p w:rsidR="00A01BF2" w:rsidP="003C28A2">
      <w:pPr>
        <w:pStyle w:val="BodyText"/>
      </w:pPr>
    </w:p>
    <w:p w:rsidR="00000000" w:rsidRPr="003C28A2" w:rsidP="003C28A2">
      <w:pPr>
        <w:pStyle w:val="Heading1"/>
      </w:pPr>
      <w:bookmarkStart w:id="11" w:name="O_252590"/>
      <w:bookmarkEnd w:id="11"/>
      <w:r w:rsidRPr="003C28A2">
        <w:t>Range Statement</w:t>
      </w:r>
    </w:p>
    <w:tbl>
      <w:tblPr>
        <w:tblW w:w="0" w:type="auto"/>
        <w:tblLayout w:type="fixed"/>
        <w:tblCellMar>
          <w:left w:w="62" w:type="dxa"/>
          <w:right w:w="62" w:type="dxa"/>
        </w:tblCellMar>
        <w:tblLook w:val="0000"/>
      </w:tblPr>
      <w:tblGrid>
        <w:gridCol w:w="3498"/>
        <w:gridCol w:w="5024"/>
      </w:tblGrid>
      <w:tr w:rsidTr="00A01B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RANGE STATEMENT</w:t>
            </w:r>
          </w:p>
        </w:tc>
      </w:tr>
      <w:tr w:rsidTr="00A01B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t>The range statement relates to the unit of competency as a whole. It allows for different work env</w:t>
            </w:r>
            <w:r w:rsidRPr="003C28A2">
              <w:t>ironments and situations that may affect performance. Bold italicised wording, if used in the performance criteria, is detailed below. Essential operating conditions that may be present with training and assessment (depending on the work situation, needs o</w:t>
            </w:r>
            <w:r w:rsidRPr="003C28A2">
              <w:t>f the candidate, accessibility of the item, and local industry and regional contexts) may also be included.</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OHS requirements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awards provisions</w:t>
            </w:r>
          </w:p>
          <w:p w:rsidR="00000000" w:rsidRPr="003C28A2" w:rsidP="003C28A2">
            <w:pPr>
              <w:pStyle w:val="ListBullet"/>
            </w:pPr>
            <w:r w:rsidRPr="003C28A2">
              <w:t>hazardous substances and dangerous goods codes</w:t>
            </w:r>
          </w:p>
          <w:p w:rsidR="00000000" w:rsidRPr="003C28A2" w:rsidP="003C28A2">
            <w:pPr>
              <w:pStyle w:val="ListBullet"/>
            </w:pPr>
            <w:r w:rsidRPr="003C28A2">
              <w:t>legislation</w:t>
            </w:r>
          </w:p>
          <w:p w:rsidR="00000000" w:rsidRPr="003C28A2" w:rsidP="003C28A2">
            <w:pPr>
              <w:pStyle w:val="ListBullet"/>
            </w:pPr>
            <w:r w:rsidRPr="003C28A2">
              <w:t>local safe operation procedures</w:t>
            </w:r>
          </w:p>
          <w:p w:rsidR="00000000" w:rsidRPr="003C28A2" w:rsidP="003C28A2">
            <w:pPr>
              <w:pStyle w:val="ListBullet"/>
            </w:pPr>
            <w:r w:rsidRPr="003C28A2">
              <w:t>material safety management systems</w:t>
            </w:r>
          </w:p>
          <w:p w:rsidR="00000000" w:rsidP="003C28A2">
            <w:pPr>
              <w:pStyle w:val="ListBullet"/>
              <w:rPr>
                <w:lang w:val="en-NZ"/>
              </w:rPr>
            </w:pPr>
            <w:r w:rsidRPr="003C28A2">
              <w:t>protective equipment.</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Appropriate personnel</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customer</w:t>
            </w:r>
          </w:p>
          <w:p w:rsidR="00000000" w:rsidRPr="003C28A2" w:rsidP="003C28A2">
            <w:pPr>
              <w:pStyle w:val="ListBullet"/>
            </w:pPr>
            <w:r w:rsidRPr="003C28A2">
              <w:t>network administrator</w:t>
            </w:r>
          </w:p>
          <w:p w:rsidR="00000000" w:rsidRPr="003C28A2" w:rsidP="003C28A2">
            <w:pPr>
              <w:pStyle w:val="ListBullet"/>
            </w:pPr>
            <w:r w:rsidRPr="003C28A2">
              <w:t>network manager</w:t>
            </w:r>
          </w:p>
          <w:p w:rsidR="00000000" w:rsidRPr="003C28A2" w:rsidP="003C28A2">
            <w:pPr>
              <w:pStyle w:val="ListBullet"/>
            </w:pPr>
            <w:r w:rsidRPr="003C28A2">
              <w:t>site engineer</w:t>
            </w:r>
          </w:p>
          <w:p w:rsidR="00000000" w:rsidP="003C28A2">
            <w:pPr>
              <w:pStyle w:val="ListBullet"/>
              <w:rPr>
                <w:lang w:val="en-NZ"/>
              </w:rPr>
            </w:pPr>
            <w:r w:rsidRPr="003C28A2">
              <w:t>supervisor.</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Topology of an IPTV network</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digital subscriber line access multiplexer (DSLAM)</w:t>
            </w:r>
          </w:p>
          <w:p w:rsidR="00000000" w:rsidRPr="003C28A2" w:rsidP="003C28A2">
            <w:pPr>
              <w:pStyle w:val="ListBullet"/>
            </w:pPr>
            <w:r w:rsidRPr="003C28A2">
              <w:t>head end servers</w:t>
            </w:r>
          </w:p>
          <w:p w:rsidR="00000000" w:rsidRPr="003C28A2" w:rsidP="003C28A2">
            <w:pPr>
              <w:pStyle w:val="ListBullet"/>
            </w:pPr>
            <w:r w:rsidRPr="003C28A2">
              <w:t>home gateway</w:t>
            </w:r>
          </w:p>
          <w:p w:rsidR="00000000" w:rsidRPr="003C28A2" w:rsidP="003C28A2">
            <w:pPr>
              <w:pStyle w:val="ListBullet"/>
            </w:pPr>
            <w:r w:rsidRPr="003C28A2">
              <w:t>media centres</w:t>
            </w:r>
          </w:p>
          <w:p w:rsidR="00000000" w:rsidRPr="003C28A2" w:rsidP="003C28A2">
            <w:pPr>
              <w:pStyle w:val="ListBullet"/>
            </w:pPr>
            <w:r w:rsidRPr="003C28A2">
              <w:t>media content servers</w:t>
            </w:r>
          </w:p>
          <w:p w:rsidR="00000000" w:rsidRPr="003C28A2" w:rsidP="003C28A2">
            <w:pPr>
              <w:pStyle w:val="ListBullet"/>
            </w:pPr>
            <w:r w:rsidRPr="003C28A2">
              <w:t>MPLS routers</w:t>
            </w:r>
          </w:p>
          <w:p w:rsidR="00000000" w:rsidRPr="003C28A2" w:rsidP="003C28A2">
            <w:pPr>
              <w:pStyle w:val="ListBullet"/>
            </w:pPr>
            <w:r w:rsidRPr="003C28A2">
              <w:t>MPLS switches</w:t>
            </w:r>
          </w:p>
          <w:p w:rsidR="00000000" w:rsidP="003C28A2">
            <w:pPr>
              <w:pStyle w:val="ListBullet"/>
              <w:rPr>
                <w:lang w:val="en-NZ"/>
              </w:rPr>
            </w:pPr>
            <w:r w:rsidRPr="003C28A2">
              <w:t>set top box.</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Network elements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head end servers</w:t>
            </w:r>
          </w:p>
          <w:p w:rsidR="00000000" w:rsidRPr="003C28A2" w:rsidP="003C28A2">
            <w:pPr>
              <w:pStyle w:val="ListBullet"/>
            </w:pPr>
            <w:r w:rsidRPr="003C28A2">
              <w:t>media content servers</w:t>
            </w:r>
          </w:p>
          <w:p w:rsidR="00000000" w:rsidRPr="003C28A2" w:rsidP="003C28A2">
            <w:pPr>
              <w:pStyle w:val="ListBullet"/>
            </w:pPr>
            <w:r w:rsidRPr="003C28A2">
              <w:t>MPLS routers and switches</w:t>
            </w:r>
          </w:p>
          <w:p w:rsidR="00000000" w:rsidP="003C28A2">
            <w:pPr>
              <w:pStyle w:val="ListBullet"/>
              <w:rPr>
                <w:lang w:val="en-NZ"/>
              </w:rPr>
            </w:pPr>
            <w:r w:rsidRPr="003C28A2">
              <w:t>vid</w:t>
            </w:r>
            <w:r w:rsidRPr="003C28A2">
              <w:t>eo service routers.</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Protocols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IGMP</w:t>
            </w:r>
          </w:p>
          <w:p w:rsidR="00000000" w:rsidRPr="003C28A2" w:rsidP="003C28A2">
            <w:pPr>
              <w:pStyle w:val="ListBullet"/>
            </w:pPr>
            <w:r w:rsidRPr="003C28A2">
              <w:t xml:space="preserve">point to multipoint (p-to-mp) for IPTV </w:t>
            </w:r>
          </w:p>
          <w:p w:rsidR="00000000" w:rsidRPr="003C28A2" w:rsidP="003C28A2">
            <w:pPr>
              <w:pStyle w:val="ListBullet"/>
            </w:pPr>
            <w:r w:rsidRPr="003C28A2">
              <w:t>protocol independent multicast (PIM)</w:t>
            </w:r>
          </w:p>
          <w:p w:rsidR="00000000" w:rsidRPr="003C28A2" w:rsidP="003C28A2">
            <w:pPr>
              <w:pStyle w:val="ListBullet"/>
            </w:pPr>
            <w:r w:rsidRPr="003C28A2">
              <w:t>reverse path forwarding (RPF)</w:t>
            </w:r>
          </w:p>
          <w:p w:rsidR="00000000" w:rsidRPr="003C28A2" w:rsidP="003C28A2">
            <w:pPr>
              <w:pStyle w:val="ListBullet"/>
            </w:pPr>
            <w:r w:rsidRPr="003C28A2">
              <w:t>routing table protocol (RTP)</w:t>
            </w:r>
          </w:p>
          <w:p w:rsidR="00000000" w:rsidRPr="003C28A2" w:rsidP="003C28A2">
            <w:pPr>
              <w:pStyle w:val="ListBullet"/>
            </w:pPr>
            <w:r w:rsidRPr="003C28A2">
              <w:t>RTSP</w:t>
            </w:r>
          </w:p>
          <w:p w:rsidR="00000000" w:rsidRPr="003C28A2" w:rsidP="003C28A2">
            <w:pPr>
              <w:pStyle w:val="ListBullet"/>
            </w:pPr>
            <w:r w:rsidRPr="003C28A2">
              <w:t>session definition or data protocol (SDP)</w:t>
            </w:r>
          </w:p>
          <w:p w:rsidR="00000000" w:rsidRPr="003C28A2" w:rsidP="003C28A2">
            <w:pPr>
              <w:pStyle w:val="ListBullet"/>
            </w:pPr>
            <w:r w:rsidRPr="003C28A2">
              <w:t>session initiation protocol (SIP)</w:t>
            </w:r>
          </w:p>
          <w:p w:rsidR="00000000" w:rsidP="003C28A2">
            <w:pPr>
              <w:pStyle w:val="ListBullet"/>
              <w:rPr>
                <w:lang w:val="en-NZ"/>
              </w:rPr>
            </w:pPr>
            <w:r w:rsidRPr="003C28A2">
              <w:t>spanning-tree protocol (STP).</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Security measures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digital signatures and certificates</w:t>
            </w:r>
          </w:p>
          <w:p w:rsidR="00000000" w:rsidRPr="003C28A2" w:rsidP="003C28A2">
            <w:pPr>
              <w:pStyle w:val="ListBullet"/>
            </w:pPr>
            <w:r w:rsidRPr="003C28A2">
              <w:t>encryption</w:t>
            </w:r>
          </w:p>
          <w:p w:rsidR="00000000" w:rsidP="003C28A2">
            <w:pPr>
              <w:pStyle w:val="ListBullet"/>
              <w:rPr>
                <w:lang w:val="en-NZ"/>
              </w:rPr>
            </w:pPr>
            <w:r w:rsidRPr="003C28A2">
              <w:t>integrity and authentication.</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Security threats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botnets</w:t>
            </w:r>
          </w:p>
          <w:p w:rsidR="00000000" w:rsidRPr="003C28A2" w:rsidP="003C28A2">
            <w:pPr>
              <w:pStyle w:val="ListBullet"/>
            </w:pPr>
            <w:r w:rsidRPr="003C28A2">
              <w:t>distributed denial of service (DDoS)</w:t>
            </w:r>
          </w:p>
          <w:p w:rsidR="00000000" w:rsidRPr="003C28A2" w:rsidP="003C28A2">
            <w:pPr>
              <w:pStyle w:val="ListBullet"/>
            </w:pPr>
            <w:r w:rsidRPr="003C28A2">
              <w:t>fraud</w:t>
            </w:r>
          </w:p>
          <w:p w:rsidR="00000000" w:rsidRPr="003C28A2" w:rsidP="003C28A2">
            <w:pPr>
              <w:pStyle w:val="ListBullet"/>
            </w:pPr>
            <w:r w:rsidRPr="003C28A2">
              <w:t>h</w:t>
            </w:r>
            <w:r w:rsidRPr="003C28A2">
              <w:t>acking</w:t>
            </w:r>
          </w:p>
          <w:p w:rsidR="00000000" w:rsidP="003C28A2">
            <w:pPr>
              <w:pStyle w:val="ListBullet"/>
              <w:rPr>
                <w:lang w:val="en-NZ"/>
              </w:rPr>
            </w:pPr>
            <w:r w:rsidRPr="003C28A2">
              <w:t>malware.</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Layer 2 protocols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asynchronous transfer mode (ATM)</w:t>
            </w:r>
          </w:p>
          <w:p w:rsidR="00000000" w:rsidRPr="003C28A2" w:rsidP="003C28A2">
            <w:pPr>
              <w:pStyle w:val="ListBullet"/>
            </w:pPr>
            <w:r w:rsidRPr="003C28A2">
              <w:t>Ethernet</w:t>
            </w:r>
          </w:p>
          <w:p w:rsidR="00000000" w:rsidRPr="003C28A2" w:rsidP="003C28A2">
            <w:pPr>
              <w:pStyle w:val="ListBullet"/>
            </w:pPr>
            <w:r w:rsidRPr="003C28A2">
              <w:t>frame relay (FR)</w:t>
            </w:r>
          </w:p>
          <w:p w:rsidR="00000000" w:rsidRPr="003C28A2" w:rsidP="003C28A2">
            <w:pPr>
              <w:pStyle w:val="ListBullet"/>
            </w:pPr>
            <w:r w:rsidRPr="003C28A2">
              <w:t>IGMP</w:t>
            </w:r>
          </w:p>
          <w:p w:rsidR="00000000" w:rsidRPr="003C28A2" w:rsidP="003C28A2">
            <w:pPr>
              <w:pStyle w:val="ListBullet"/>
            </w:pPr>
            <w:r w:rsidRPr="003C28A2">
              <w:t>packet over SONET (POS)</w:t>
            </w:r>
          </w:p>
          <w:p w:rsidR="00000000" w:rsidRPr="003C28A2" w:rsidP="003C28A2">
            <w:pPr>
              <w:pStyle w:val="ListBullet"/>
            </w:pPr>
            <w:r w:rsidRPr="003C28A2">
              <w:t xml:space="preserve">p-to-mp for IPTV </w:t>
            </w:r>
          </w:p>
          <w:p w:rsidR="00000000" w:rsidRPr="003C28A2" w:rsidP="003C28A2">
            <w:pPr>
              <w:pStyle w:val="ListBullet"/>
            </w:pPr>
            <w:r w:rsidRPr="003C28A2">
              <w:t>point-to-point protocol (PPP) unicast for VoD streaming</w:t>
            </w:r>
          </w:p>
          <w:p w:rsidR="00000000" w:rsidRPr="003C28A2" w:rsidP="003C28A2">
            <w:pPr>
              <w:pStyle w:val="ListBullet"/>
            </w:pPr>
            <w:r w:rsidRPr="003C28A2">
              <w:t>PIM</w:t>
            </w:r>
          </w:p>
          <w:p w:rsidR="00000000" w:rsidP="003C28A2">
            <w:pPr>
              <w:pStyle w:val="ListBullet"/>
              <w:rPr>
                <w:lang w:val="en-NZ"/>
              </w:rPr>
            </w:pPr>
            <w:r w:rsidRPr="003C28A2">
              <w:t>STP.</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MPLS network</w:t>
            </w:r>
            <w:r w:rsidRPr="003C28A2">
              <w:t xml:space="preserve"> may include location and type of:</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core label switch routers (Core LSR)</w:t>
            </w:r>
          </w:p>
          <w:p w:rsidR="00000000" w:rsidRPr="003C28A2" w:rsidP="003C28A2">
            <w:pPr>
              <w:pStyle w:val="ListBullet"/>
            </w:pPr>
            <w:r w:rsidRPr="003C28A2">
              <w:t>edge label switch routers (Edge LSR)</w:t>
            </w:r>
          </w:p>
          <w:p w:rsidR="00000000" w:rsidP="003C28A2">
            <w:pPr>
              <w:pStyle w:val="ListBullet"/>
              <w:rPr>
                <w:lang w:val="en-NZ"/>
              </w:rPr>
            </w:pPr>
            <w:r w:rsidRPr="003C28A2">
              <w:t>hosting servers for media content.</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Internet devices</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digital TV</w:t>
            </w:r>
          </w:p>
          <w:p w:rsidR="00000000" w:rsidRPr="003C28A2" w:rsidP="003C28A2">
            <w:pPr>
              <w:pStyle w:val="ListBullet"/>
            </w:pPr>
            <w:r w:rsidRPr="003C28A2">
              <w:t>media centre</w:t>
            </w:r>
          </w:p>
          <w:p w:rsidR="00000000" w:rsidRPr="003C28A2" w:rsidP="003C28A2">
            <w:pPr>
              <w:pStyle w:val="ListBullet"/>
            </w:pPr>
            <w:r w:rsidRPr="003C28A2">
              <w:t>mobile devices</w:t>
            </w:r>
          </w:p>
          <w:p w:rsidR="00000000" w:rsidP="003C28A2">
            <w:pPr>
              <w:pStyle w:val="ListBullet"/>
              <w:rPr>
                <w:lang w:val="en-NZ"/>
              </w:rPr>
            </w:pPr>
            <w:r w:rsidRPr="003C28A2">
              <w:t>PC.</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Network functionality</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application processing</w:t>
            </w:r>
          </w:p>
          <w:p w:rsidR="00000000" w:rsidRPr="003C28A2" w:rsidP="003C28A2">
            <w:pPr>
              <w:pStyle w:val="ListBullet"/>
            </w:pPr>
            <w:r w:rsidRPr="003C28A2">
              <w:t>caching</w:t>
            </w:r>
          </w:p>
          <w:p w:rsidR="00000000" w:rsidRPr="003C28A2" w:rsidP="003C28A2">
            <w:pPr>
              <w:pStyle w:val="ListBullet"/>
            </w:pPr>
            <w:r w:rsidRPr="003C28A2">
              <w:t>file access and sharing</w:t>
            </w:r>
          </w:p>
          <w:p w:rsidR="00000000" w:rsidP="003C28A2">
            <w:pPr>
              <w:pStyle w:val="ListBullet"/>
              <w:rPr>
                <w:lang w:val="en-NZ"/>
              </w:rPr>
            </w:pPr>
            <w:r w:rsidRPr="003C28A2">
              <w:t>multimedia delivery.</w:t>
            </w:r>
          </w:p>
        </w:tc>
      </w:tr>
      <w:tr w:rsidTr="00A01BF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BoldandItalics"/>
              </w:rPr>
              <w:t>Essential installation information</w:t>
            </w:r>
            <w:r w:rsidRPr="003C28A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ListBullet"/>
            </w:pPr>
            <w:r w:rsidRPr="003C28A2">
              <w:t>installation software</w:t>
            </w:r>
          </w:p>
          <w:p w:rsidR="00000000" w:rsidRPr="003C28A2" w:rsidP="003C28A2">
            <w:pPr>
              <w:pStyle w:val="ListBullet"/>
            </w:pPr>
            <w:r w:rsidRPr="003C28A2">
              <w:t>IP addressing schemes</w:t>
            </w:r>
          </w:p>
          <w:p w:rsidR="00000000" w:rsidRPr="003C28A2" w:rsidP="003C28A2">
            <w:pPr>
              <w:pStyle w:val="ListBullet"/>
            </w:pPr>
            <w:r w:rsidRPr="003C28A2">
              <w:t>logical and physical diagrams</w:t>
            </w:r>
          </w:p>
          <w:p w:rsidR="00000000" w:rsidRPr="003C28A2" w:rsidP="003C28A2">
            <w:pPr>
              <w:pStyle w:val="ListBullet"/>
            </w:pPr>
            <w:r w:rsidRPr="003C28A2">
              <w:t>network administrator codes</w:t>
            </w:r>
          </w:p>
          <w:p w:rsidR="00000000" w:rsidRPr="003C28A2" w:rsidP="003C28A2">
            <w:pPr>
              <w:pStyle w:val="ListBullet"/>
            </w:pPr>
            <w:r w:rsidRPr="003C28A2">
              <w:t>passwords</w:t>
            </w:r>
          </w:p>
          <w:p w:rsidR="00000000" w:rsidRPr="003C28A2" w:rsidP="003C28A2">
            <w:pPr>
              <w:pStyle w:val="ListBullet"/>
            </w:pPr>
            <w:r w:rsidRPr="003C28A2">
              <w:t>security access cod</w:t>
            </w:r>
            <w:r w:rsidRPr="003C28A2">
              <w:t>es.</w:t>
            </w:r>
          </w:p>
        </w:tc>
      </w:tr>
    </w:tbl>
    <w:p w:rsidR="00A01BF2" w:rsidP="003C28A2">
      <w:pPr>
        <w:pStyle w:val="BodyText"/>
      </w:pPr>
    </w:p>
    <w:p w:rsidR="00A01BF2" w:rsidP="003C28A2">
      <w:pPr>
        <w:pStyle w:val="BodyText"/>
      </w:pPr>
    </w:p>
    <w:p w:rsidR="00000000" w:rsidRPr="003C28A2" w:rsidP="003C28A2">
      <w:pPr>
        <w:pStyle w:val="Heading1"/>
      </w:pPr>
      <w:bookmarkStart w:id="12" w:name="O_209815"/>
      <w:bookmarkEnd w:id="12"/>
      <w:r w:rsidRPr="003C28A2">
        <w:t>Unit Sector(s)</w:t>
      </w:r>
    </w:p>
    <w:tbl>
      <w:tblPr>
        <w:tblW w:w="0" w:type="auto"/>
        <w:tblLayout w:type="fixed"/>
        <w:tblCellMar>
          <w:left w:w="62" w:type="dxa"/>
          <w:right w:w="62" w:type="dxa"/>
        </w:tblCellMar>
        <w:tblLook w:val="0000"/>
      </w:tblPr>
      <w:tblGrid>
        <w:gridCol w:w="2570"/>
        <w:gridCol w:w="5952"/>
      </w:tblGrid>
      <w:tr w:rsidTr="00A01BF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Telecommunications</w:t>
            </w:r>
          </w:p>
        </w:tc>
      </w:tr>
    </w:tbl>
    <w:p w:rsidR="00A01BF2" w:rsidP="003C28A2">
      <w:pPr>
        <w:pStyle w:val="BodyText"/>
      </w:pPr>
    </w:p>
    <w:p w:rsidR="00A01BF2" w:rsidP="003C28A2">
      <w:pPr>
        <w:pStyle w:val="BodyText"/>
      </w:pPr>
    </w:p>
    <w:p w:rsidR="00000000" w:rsidRPr="003C28A2" w:rsidP="003C28A2">
      <w:pPr>
        <w:pStyle w:val="Heading1"/>
      </w:pPr>
      <w:bookmarkStart w:id="13" w:name="O_209812"/>
      <w:bookmarkEnd w:id="13"/>
      <w:r w:rsidRPr="003C28A2">
        <w:t>Co-requisite units</w:t>
      </w:r>
    </w:p>
    <w:tbl>
      <w:tblPr>
        <w:tblW w:w="0" w:type="auto"/>
        <w:tblLayout w:type="fixed"/>
        <w:tblCellMar>
          <w:left w:w="62" w:type="dxa"/>
          <w:right w:w="62" w:type="dxa"/>
        </w:tblCellMar>
        <w:tblLook w:val="0000"/>
      </w:tblPr>
      <w:tblGrid>
        <w:gridCol w:w="2641"/>
        <w:gridCol w:w="1322"/>
        <w:gridCol w:w="4559"/>
      </w:tblGrid>
      <w:tr w:rsidTr="00A01B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p>
        </w:tc>
      </w:tr>
      <w:tr w:rsidTr="00A01B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p>
        </w:tc>
      </w:tr>
      <w:tr w:rsidTr="00A01B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p>
        </w:tc>
      </w:tr>
    </w:tbl>
    <w:p w:rsidR="00A01BF2" w:rsidP="003C28A2">
      <w:pPr>
        <w:pStyle w:val="BodyText"/>
      </w:pPr>
    </w:p>
    <w:p w:rsidR="00A01BF2" w:rsidP="003C28A2">
      <w:pPr>
        <w:pStyle w:val="BodyText"/>
      </w:pPr>
    </w:p>
    <w:p w:rsidR="00000000" w:rsidRPr="003C28A2" w:rsidP="003C28A2">
      <w:pPr>
        <w:pStyle w:val="Heading1"/>
      </w:pPr>
      <w:bookmarkStart w:id="14" w:name="O_209814"/>
      <w:bookmarkEnd w:id="14"/>
      <w:r w:rsidRPr="003C28A2">
        <w:t>Competency field</w:t>
      </w:r>
    </w:p>
    <w:tbl>
      <w:tblPr>
        <w:tblW w:w="0" w:type="auto"/>
        <w:tblLayout w:type="fixed"/>
        <w:tblCellMar>
          <w:left w:w="62" w:type="dxa"/>
          <w:right w:w="62" w:type="dxa"/>
        </w:tblCellMar>
        <w:tblLook w:val="0000"/>
      </w:tblPr>
      <w:tblGrid>
        <w:gridCol w:w="2768"/>
        <w:gridCol w:w="5754"/>
      </w:tblGrid>
      <w:tr w:rsidTr="00A01BF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8A2">
            <w:pPr>
              <w:pStyle w:val="BodyText"/>
              <w:rPr>
                <w:lang w:val="en-NZ"/>
              </w:rPr>
            </w:pPr>
            <w:r w:rsidRPr="003C28A2">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8A2" w:rsidP="003C28A2">
            <w:pPr>
              <w:pStyle w:val="BodyText"/>
            </w:pPr>
            <w:r w:rsidRPr="003C28A2">
              <w:t>Telecommunications networks engineering</w:t>
            </w:r>
          </w:p>
        </w:tc>
      </w:tr>
    </w:tbl>
    <w:p w:rsidR="00A01BF2" w:rsidP="003C28A2">
      <w:pPr>
        <w:pStyle w:val="BodyText"/>
      </w:pPr>
    </w:p>
    <w:p w:rsidR="00A01BF2" w:rsidP="003C28A2">
      <w:pPr>
        <w:pStyle w:val="BodyText"/>
      </w:pPr>
    </w:p>
    <w:p w:rsidR="00000000" w:rsidRPr="003C28A2" w:rsidP="003C28A2"/>
    <w:sectPr w:rsidSect="003C2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BF2" w:rsidP="00A01B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F2" w:rsidP="003C28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1BF2" w:rsidP="003C28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1BF2" w:rsidP="003C28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A2" w:rsidRPr="00A01BF2" w:rsidP="00A01B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F2" w:rsidRPr="002D2AF8" w:rsidP="003C28A2">
    <w:pPr>
      <w:pStyle w:val="Header"/>
      <w:framePr w:wrap="around"/>
    </w:pPr>
    <w:r>
      <w:fldChar w:fldCharType="begin"/>
    </w:r>
    <w:r>
      <w:instrText xml:space="preserve"> TITLE   \* MERGEFORMAT </w:instrText>
    </w:r>
    <w:r>
      <w:fldChar w:fldCharType="separate"/>
    </w:r>
    <w:r>
      <w:t>ICTTEN4215A Install and configure internet protocol TV in a service provider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01BF2" w:rsidP="003C2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8F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27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FAA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8A2"/>
    <w:pPr>
      <w:spacing w:before="360" w:after="60"/>
      <w:outlineLvl w:val="0"/>
    </w:pPr>
    <w:rPr>
      <w:sz w:val="32"/>
    </w:rPr>
  </w:style>
  <w:style w:type="paragraph" w:styleId="Heading2">
    <w:name w:val="heading 2"/>
    <w:basedOn w:val="HeadingBase"/>
    <w:next w:val="BodyText"/>
    <w:link w:val="Heading2Char"/>
    <w:qFormat/>
    <w:rsid w:val="003C28A2"/>
    <w:pPr>
      <w:keepLines/>
      <w:spacing w:before="240" w:after="120"/>
      <w:outlineLvl w:val="1"/>
    </w:pPr>
    <w:rPr>
      <w:sz w:val="28"/>
      <w:szCs w:val="40"/>
    </w:rPr>
  </w:style>
  <w:style w:type="paragraph" w:styleId="Heading3">
    <w:name w:val="heading 3"/>
    <w:basedOn w:val="HeadingBase"/>
    <w:next w:val="BodyText"/>
    <w:link w:val="Heading3Char"/>
    <w:qFormat/>
    <w:rsid w:val="003C28A2"/>
    <w:pPr>
      <w:spacing w:before="180" w:after="120"/>
      <w:outlineLvl w:val="2"/>
    </w:pPr>
    <w:rPr>
      <w:spacing w:val="-10"/>
      <w:kern w:val="32"/>
    </w:rPr>
  </w:style>
  <w:style w:type="paragraph" w:styleId="Heading4">
    <w:name w:val="heading 4"/>
    <w:basedOn w:val="HeadingBase"/>
    <w:next w:val="BodyText"/>
    <w:link w:val="Heading4Char"/>
    <w:qFormat/>
    <w:rsid w:val="003C28A2"/>
    <w:pPr>
      <w:spacing w:before="160" w:after="120"/>
      <w:outlineLvl w:val="3"/>
    </w:pPr>
    <w:rPr>
      <w:sz w:val="22"/>
    </w:rPr>
  </w:style>
  <w:style w:type="paragraph" w:styleId="Heading5">
    <w:name w:val="heading 5"/>
    <w:basedOn w:val="HeadingBase"/>
    <w:next w:val="Normal"/>
    <w:link w:val="Heading5Char"/>
    <w:qFormat/>
    <w:rsid w:val="003C28A2"/>
    <w:pPr>
      <w:spacing w:before="80"/>
      <w:outlineLvl w:val="4"/>
    </w:pPr>
    <w:rPr>
      <w:color w:val="918585"/>
      <w:sz w:val="20"/>
    </w:rPr>
  </w:style>
  <w:style w:type="paragraph" w:styleId="Heading6">
    <w:name w:val="heading 6"/>
    <w:basedOn w:val="HeadingBase"/>
    <w:next w:val="Normal"/>
    <w:link w:val="Heading6Char"/>
    <w:qFormat/>
    <w:rsid w:val="003C28A2"/>
    <w:pPr>
      <w:spacing w:before="60"/>
      <w:outlineLvl w:val="5"/>
    </w:pPr>
    <w:rPr>
      <w:color w:val="918585"/>
      <w:sz w:val="20"/>
    </w:rPr>
  </w:style>
  <w:style w:type="paragraph" w:styleId="Heading7">
    <w:name w:val="heading 7"/>
    <w:basedOn w:val="Normal"/>
    <w:next w:val="Normal"/>
    <w:link w:val="Heading7Char"/>
    <w:qFormat/>
    <w:rsid w:val="003C28A2"/>
    <w:pPr>
      <w:ind w:left="720"/>
      <w:outlineLvl w:val="6"/>
    </w:pPr>
    <w:rPr>
      <w:i/>
    </w:rPr>
  </w:style>
  <w:style w:type="paragraph" w:styleId="Heading8">
    <w:name w:val="heading 8"/>
    <w:basedOn w:val="Normal"/>
    <w:next w:val="Normal"/>
    <w:link w:val="Heading8Char"/>
    <w:qFormat/>
    <w:rsid w:val="003C28A2"/>
    <w:pPr>
      <w:ind w:left="720"/>
      <w:outlineLvl w:val="7"/>
    </w:pPr>
    <w:rPr>
      <w:i/>
    </w:rPr>
  </w:style>
  <w:style w:type="paragraph" w:styleId="Heading9">
    <w:name w:val="heading 9"/>
    <w:basedOn w:val="Normal"/>
    <w:next w:val="Normal"/>
    <w:link w:val="Heading9Char"/>
    <w:qFormat/>
    <w:rsid w:val="003C28A2"/>
    <w:pPr>
      <w:ind w:left="720"/>
      <w:outlineLvl w:val="8"/>
    </w:pPr>
    <w:rPr>
      <w:i/>
    </w:rPr>
  </w:style>
  <w:style w:type="character" w:default="1" w:styleId="DefaultParagraphFont">
    <w:name w:val="Default Paragraph Font"/>
    <w:uiPriority w:val="1"/>
    <w:unhideWhenUsed/>
    <w:rsid w:val="003C2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8A2"/>
  </w:style>
  <w:style w:type="character" w:customStyle="1" w:styleId="Heading1Char">
    <w:name w:val="Heading 1 Char"/>
    <w:basedOn w:val="DefaultParagraphFont"/>
    <w:link w:val="Heading1"/>
    <w:rsid w:val="003C28A2"/>
    <w:rPr>
      <w:rFonts w:ascii="Times New Roman" w:eastAsia="Times New Roman" w:hAnsi="Times New Roman" w:cs="Times New Roman"/>
      <w:b/>
      <w:sz w:val="32"/>
      <w:szCs w:val="20"/>
      <w:lang w:eastAsia="en-US"/>
    </w:rPr>
  </w:style>
  <w:style w:type="paragraph" w:styleId="BodyText">
    <w:name w:val="Body Text"/>
    <w:basedOn w:val="Normal"/>
    <w:link w:val="BodyTextChar"/>
    <w:rsid w:val="003C28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8A2"/>
    <w:rPr>
      <w:rFonts w:ascii="Times New Roman" w:eastAsia="Times New Roman" w:hAnsi="Times New Roman" w:cs="Times New Roman"/>
      <w:sz w:val="24"/>
      <w:lang w:eastAsia="en-US"/>
    </w:rPr>
  </w:style>
  <w:style w:type="paragraph" w:styleId="Footer">
    <w:name w:val="footer"/>
    <w:basedOn w:val="Normal"/>
    <w:link w:val="FooterChar"/>
    <w:rsid w:val="003C2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8A2"/>
    <w:rPr>
      <w:rFonts w:ascii="Times New Roman" w:eastAsia="Times New Roman" w:hAnsi="Times New Roman" w:cs="Times New Roman"/>
      <w:sz w:val="16"/>
      <w:lang w:eastAsia="en-US"/>
    </w:rPr>
  </w:style>
  <w:style w:type="paragraph" w:styleId="List">
    <w:name w:val="List"/>
    <w:basedOn w:val="BodyText"/>
    <w:next w:val="BodyText"/>
    <w:rsid w:val="003C28A2"/>
    <w:pPr>
      <w:tabs>
        <w:tab w:val="left" w:pos="340"/>
      </w:tabs>
      <w:spacing w:before="60" w:after="60"/>
      <w:ind w:left="340" w:hanging="340"/>
    </w:pPr>
  </w:style>
  <w:style w:type="paragraph" w:styleId="ListBullet">
    <w:name w:val="List Bullet"/>
    <w:basedOn w:val="List"/>
    <w:rsid w:val="003C28A2"/>
    <w:pPr>
      <w:numPr>
        <w:numId w:val="14"/>
      </w:numPr>
      <w:tabs>
        <w:tab w:val="clear" w:pos="340"/>
      </w:tabs>
      <w:spacing w:before="40" w:after="40"/>
    </w:pPr>
  </w:style>
  <w:style w:type="character" w:customStyle="1" w:styleId="SpecialBold">
    <w:name w:val="Special Bold"/>
    <w:basedOn w:val="DefaultParagraphFont"/>
    <w:rsid w:val="003C28A2"/>
    <w:rPr>
      <w:b/>
      <w:spacing w:val="0"/>
    </w:rPr>
  </w:style>
  <w:style w:type="paragraph" w:styleId="ListBullet2">
    <w:name w:val="List Bullet 2"/>
    <w:basedOn w:val="List2"/>
    <w:rsid w:val="003C28A2"/>
    <w:pPr>
      <w:numPr>
        <w:numId w:val="15"/>
      </w:numPr>
      <w:tabs>
        <w:tab w:val="clear" w:pos="680"/>
      </w:tabs>
    </w:pPr>
  </w:style>
  <w:style w:type="paragraph" w:customStyle="1" w:styleId="SuperHeading">
    <w:name w:val="SuperHeading"/>
    <w:basedOn w:val="Normal"/>
    <w:rsid w:val="003C28A2"/>
    <w:pPr>
      <w:spacing w:before="240" w:after="120"/>
      <w:outlineLvl w:val="0"/>
    </w:pPr>
    <w:rPr>
      <w:rFonts w:ascii="Times New Roman" w:hAnsi="Times New Roman"/>
      <w:b/>
      <w:sz w:val="28"/>
    </w:rPr>
  </w:style>
  <w:style w:type="paragraph" w:customStyle="1" w:styleId="AllowPageBreak">
    <w:name w:val="AllowPageBreak"/>
    <w:rsid w:val="003C28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28A2"/>
    <w:pPr>
      <w:tabs>
        <w:tab w:val="left" w:pos="680"/>
      </w:tabs>
      <w:spacing w:before="60" w:after="60"/>
      <w:ind w:left="680" w:hanging="340"/>
    </w:pPr>
  </w:style>
  <w:style w:type="paragraph" w:styleId="ListBullet3">
    <w:name w:val="List Bullet 3"/>
    <w:basedOn w:val="List3"/>
    <w:rsid w:val="003C28A2"/>
    <w:pPr>
      <w:numPr>
        <w:numId w:val="3"/>
      </w:numPr>
      <w:tabs>
        <w:tab w:val="clear" w:pos="1021"/>
      </w:tabs>
      <w:ind w:left="1037" w:hanging="357"/>
    </w:pPr>
  </w:style>
  <w:style w:type="character" w:customStyle="1" w:styleId="BoldandItalics">
    <w:name w:val="Bold and Italics"/>
    <w:qFormat/>
    <w:rsid w:val="003C28A2"/>
    <w:rPr>
      <w:b/>
      <w:i/>
      <w:u w:val="none"/>
    </w:rPr>
  </w:style>
  <w:style w:type="character" w:customStyle="1" w:styleId="Heading2Char">
    <w:name w:val="Heading 2 Char"/>
    <w:basedOn w:val="DefaultParagraphFont"/>
    <w:link w:val="Heading2"/>
    <w:rsid w:val="003C2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8A2"/>
    <w:rPr>
      <w:rFonts w:ascii="Courier New" w:eastAsia="Times New Roman" w:hAnsi="Courier New" w:cs="Times New Roman"/>
      <w:i/>
      <w:szCs w:val="20"/>
      <w:lang w:eastAsia="en-US"/>
    </w:rPr>
  </w:style>
  <w:style w:type="paragraph" w:customStyle="1" w:styleId="HeadingBase">
    <w:name w:val="Heading Base"/>
    <w:rsid w:val="003C2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8A2"/>
    <w:pPr>
      <w:tabs>
        <w:tab w:val="right" w:leader="dot" w:pos="9072"/>
      </w:tabs>
      <w:ind w:left="567"/>
    </w:pPr>
    <w:rPr>
      <w:szCs w:val="22"/>
    </w:rPr>
  </w:style>
  <w:style w:type="paragraph" w:customStyle="1" w:styleId="TOCBase">
    <w:name w:val="TOC Base"/>
    <w:rsid w:val="003C2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8A2"/>
    <w:pPr>
      <w:tabs>
        <w:tab w:val="right" w:leader="dot" w:pos="9072"/>
      </w:tabs>
      <w:spacing w:before="40" w:after="40"/>
      <w:ind w:left="284"/>
    </w:pPr>
    <w:rPr>
      <w:rFonts w:ascii="Times New Roman" w:hAnsi="Times New Roman"/>
    </w:rPr>
  </w:style>
  <w:style w:type="paragraph" w:styleId="TOC1">
    <w:name w:val="toc 1"/>
    <w:basedOn w:val="TOCBase"/>
    <w:next w:val="Normal"/>
    <w:rsid w:val="003C28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8A2"/>
    <w:pPr>
      <w:spacing w:before="5040"/>
      <w:jc w:val="center"/>
    </w:pPr>
    <w:rPr>
      <w:sz w:val="48"/>
      <w:szCs w:val="72"/>
      <w:lang w:val="en-US"/>
    </w:rPr>
  </w:style>
  <w:style w:type="character" w:customStyle="1" w:styleId="TitleChar">
    <w:name w:val="Title Char"/>
    <w:basedOn w:val="DefaultParagraphFont"/>
    <w:link w:val="Title"/>
    <w:rsid w:val="003C2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8A2"/>
    <w:pPr>
      <w:tabs>
        <w:tab w:val="left" w:pos="3600"/>
        <w:tab w:val="left" w:pos="3958"/>
      </w:tabs>
    </w:pPr>
  </w:style>
  <w:style w:type="paragraph" w:customStyle="1" w:styleId="Note">
    <w:name w:val="Note"/>
    <w:basedOn w:val="BodyText"/>
    <w:rsid w:val="003C2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8A2"/>
    <w:pPr>
      <w:framePr w:wrap="auto" w:hAnchor="text" w:y="6049"/>
    </w:pPr>
    <w:rPr>
      <w:color w:val="000000"/>
      <w:sz w:val="40"/>
    </w:rPr>
  </w:style>
  <w:style w:type="paragraph" w:customStyle="1" w:styleId="TOCTitle">
    <w:name w:val="TOCTitle"/>
    <w:basedOn w:val="Heading1"/>
    <w:rsid w:val="003C28A2"/>
    <w:pPr>
      <w:spacing w:after="240"/>
      <w:jc w:val="center"/>
      <w:outlineLvl w:val="9"/>
    </w:pPr>
    <w:rPr>
      <w:caps/>
    </w:rPr>
  </w:style>
  <w:style w:type="paragraph" w:customStyle="1" w:styleId="Version">
    <w:name w:val="Version"/>
    <w:rsid w:val="003C2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8A2"/>
    <w:pPr>
      <w:keepNext w:val="0"/>
      <w:tabs>
        <w:tab w:val="right" w:pos="4176"/>
      </w:tabs>
      <w:ind w:left="198" w:hanging="198"/>
    </w:pPr>
    <w:rPr>
      <w:rFonts w:ascii="Garamond" w:hAnsi="Garamond"/>
    </w:rPr>
  </w:style>
  <w:style w:type="paragraph" w:styleId="IndexHeading">
    <w:name w:val="index heading"/>
    <w:basedOn w:val="Normal"/>
    <w:next w:val="Index1"/>
    <w:semiHidden/>
    <w:rsid w:val="003C28A2"/>
    <w:pPr>
      <w:spacing w:before="120" w:after="120"/>
    </w:pPr>
    <w:rPr>
      <w:rFonts w:ascii="Arial" w:hAnsi="Arial"/>
      <w:b/>
      <w:color w:val="918585"/>
      <w:sz w:val="24"/>
    </w:rPr>
  </w:style>
  <w:style w:type="paragraph" w:styleId="Header">
    <w:name w:val="header"/>
    <w:basedOn w:val="Normal"/>
    <w:link w:val="HeaderChar"/>
    <w:rsid w:val="003C2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8A2"/>
    <w:rPr>
      <w:rFonts w:ascii="Times New Roman" w:eastAsia="Times New Roman" w:hAnsi="Times New Roman" w:cs="Times New Roman"/>
      <w:sz w:val="16"/>
      <w:szCs w:val="20"/>
      <w:lang w:val="en-GB" w:eastAsia="en-US"/>
    </w:rPr>
  </w:style>
  <w:style w:type="paragraph" w:customStyle="1" w:styleId="Chapter">
    <w:name w:val="Chapter"/>
    <w:basedOn w:val="Normal"/>
    <w:rsid w:val="003C28A2"/>
    <w:pPr>
      <w:spacing w:before="240"/>
    </w:pPr>
    <w:rPr>
      <w:rFonts w:ascii="Times New Roman" w:hAnsi="Times New Roman"/>
      <w:smallCaps/>
      <w:spacing w:val="80"/>
      <w:sz w:val="28"/>
    </w:rPr>
  </w:style>
  <w:style w:type="paragraph" w:customStyle="1" w:styleId="InChapter">
    <w:name w:val="InChapter"/>
    <w:basedOn w:val="Heading3"/>
    <w:rsid w:val="003C28A2"/>
    <w:pPr>
      <w:spacing w:after="240"/>
      <w:outlineLvl w:val="9"/>
    </w:pPr>
    <w:rPr>
      <w:noProof/>
    </w:rPr>
  </w:style>
  <w:style w:type="paragraph" w:styleId="Index2">
    <w:name w:val="index 2"/>
    <w:basedOn w:val="Normal"/>
    <w:next w:val="Normal"/>
    <w:semiHidden/>
    <w:rsid w:val="003C28A2"/>
    <w:pPr>
      <w:tabs>
        <w:tab w:val="right" w:pos="4176"/>
      </w:tabs>
      <w:ind w:left="568" w:hanging="284"/>
    </w:pPr>
    <w:rPr>
      <w:rFonts w:ascii="Garamond" w:hAnsi="Garamond"/>
    </w:rPr>
  </w:style>
  <w:style w:type="paragraph" w:customStyle="1" w:styleId="Byline">
    <w:name w:val="Byline"/>
    <w:rsid w:val="003C2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8A2"/>
    <w:pPr>
      <w:tabs>
        <w:tab w:val="clear" w:pos="3600"/>
        <w:tab w:val="clear" w:pos="3958"/>
      </w:tabs>
      <w:jc w:val="right"/>
    </w:pPr>
  </w:style>
  <w:style w:type="character" w:styleId="Emphasis">
    <w:name w:val="Emphasis"/>
    <w:basedOn w:val="DefaultParagraphFont"/>
    <w:qFormat/>
    <w:rsid w:val="003C28A2"/>
    <w:rPr>
      <w:i/>
    </w:rPr>
  </w:style>
  <w:style w:type="paragraph" w:styleId="Caption">
    <w:name w:val="caption"/>
    <w:basedOn w:val="BodyText"/>
    <w:next w:val="Normal"/>
    <w:qFormat/>
    <w:rsid w:val="003C28A2"/>
    <w:pPr>
      <w:framePr w:w="2268" w:hSpace="181" w:vSpace="181" w:wrap="around" w:vAnchor="text" w:hAnchor="page" w:x="1135" w:y="285" w:anchorLock="1"/>
    </w:pPr>
    <w:rPr>
      <w:i/>
    </w:rPr>
  </w:style>
  <w:style w:type="paragraph" w:customStyle="1" w:styleId="MiniTOCTitle">
    <w:name w:val="MiniTOCTitle"/>
    <w:basedOn w:val="Heading4"/>
    <w:rsid w:val="003C28A2"/>
    <w:pPr>
      <w:spacing w:before="240"/>
      <w:outlineLvl w:val="9"/>
    </w:pPr>
    <w:rPr>
      <w:noProof/>
      <w:sz w:val="24"/>
    </w:rPr>
  </w:style>
  <w:style w:type="paragraph" w:customStyle="1" w:styleId="MiniTOCItem">
    <w:name w:val="MiniTOCItem"/>
    <w:basedOn w:val="ListBullet"/>
    <w:rsid w:val="003C28A2"/>
    <w:pPr>
      <w:numPr>
        <w:numId w:val="0"/>
      </w:numPr>
      <w:tabs>
        <w:tab w:val="right" w:leader="dot" w:pos="6521"/>
      </w:tabs>
      <w:spacing w:before="0" w:after="0"/>
    </w:pPr>
  </w:style>
  <w:style w:type="paragraph" w:customStyle="1" w:styleId="TOFTitle">
    <w:name w:val="TOFTitle"/>
    <w:basedOn w:val="TOCTitle"/>
    <w:rsid w:val="003C28A2"/>
  </w:style>
  <w:style w:type="paragraph" w:styleId="TableofFigures">
    <w:name w:val="table of figures"/>
    <w:basedOn w:val="Normal"/>
    <w:next w:val="Normal"/>
    <w:semiHidden/>
    <w:rsid w:val="003C28A2"/>
    <w:pPr>
      <w:tabs>
        <w:tab w:val="right" w:leader="dot" w:pos="9072"/>
      </w:tabs>
      <w:ind w:left="970" w:hanging="403"/>
    </w:pPr>
    <w:rPr>
      <w:rFonts w:ascii="Times New Roman" w:hAnsi="Times New Roman"/>
      <w:b/>
    </w:rPr>
  </w:style>
  <w:style w:type="paragraph" w:styleId="ListNumber">
    <w:name w:val="List Number"/>
    <w:basedOn w:val="List"/>
    <w:rsid w:val="003C28A2"/>
    <w:pPr>
      <w:numPr>
        <w:numId w:val="12"/>
      </w:numPr>
    </w:pPr>
  </w:style>
  <w:style w:type="character" w:customStyle="1" w:styleId="WingdingSymbols">
    <w:name w:val="Wingding Symbols"/>
    <w:rsid w:val="003C28A2"/>
    <w:rPr>
      <w:rFonts w:ascii="Wingdings" w:hAnsi="Wingdings"/>
    </w:rPr>
  </w:style>
  <w:style w:type="paragraph" w:customStyle="1" w:styleId="TableHeading">
    <w:name w:val="Table Heading"/>
    <w:basedOn w:val="HeadingBase"/>
    <w:rsid w:val="003C28A2"/>
    <w:pPr>
      <w:keepLines/>
      <w:pBdr>
        <w:bottom w:val="single" w:sz="6" w:space="1" w:color="918585"/>
      </w:pBdr>
      <w:spacing w:before="240"/>
    </w:pPr>
  </w:style>
  <w:style w:type="character" w:customStyle="1" w:styleId="HotSpot">
    <w:name w:val="HotSpot"/>
    <w:rsid w:val="003C28A2"/>
    <w:rPr>
      <w:color w:val="0033CC"/>
      <w:u w:val="none"/>
    </w:rPr>
  </w:style>
  <w:style w:type="paragraph" w:customStyle="1" w:styleId="BodyTextRight">
    <w:name w:val="Body Text Right"/>
    <w:basedOn w:val="BodyText"/>
    <w:rsid w:val="003C28A2"/>
    <w:pPr>
      <w:spacing w:before="0" w:after="0"/>
      <w:jc w:val="right"/>
    </w:pPr>
  </w:style>
  <w:style w:type="paragraph" w:styleId="Index3">
    <w:name w:val="index 3"/>
    <w:basedOn w:val="ListNumber2"/>
    <w:next w:val="Normal"/>
    <w:semiHidden/>
    <w:rsid w:val="003C28A2"/>
    <w:pPr>
      <w:numPr>
        <w:numId w:val="0"/>
      </w:numPr>
      <w:tabs>
        <w:tab w:val="right" w:leader="dot" w:pos="4176"/>
      </w:tabs>
    </w:pPr>
  </w:style>
  <w:style w:type="paragraph" w:styleId="ListNumber2">
    <w:name w:val="List Number 2"/>
    <w:basedOn w:val="List2"/>
    <w:rsid w:val="003C28A2"/>
    <w:pPr>
      <w:numPr>
        <w:numId w:val="11"/>
      </w:numPr>
      <w:tabs>
        <w:tab w:val="clear" w:pos="1060"/>
      </w:tabs>
    </w:pPr>
  </w:style>
  <w:style w:type="paragraph" w:customStyle="1" w:styleId="MarginNote">
    <w:name w:val="Margin Note"/>
    <w:basedOn w:val="BodyText"/>
    <w:rsid w:val="003C2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8A2"/>
    <w:rPr>
      <w:sz w:val="32"/>
    </w:rPr>
  </w:style>
  <w:style w:type="paragraph" w:customStyle="1" w:styleId="HeadingProcedure">
    <w:name w:val="Heading Procedure"/>
    <w:basedOn w:val="HeadingBase"/>
    <w:next w:val="Normal"/>
    <w:rsid w:val="003C28A2"/>
    <w:pPr>
      <w:tabs>
        <w:tab w:val="left" w:pos="0"/>
      </w:tabs>
      <w:spacing w:before="120" w:after="60"/>
    </w:pPr>
    <w:rPr>
      <w:i/>
      <w:color w:val="918585"/>
      <w:sz w:val="22"/>
    </w:rPr>
  </w:style>
  <w:style w:type="paragraph" w:customStyle="1" w:styleId="TableBodyText">
    <w:name w:val="Table Body Text"/>
    <w:basedOn w:val="BodyText"/>
    <w:rsid w:val="003C28A2"/>
    <w:pPr>
      <w:spacing w:before="60" w:after="60"/>
    </w:pPr>
  </w:style>
  <w:style w:type="paragraph" w:styleId="ListContinue">
    <w:name w:val="List Continue"/>
    <w:basedOn w:val="List"/>
    <w:rsid w:val="003C28A2"/>
    <w:pPr>
      <w:ind w:firstLine="0"/>
    </w:pPr>
  </w:style>
  <w:style w:type="paragraph" w:customStyle="1" w:styleId="ListNote">
    <w:name w:val="List Note"/>
    <w:basedOn w:val="List"/>
    <w:rsid w:val="003C28A2"/>
    <w:pPr>
      <w:pBdr>
        <w:top w:val="single" w:sz="6" w:space="2" w:color="918585"/>
        <w:bottom w:val="single" w:sz="6" w:space="2" w:color="918585"/>
      </w:pBdr>
      <w:tabs>
        <w:tab w:val="left" w:pos="1021"/>
      </w:tabs>
      <w:ind w:firstLine="0"/>
    </w:pPr>
  </w:style>
  <w:style w:type="paragraph" w:customStyle="1" w:styleId="Warning">
    <w:name w:val="Warning"/>
    <w:basedOn w:val="BodyText"/>
    <w:rsid w:val="003C28A2"/>
    <w:pPr>
      <w:shd w:val="clear" w:color="auto" w:fill="D9D9D9"/>
      <w:tabs>
        <w:tab w:val="left" w:pos="992"/>
      </w:tabs>
      <w:ind w:left="119" w:right="119"/>
    </w:pPr>
    <w:rPr>
      <w:sz w:val="20"/>
    </w:rPr>
  </w:style>
  <w:style w:type="paragraph" w:customStyle="1" w:styleId="MarginIcons">
    <w:name w:val="Margin Icons"/>
    <w:basedOn w:val="BodyText"/>
    <w:rsid w:val="003C2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8A2"/>
    <w:rPr>
      <w:rFonts w:ascii="Courier New" w:hAnsi="Courier New"/>
    </w:rPr>
  </w:style>
  <w:style w:type="paragraph" w:customStyle="1" w:styleId="NoteBullet">
    <w:name w:val="Note Bullet"/>
    <w:basedOn w:val="Note"/>
    <w:rsid w:val="003C28A2"/>
    <w:pPr>
      <w:tabs>
        <w:tab w:val="clear" w:pos="680"/>
      </w:tabs>
      <w:spacing w:before="60" w:after="60"/>
    </w:pPr>
  </w:style>
  <w:style w:type="paragraph" w:customStyle="1" w:styleId="SubHeading2">
    <w:name w:val="SubHeading2"/>
    <w:basedOn w:val="HeadingBase"/>
    <w:rsid w:val="003C28A2"/>
    <w:pPr>
      <w:spacing w:before="240" w:after="60"/>
    </w:pPr>
    <w:rPr>
      <w:sz w:val="20"/>
    </w:rPr>
  </w:style>
  <w:style w:type="paragraph" w:customStyle="1" w:styleId="SubHeading1">
    <w:name w:val="SubHeading1"/>
    <w:basedOn w:val="HeadingBase"/>
    <w:rsid w:val="003C28A2"/>
    <w:pPr>
      <w:spacing w:before="240" w:after="60"/>
    </w:pPr>
    <w:rPr>
      <w:color w:val="918585"/>
      <w:sz w:val="22"/>
    </w:rPr>
  </w:style>
  <w:style w:type="paragraph" w:customStyle="1" w:styleId="SideHeading">
    <w:name w:val="Side Heading"/>
    <w:basedOn w:val="HeadingBase"/>
    <w:rsid w:val="003C2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8A2"/>
    <w:pPr>
      <w:numPr>
        <w:numId w:val="13"/>
      </w:numPr>
    </w:pPr>
  </w:style>
  <w:style w:type="paragraph" w:styleId="PlainText">
    <w:name w:val="Plain Text"/>
    <w:basedOn w:val="Normal"/>
    <w:link w:val="PlainTextChar"/>
    <w:rsid w:val="003C28A2"/>
    <w:rPr>
      <w:sz w:val="20"/>
    </w:rPr>
  </w:style>
  <w:style w:type="character" w:customStyle="1" w:styleId="PlainTextChar">
    <w:name w:val="Plain Text Char"/>
    <w:basedOn w:val="DefaultParagraphFont"/>
    <w:link w:val="PlainText"/>
    <w:rsid w:val="003C28A2"/>
    <w:rPr>
      <w:rFonts w:ascii="Courier New" w:eastAsia="Times New Roman" w:hAnsi="Courier New" w:cs="Times New Roman"/>
      <w:sz w:val="20"/>
      <w:szCs w:val="20"/>
      <w:lang w:eastAsia="en-US"/>
    </w:rPr>
  </w:style>
  <w:style w:type="character" w:customStyle="1" w:styleId="MenuOption">
    <w:name w:val="Menu Option"/>
    <w:basedOn w:val="DefaultParagraphFont"/>
    <w:rsid w:val="003C28A2"/>
    <w:rPr>
      <w:b/>
      <w:smallCaps/>
    </w:rPr>
  </w:style>
  <w:style w:type="paragraph" w:customStyle="1" w:styleId="TableListNumber">
    <w:name w:val="Table List Number"/>
    <w:basedOn w:val="ListNumber"/>
    <w:rsid w:val="003C28A2"/>
    <w:pPr>
      <w:numPr>
        <w:numId w:val="0"/>
      </w:numPr>
    </w:pPr>
  </w:style>
  <w:style w:type="paragraph" w:styleId="TOC4">
    <w:name w:val="toc 4"/>
    <w:basedOn w:val="TOCBase"/>
    <w:next w:val="Normal"/>
    <w:semiHidden/>
    <w:rsid w:val="003C28A2"/>
    <w:pPr>
      <w:tabs>
        <w:tab w:val="right" w:leader="dot" w:pos="9071"/>
      </w:tabs>
      <w:ind w:left="1701"/>
    </w:pPr>
  </w:style>
  <w:style w:type="paragraph" w:customStyle="1" w:styleId="ListAlpha">
    <w:name w:val="List Alpha"/>
    <w:basedOn w:val="List"/>
    <w:rsid w:val="003C28A2"/>
    <w:pPr>
      <w:numPr>
        <w:numId w:val="10"/>
      </w:numPr>
    </w:pPr>
  </w:style>
  <w:style w:type="paragraph" w:customStyle="1" w:styleId="ListAlpha2">
    <w:name w:val="List Alpha 2"/>
    <w:basedOn w:val="List2"/>
    <w:rsid w:val="003C28A2"/>
    <w:pPr>
      <w:numPr>
        <w:numId w:val="9"/>
      </w:numPr>
    </w:pPr>
  </w:style>
  <w:style w:type="paragraph" w:styleId="List3">
    <w:name w:val="List 3"/>
    <w:basedOn w:val="BodyText"/>
    <w:rsid w:val="003C28A2"/>
    <w:pPr>
      <w:tabs>
        <w:tab w:val="left" w:pos="1021"/>
      </w:tabs>
      <w:spacing w:before="60" w:after="60"/>
      <w:ind w:left="1020" w:hanging="340"/>
    </w:pPr>
  </w:style>
  <w:style w:type="paragraph" w:styleId="List4">
    <w:name w:val="List 4"/>
    <w:basedOn w:val="BodyText"/>
    <w:rsid w:val="003C28A2"/>
    <w:pPr>
      <w:tabs>
        <w:tab w:val="left" w:pos="1361"/>
      </w:tabs>
      <w:spacing w:before="60" w:after="60"/>
      <w:ind w:left="1361" w:hanging="340"/>
    </w:pPr>
  </w:style>
  <w:style w:type="paragraph" w:styleId="List5">
    <w:name w:val="List 5"/>
    <w:basedOn w:val="BodyText"/>
    <w:rsid w:val="003C28A2"/>
    <w:pPr>
      <w:tabs>
        <w:tab w:val="left" w:pos="1701"/>
      </w:tabs>
      <w:spacing w:before="60" w:after="60"/>
      <w:ind w:left="1701" w:hanging="340"/>
    </w:pPr>
  </w:style>
  <w:style w:type="paragraph" w:styleId="ListBullet4">
    <w:name w:val="List Bullet 4"/>
    <w:basedOn w:val="List4"/>
    <w:rsid w:val="003C28A2"/>
    <w:pPr>
      <w:numPr>
        <w:numId w:val="4"/>
      </w:numPr>
    </w:pPr>
  </w:style>
  <w:style w:type="paragraph" w:styleId="ListBullet5">
    <w:name w:val="List Bullet 5"/>
    <w:basedOn w:val="List5"/>
    <w:rsid w:val="003C28A2"/>
    <w:pPr>
      <w:numPr>
        <w:numId w:val="5"/>
      </w:numPr>
    </w:pPr>
  </w:style>
  <w:style w:type="paragraph" w:styleId="ListContinue2">
    <w:name w:val="List Continue 2"/>
    <w:basedOn w:val="List2"/>
    <w:rsid w:val="003C28A2"/>
    <w:pPr>
      <w:ind w:firstLine="0"/>
    </w:pPr>
  </w:style>
  <w:style w:type="paragraph" w:styleId="ListContinue3">
    <w:name w:val="List Continue 3"/>
    <w:basedOn w:val="List3"/>
    <w:rsid w:val="003C28A2"/>
    <w:pPr>
      <w:ind w:left="1021" w:firstLine="0"/>
    </w:pPr>
  </w:style>
  <w:style w:type="paragraph" w:styleId="ListContinue4">
    <w:name w:val="List Continue 4"/>
    <w:basedOn w:val="List4"/>
    <w:rsid w:val="003C28A2"/>
    <w:pPr>
      <w:ind w:firstLine="0"/>
    </w:pPr>
  </w:style>
  <w:style w:type="paragraph" w:styleId="ListContinue5">
    <w:name w:val="List Continue 5"/>
    <w:basedOn w:val="List5"/>
    <w:rsid w:val="003C28A2"/>
    <w:pPr>
      <w:ind w:firstLine="0"/>
    </w:pPr>
  </w:style>
  <w:style w:type="paragraph" w:styleId="ListNumber3">
    <w:name w:val="List Number 3"/>
    <w:basedOn w:val="List3"/>
    <w:rsid w:val="003C28A2"/>
    <w:pPr>
      <w:numPr>
        <w:numId w:val="6"/>
      </w:numPr>
    </w:pPr>
  </w:style>
  <w:style w:type="paragraph" w:styleId="ListNumber4">
    <w:name w:val="List Number 4"/>
    <w:basedOn w:val="List4"/>
    <w:rsid w:val="003C28A2"/>
    <w:pPr>
      <w:numPr>
        <w:numId w:val="7"/>
      </w:numPr>
    </w:pPr>
  </w:style>
  <w:style w:type="paragraph" w:styleId="ListNumber5">
    <w:name w:val="List Number 5"/>
    <w:basedOn w:val="List5"/>
    <w:rsid w:val="003C28A2"/>
    <w:pPr>
      <w:numPr>
        <w:numId w:val="8"/>
      </w:numPr>
    </w:pPr>
  </w:style>
  <w:style w:type="paragraph" w:styleId="BlockText">
    <w:name w:val="Block Text"/>
    <w:basedOn w:val="Normal"/>
    <w:rsid w:val="003C28A2"/>
    <w:pPr>
      <w:spacing w:after="120"/>
      <w:ind w:left="1440" w:right="1440"/>
    </w:pPr>
  </w:style>
  <w:style w:type="character" w:customStyle="1" w:styleId="Subscript">
    <w:name w:val="Subscript"/>
    <w:basedOn w:val="DefaultParagraphFont"/>
    <w:rsid w:val="003C28A2"/>
    <w:rPr>
      <w:sz w:val="16"/>
      <w:vertAlign w:val="subscript"/>
    </w:rPr>
  </w:style>
  <w:style w:type="character" w:customStyle="1" w:styleId="Superscript">
    <w:name w:val="Superscript"/>
    <w:basedOn w:val="DefaultParagraphFont"/>
    <w:rsid w:val="003C28A2"/>
    <w:rPr>
      <w:sz w:val="16"/>
      <w:vertAlign w:val="superscript"/>
    </w:rPr>
  </w:style>
  <w:style w:type="character" w:customStyle="1" w:styleId="Symbols">
    <w:name w:val="Symbols"/>
    <w:basedOn w:val="DefaultParagraphFont"/>
    <w:rsid w:val="003C28A2"/>
    <w:rPr>
      <w:rFonts w:ascii="Symbol" w:hAnsi="Symbol"/>
    </w:rPr>
  </w:style>
  <w:style w:type="character" w:customStyle="1" w:styleId="MenuOptions">
    <w:name w:val="Menu Options"/>
    <w:basedOn w:val="DefaultParagraphFont"/>
    <w:rsid w:val="003C28A2"/>
    <w:rPr>
      <w:rFonts w:ascii="Arial Narrow" w:hAnsi="Arial Narrow"/>
      <w:smallCaps/>
    </w:rPr>
  </w:style>
  <w:style w:type="character" w:customStyle="1" w:styleId="Buttons">
    <w:name w:val="Buttons"/>
    <w:basedOn w:val="DefaultParagraphFont"/>
    <w:rsid w:val="003C28A2"/>
    <w:rPr>
      <w:b/>
    </w:rPr>
  </w:style>
  <w:style w:type="character" w:customStyle="1" w:styleId="Underlined">
    <w:name w:val="Underlined"/>
    <w:basedOn w:val="DefaultParagraphFont"/>
    <w:rsid w:val="003C28A2"/>
    <w:rPr>
      <w:u w:val="single"/>
    </w:rPr>
  </w:style>
  <w:style w:type="paragraph" w:customStyle="1" w:styleId="TableBodyTextRight">
    <w:name w:val="Table Body Text Right"/>
    <w:basedOn w:val="TableBodyText"/>
    <w:rsid w:val="003C28A2"/>
    <w:pPr>
      <w:widowControl w:val="0"/>
      <w:autoSpaceDE w:val="0"/>
      <w:autoSpaceDN w:val="0"/>
      <w:adjustRightInd w:val="0"/>
      <w:jc w:val="right"/>
    </w:pPr>
    <w:rPr>
      <w:rFonts w:cs="Arial"/>
      <w:szCs w:val="18"/>
    </w:rPr>
  </w:style>
  <w:style w:type="paragraph" w:customStyle="1" w:styleId="CopyrightText">
    <w:name w:val="Copyright Text"/>
    <w:basedOn w:val="BodyText"/>
    <w:rsid w:val="003C28A2"/>
    <w:rPr>
      <w:sz w:val="18"/>
    </w:rPr>
  </w:style>
  <w:style w:type="paragraph" w:customStyle="1" w:styleId="BodySmallRight">
    <w:name w:val="Body Small Right"/>
    <w:basedOn w:val="BodyTextRight"/>
    <w:rsid w:val="003C28A2"/>
    <w:rPr>
      <w:sz w:val="18"/>
      <w:szCs w:val="18"/>
    </w:rPr>
  </w:style>
  <w:style w:type="paragraph" w:customStyle="1" w:styleId="MarginEdition">
    <w:name w:val="Margin Edition"/>
    <w:basedOn w:val="MarginNote"/>
    <w:rsid w:val="003C28A2"/>
    <w:pPr>
      <w:spacing w:before="0" w:after="0"/>
    </w:pPr>
    <w:rPr>
      <w:rFonts w:ascii="Times New Roman" w:hAnsi="Times New Roman"/>
      <w:color w:val="999999"/>
    </w:rPr>
  </w:style>
  <w:style w:type="paragraph" w:customStyle="1" w:styleId="Spacer">
    <w:name w:val="Spacer"/>
    <w:basedOn w:val="Normal"/>
    <w:rsid w:val="003C28A2"/>
    <w:rPr>
      <w:sz w:val="2"/>
      <w:szCs w:val="2"/>
    </w:rPr>
  </w:style>
  <w:style w:type="character" w:customStyle="1" w:styleId="Small">
    <w:name w:val="Small"/>
    <w:basedOn w:val="DefaultParagraphFont"/>
    <w:rsid w:val="003C28A2"/>
    <w:rPr>
      <w:sz w:val="16"/>
    </w:rPr>
  </w:style>
  <w:style w:type="paragraph" w:customStyle="1" w:styleId="WideTable">
    <w:name w:val="Wide Table"/>
    <w:basedOn w:val="Normal"/>
    <w:rsid w:val="003C28A2"/>
    <w:pPr>
      <w:ind w:left="-1418"/>
    </w:pPr>
    <w:rPr>
      <w:sz w:val="2"/>
      <w:szCs w:val="2"/>
    </w:rPr>
  </w:style>
  <w:style w:type="character" w:styleId="PageNumber">
    <w:name w:val="page number"/>
    <w:basedOn w:val="DefaultParagraphFont"/>
    <w:rsid w:val="003C28A2"/>
  </w:style>
  <w:style w:type="paragraph" w:styleId="Quote">
    <w:name w:val="Quote"/>
    <w:basedOn w:val="Heading1"/>
    <w:link w:val="QuoteChar"/>
    <w:qFormat/>
    <w:rsid w:val="003C28A2"/>
    <w:rPr>
      <w:b w:val="0"/>
      <w:sz w:val="72"/>
      <w:szCs w:val="72"/>
      <w:lang w:val="en-NZ"/>
    </w:rPr>
  </w:style>
  <w:style w:type="character" w:customStyle="1" w:styleId="QuoteChar">
    <w:name w:val="Quote Char"/>
    <w:basedOn w:val="DefaultParagraphFont"/>
    <w:link w:val="Quote"/>
    <w:rsid w:val="003C2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8A2"/>
    <w:pPr>
      <w:pageBreakBefore/>
    </w:pPr>
  </w:style>
  <w:style w:type="paragraph" w:customStyle="1" w:styleId="Border">
    <w:name w:val="Border"/>
    <w:basedOn w:val="Normal"/>
    <w:qFormat/>
    <w:rsid w:val="003C2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8A2"/>
    <w:rPr>
      <w:b/>
      <w:bCs/>
      <w:i/>
      <w:iCs/>
      <w:color w:val="auto"/>
    </w:rPr>
  </w:style>
  <w:style w:type="paragraph" w:styleId="IntenseQuote">
    <w:name w:val="Intense Quote"/>
    <w:basedOn w:val="Normal"/>
    <w:next w:val="Normal"/>
    <w:link w:val="IntenseQuoteChar"/>
    <w:uiPriority w:val="30"/>
    <w:qFormat/>
    <w:rsid w:val="003C2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8A2"/>
    <w:rPr>
      <w:smallCaps/>
      <w:color w:val="auto"/>
      <w:u w:val="single"/>
    </w:rPr>
  </w:style>
  <w:style w:type="character" w:styleId="IntenseReference">
    <w:name w:val="Intense Reference"/>
    <w:basedOn w:val="DefaultParagraphFont"/>
    <w:uiPriority w:val="32"/>
    <w:qFormat/>
    <w:rsid w:val="003C28A2"/>
    <w:rPr>
      <w:b/>
      <w:bCs/>
      <w:smallCaps/>
      <w:color w:val="auto"/>
      <w:spacing w:val="5"/>
      <w:u w:val="single"/>
    </w:rPr>
  </w:style>
  <w:style w:type="paragraph" w:customStyle="1" w:styleId="2ColumnHeading">
    <w:name w:val="2Column Heading"/>
    <w:basedOn w:val="BodyText"/>
    <w:qFormat/>
    <w:rsid w:val="003C28A2"/>
    <w:pPr>
      <w:spacing w:after="60"/>
      <w:ind w:left="-2268"/>
    </w:pPr>
    <w:rPr>
      <w:b/>
    </w:rPr>
  </w:style>
  <w:style w:type="paragraph" w:customStyle="1" w:styleId="Heading1TOC">
    <w:name w:val="Heading1 TOC"/>
    <w:basedOn w:val="Normal"/>
    <w:qFormat/>
    <w:rsid w:val="003C28A2"/>
    <w:pPr>
      <w:spacing w:before="240" w:after="120"/>
    </w:pPr>
    <w:rPr>
      <w:rFonts w:ascii="Times New Roman" w:hAnsi="Times New Roman"/>
      <w:b/>
      <w:sz w:val="32"/>
    </w:rPr>
  </w:style>
  <w:style w:type="paragraph" w:customStyle="1" w:styleId="Heading2TOC">
    <w:name w:val="Heading2 TOC"/>
    <w:basedOn w:val="Normal"/>
    <w:qFormat/>
    <w:rsid w:val="003C28A2"/>
    <w:pPr>
      <w:spacing w:before="240" w:after="60"/>
    </w:pPr>
    <w:rPr>
      <w:rFonts w:ascii="Times New Roman" w:hAnsi="Times New Roman"/>
      <w:b/>
      <w:sz w:val="28"/>
    </w:rPr>
  </w:style>
  <w:style w:type="character" w:customStyle="1" w:styleId="Underline">
    <w:name w:val="Underline"/>
    <w:basedOn w:val="DefaultParagraphFont"/>
    <w:qFormat/>
    <w:rsid w:val="003C28A2"/>
    <w:rPr>
      <w:u w:val="single"/>
    </w:rPr>
  </w:style>
  <w:style w:type="paragraph" w:styleId="BalloonText">
    <w:name w:val="Balloon Text"/>
    <w:basedOn w:val="Normal"/>
    <w:link w:val="BalloonTextChar"/>
    <w:rsid w:val="003C28A2"/>
    <w:rPr>
      <w:rFonts w:ascii="Tahoma" w:hAnsi="Tahoma" w:cs="Tahoma"/>
      <w:sz w:val="16"/>
      <w:szCs w:val="16"/>
    </w:rPr>
  </w:style>
  <w:style w:type="character" w:customStyle="1" w:styleId="BalloonTextChar">
    <w:name w:val="Balloon Text Char"/>
    <w:basedOn w:val="DefaultParagraphFont"/>
    <w:link w:val="BalloonText"/>
    <w:rsid w:val="003C2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8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8A2"/>
    <w:rPr>
      <w:b/>
      <w:color w:val="660033"/>
      <w:spacing w:val="0"/>
    </w:rPr>
  </w:style>
  <w:style w:type="paragraph" w:customStyle="1" w:styleId="Nameditemlist">
    <w:name w:val="Named item list"/>
    <w:basedOn w:val="BodyText"/>
    <w:qFormat/>
    <w:rsid w:val="003C28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1474</Words>
  <Characters>9373</Characters>
  <Application>Microsoft Office Word</Application>
  <DocSecurity>0</DocSecurity>
  <Lines>356</Lines>
  <Paragraphs>202</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ICTTEN4215A Install and configure internet protocol TV in a service provider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2012-10-05T17:39:00Z</dcterms:created>
  <dcterms:modified xsi:type="dcterms:W3CDTF">2012-10-05T17:39:00Z</dcterms:modified>
</cp:coreProperties>
</file>