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516" w:rsidP="00222516">
      <w:pPr>
        <w:pStyle w:val="Title"/>
      </w:pPr>
      <w:bookmarkStart w:id="0" w:name="_GoBack"/>
      <w:bookmarkEnd w:id="0"/>
      <w:r>
        <w:fldChar w:fldCharType="begin"/>
      </w:r>
      <w:r>
        <w:instrText xml:space="preserve"> TITLE   \* MERGEFORMAT </w:instrText>
      </w:r>
      <w:r>
        <w:fldChar w:fldCharType="separate"/>
      </w:r>
      <w:r>
        <w:t>ICTTCR3192A Protect against electromagnetic radiation and system hazards when working on telecommunications radio sites</w:t>
      </w:r>
      <w:r>
        <w:fldChar w:fldCharType="end"/>
      </w:r>
    </w:p>
    <w:p w:rsidR="00222516" w:rsidP="00222516">
      <w:pPr>
        <w:pStyle w:val="Version"/>
        <w:sectPr w:rsidSect="002A03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39A" w:rsidP="002A039A">
      <w:pPr>
        <w:pStyle w:val="SuperHeading"/>
      </w:pPr>
      <w:r w:rsidRPr="002A039A">
        <w:t>ICTTCR3192A Protect against electromagnetic radiation and system hazards when working on telecommunications radio sites</w:t>
      </w:r>
    </w:p>
    <w:p w:rsidR="00000000" w:rsidRPr="002A039A" w:rsidP="002A039A">
      <w:pPr>
        <w:pStyle w:val="Heading1"/>
      </w:pPr>
      <w:bookmarkStart w:id="1" w:name="O_271871"/>
      <w:bookmarkEnd w:id="1"/>
      <w:r w:rsidRPr="002A039A">
        <w:t>Modification History</w:t>
      </w:r>
    </w:p>
    <w:p w:rsidR="00000000" w:rsidRPr="002A039A" w:rsidP="002A039A">
      <w:pPr>
        <w:pStyle w:val="BodyText"/>
      </w:pPr>
      <w:r w:rsidRPr="002A039A">
        <w:t>Not Appli</w:t>
      </w:r>
      <w:r w:rsidRPr="002A039A">
        <w:t>cable</w:t>
      </w:r>
    </w:p>
    <w:p w:rsidR="00000000" w:rsidRPr="002A039A" w:rsidP="002A039A">
      <w:pPr>
        <w:pStyle w:val="AllowPageBreak"/>
      </w:pPr>
    </w:p>
    <w:p w:rsidR="00000000" w:rsidRPr="002A039A" w:rsidP="002A039A">
      <w:pPr>
        <w:pStyle w:val="Heading1"/>
      </w:pPr>
      <w:bookmarkStart w:id="2" w:name="O_209536"/>
      <w:bookmarkEnd w:id="2"/>
      <w:r w:rsidRPr="002A039A">
        <w:t>Unit Descriptor</w:t>
      </w:r>
    </w:p>
    <w:tbl>
      <w:tblPr>
        <w:tblW w:w="0" w:type="auto"/>
        <w:tblLayout w:type="fixed"/>
        <w:tblCellMar>
          <w:left w:w="62" w:type="dxa"/>
          <w:right w:w="62" w:type="dxa"/>
        </w:tblCellMar>
        <w:tblLook w:val="0000"/>
      </w:tblPr>
      <w:tblGrid>
        <w:gridCol w:w="2602"/>
        <w:gridCol w:w="5920"/>
      </w:tblGrid>
      <w:tr w:rsidTr="00222516">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Unit descriptor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t>This unit describes the performance outcomes, skills and knowledge required to protect personnel against electromagnetic radiation (EMR) and system hazards when working on telecommunications radio site</w:t>
            </w:r>
            <w:r w:rsidRPr="002A039A">
              <w:t>s.</w:t>
            </w:r>
          </w:p>
          <w:p w:rsidR="00000000" w:rsidRPr="002A039A" w:rsidP="002A039A">
            <w:pPr>
              <w:pStyle w:val="BodyText"/>
            </w:pPr>
          </w:p>
          <w:p w:rsidR="00000000" w:rsidRPr="002A039A" w:rsidP="002A039A">
            <w:pPr>
              <w:pStyle w:val="BodyText"/>
            </w:pPr>
            <w:r w:rsidRPr="002A039A">
              <w:t xml:space="preserve">A licensed rigger is required for the installation of some rigging equipment. </w:t>
            </w:r>
          </w:p>
          <w:p w:rsidR="00000000" w:rsidRPr="002A039A" w:rsidP="002A039A">
            <w:pPr>
              <w:pStyle w:val="BodyText"/>
            </w:pPr>
          </w:p>
          <w:p w:rsidR="00000000" w:rsidRPr="002A039A" w:rsidP="002A039A">
            <w:pPr>
              <w:pStyle w:val="BodyText"/>
            </w:pPr>
            <w:r w:rsidRPr="002A039A">
              <w:t xml:space="preserve">The National Standard for Licensing Persons Performing High Risk Work applies to persons performing dogging and rigging work. </w:t>
            </w:r>
          </w:p>
          <w:p w:rsidR="00000000" w:rsidRPr="002A039A" w:rsidP="002A039A">
            <w:pPr>
              <w:pStyle w:val="BodyText"/>
            </w:pPr>
          </w:p>
          <w:p w:rsidR="00000000" w:rsidRPr="002A039A" w:rsidP="002A039A">
            <w:pPr>
              <w:pStyle w:val="BodyText"/>
            </w:pPr>
            <w:r w:rsidRPr="002A039A">
              <w:t>Completion of the following units is require</w:t>
            </w:r>
            <w:r w:rsidRPr="002A039A">
              <w:t>d for certification at either basic, intermediate or advanced levels.</w:t>
            </w:r>
          </w:p>
          <w:p w:rsidR="00000000" w:rsidRPr="002A039A" w:rsidP="002A039A">
            <w:pPr>
              <w:pStyle w:val="BodyText"/>
            </w:pPr>
            <w:r w:rsidRPr="002A039A">
              <w:t>CPCCLDG3001A Licence to perform dogging</w:t>
            </w:r>
          </w:p>
          <w:p w:rsidR="00000000" w:rsidRPr="002A039A" w:rsidP="002A039A">
            <w:pPr>
              <w:pStyle w:val="BodyText"/>
            </w:pPr>
            <w:r w:rsidRPr="002A039A">
              <w:t>CPCCLRG3001A Licence to perform rigging basic level</w:t>
            </w:r>
          </w:p>
          <w:p w:rsidR="00000000" w:rsidRPr="002A039A" w:rsidP="002A039A">
            <w:pPr>
              <w:pStyle w:val="BodyText"/>
            </w:pPr>
            <w:r w:rsidRPr="002A039A">
              <w:t>CPCCLRG3002A Licence to perform rigging intermediate level</w:t>
            </w:r>
          </w:p>
          <w:p w:rsidR="00000000" w:rsidRPr="002A039A" w:rsidP="002A039A">
            <w:pPr>
              <w:pStyle w:val="BodyText"/>
            </w:pPr>
            <w:r w:rsidRPr="002A039A">
              <w:t>CPCCLRG4001A Licence to perform rigging advanced level.</w:t>
            </w:r>
          </w:p>
          <w:p w:rsidR="00000000" w:rsidRPr="002A039A" w:rsidP="002A039A">
            <w:pPr>
              <w:pStyle w:val="BodyText"/>
            </w:pPr>
          </w:p>
          <w:p w:rsidR="00000000" w:rsidRPr="002A039A" w:rsidP="002A039A">
            <w:pPr>
              <w:pStyle w:val="BodyText"/>
            </w:pPr>
            <w:r w:rsidRPr="002A039A">
              <w:t>If operation of an elevated work platform (EWP) is required, a licence may be required.</w:t>
            </w:r>
          </w:p>
          <w:p w:rsidR="00000000" w:rsidRPr="002A039A" w:rsidP="002A039A">
            <w:pPr>
              <w:pStyle w:val="BodyText"/>
            </w:pPr>
          </w:p>
          <w:p w:rsidR="00000000" w:rsidRPr="002A039A" w:rsidP="002A039A">
            <w:pPr>
              <w:pStyle w:val="BodyText"/>
            </w:pPr>
            <w:r w:rsidRPr="002A039A">
              <w:t>Achievement of this unit standard does not imply that the holder is competent to carry out EMR surveys.</w:t>
            </w:r>
          </w:p>
          <w:p w:rsidR="00000000" w:rsidRPr="002A039A" w:rsidP="002A039A">
            <w:pPr>
              <w:pStyle w:val="BodyText"/>
            </w:pPr>
          </w:p>
          <w:p w:rsidR="00000000" w:rsidRPr="002A039A" w:rsidP="002A039A">
            <w:pPr>
              <w:pStyle w:val="BodyText"/>
            </w:pPr>
            <w:r w:rsidRPr="002A039A">
              <w:t>Users</w:t>
            </w:r>
            <w:r w:rsidRPr="002A039A">
              <w:t xml:space="preserve"> should confirm requirements with the relevant federal, state or territory authority.</w:t>
            </w:r>
          </w:p>
        </w:tc>
      </w:tr>
    </w:tbl>
    <w:p w:rsidR="00222516" w:rsidP="002A039A">
      <w:pPr>
        <w:pStyle w:val="BodyText"/>
      </w:pPr>
    </w:p>
    <w:p w:rsidR="00222516" w:rsidP="002A039A">
      <w:pPr>
        <w:pStyle w:val="BodyText"/>
      </w:pPr>
    </w:p>
    <w:p w:rsidR="00000000" w:rsidRPr="002A039A" w:rsidP="002A039A">
      <w:pPr>
        <w:pStyle w:val="Heading1"/>
      </w:pPr>
      <w:bookmarkStart w:id="3" w:name="O_209540"/>
      <w:bookmarkEnd w:id="3"/>
      <w:r w:rsidRPr="002A039A">
        <w:t>Application of the Unit</w:t>
      </w:r>
    </w:p>
    <w:tbl>
      <w:tblPr>
        <w:tblW w:w="0" w:type="auto"/>
        <w:tblLayout w:type="fixed"/>
        <w:tblCellMar>
          <w:left w:w="62" w:type="dxa"/>
          <w:right w:w="62" w:type="dxa"/>
        </w:tblCellMar>
        <w:tblLook w:val="0000"/>
      </w:tblPr>
      <w:tblGrid>
        <w:gridCol w:w="2710"/>
        <w:gridCol w:w="5812"/>
      </w:tblGrid>
      <w:tr w:rsidTr="0022251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Application of the unit</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t>Technical staff who work on telecommunications radio sites apply the skills and knowledge in this unit</w:t>
            </w:r>
            <w:r w:rsidRPr="002A039A">
              <w:t xml:space="preserve">. They may make use rigging plant and equipment, fall arrest, fall </w:t>
            </w:r>
            <w:r w:rsidRPr="002A039A">
              <w:t>guarding and fall constraint and team communications.</w:t>
            </w:r>
          </w:p>
          <w:p w:rsidR="00000000" w:rsidRPr="002A039A" w:rsidP="002A039A">
            <w:pPr>
              <w:pStyle w:val="BodyText"/>
            </w:pPr>
          </w:p>
          <w:p w:rsidR="00000000" w:rsidRPr="002A039A" w:rsidP="002A039A">
            <w:pPr>
              <w:pStyle w:val="BodyText"/>
            </w:pPr>
            <w:r w:rsidRPr="002A039A">
              <w:t>This unit applies to standard telecommunications structures.</w:t>
            </w:r>
          </w:p>
        </w:tc>
      </w:tr>
    </w:tbl>
    <w:p w:rsidR="00222516" w:rsidP="002A039A">
      <w:pPr>
        <w:pStyle w:val="BodyText"/>
      </w:pPr>
    </w:p>
    <w:p w:rsidR="00222516" w:rsidP="002A039A">
      <w:pPr>
        <w:pStyle w:val="BodyText"/>
      </w:pPr>
    </w:p>
    <w:p w:rsidR="00000000" w:rsidRPr="002A039A" w:rsidP="002A039A">
      <w:pPr>
        <w:pStyle w:val="Heading1"/>
      </w:pPr>
      <w:bookmarkStart w:id="4" w:name="O_280131"/>
      <w:bookmarkEnd w:id="4"/>
      <w:r w:rsidRPr="002A039A">
        <w:t>Licensing/Regulatory Information</w:t>
      </w:r>
    </w:p>
    <w:p w:rsidR="00000000" w:rsidRPr="002A039A" w:rsidP="002A039A">
      <w:pPr>
        <w:pStyle w:val="BodyText"/>
      </w:pPr>
      <w:r w:rsidRPr="002A039A">
        <w:t>Refer to Unit Descriptor</w:t>
      </w:r>
    </w:p>
    <w:p w:rsidR="00000000" w:rsidRPr="002A039A" w:rsidP="002A039A">
      <w:pPr>
        <w:pStyle w:val="AllowPageBreak"/>
      </w:pPr>
    </w:p>
    <w:p w:rsidR="00000000" w:rsidRPr="002A039A" w:rsidP="002A039A">
      <w:pPr>
        <w:pStyle w:val="Heading1"/>
      </w:pPr>
      <w:bookmarkStart w:id="5" w:name="O_209538"/>
      <w:bookmarkEnd w:id="5"/>
      <w:r w:rsidRPr="002A039A">
        <w:t>Pre-Requisites</w:t>
      </w:r>
    </w:p>
    <w:tbl>
      <w:tblPr>
        <w:tblW w:w="0" w:type="auto"/>
        <w:tblLayout w:type="fixed"/>
        <w:tblCellMar>
          <w:left w:w="62" w:type="dxa"/>
          <w:right w:w="62" w:type="dxa"/>
        </w:tblCellMar>
        <w:tblLook w:val="0000"/>
      </w:tblPr>
      <w:tblGrid>
        <w:gridCol w:w="2738"/>
        <w:gridCol w:w="1449"/>
        <w:gridCol w:w="4335"/>
      </w:tblGrid>
      <w:tr w:rsidTr="00222516">
        <w:tblPrEx>
          <w:tblW w:w="0" w:type="auto"/>
          <w:tblLayout w:type="fixed"/>
          <w:tblCellMar>
            <w:left w:w="62" w:type="dxa"/>
            <w:right w:w="62" w:type="dxa"/>
          </w:tblCellMar>
          <w:tblLook w:val="0000"/>
        </w:tblPrEx>
        <w:trPr>
          <w:tblHeader/>
        </w:trPr>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Prerequisite units</w:t>
            </w:r>
          </w:p>
        </w:tc>
        <w:tc>
          <w:tcPr>
            <w:tcW w:w="57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p>
        </w:tc>
      </w:tr>
      <w:tr w:rsidTr="00222516">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p>
        </w:tc>
      </w:tr>
      <w:tr w:rsidTr="00222516">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p>
        </w:tc>
      </w:tr>
    </w:tbl>
    <w:p w:rsidR="00222516" w:rsidP="002A039A">
      <w:pPr>
        <w:pStyle w:val="BodyText"/>
      </w:pPr>
    </w:p>
    <w:p w:rsidR="00222516" w:rsidP="002A039A">
      <w:pPr>
        <w:pStyle w:val="BodyText"/>
      </w:pPr>
    </w:p>
    <w:p w:rsidR="00000000" w:rsidRPr="002A039A" w:rsidP="002A039A">
      <w:pPr>
        <w:pStyle w:val="Heading1"/>
      </w:pPr>
      <w:bookmarkStart w:id="6" w:name="O_209537"/>
      <w:bookmarkEnd w:id="6"/>
      <w:r w:rsidRPr="002A039A">
        <w:t>Employability Skills Information</w:t>
      </w:r>
    </w:p>
    <w:tbl>
      <w:tblPr>
        <w:tblW w:w="0" w:type="auto"/>
        <w:tblLayout w:type="fixed"/>
        <w:tblCellMar>
          <w:left w:w="62" w:type="dxa"/>
          <w:right w:w="62" w:type="dxa"/>
        </w:tblCellMar>
        <w:tblLook w:val="0000"/>
      </w:tblPr>
      <w:tblGrid>
        <w:gridCol w:w="2777"/>
        <w:gridCol w:w="5745"/>
      </w:tblGrid>
      <w:tr w:rsidTr="0022251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t>This unit contains employability skills.</w:t>
            </w:r>
          </w:p>
        </w:tc>
      </w:tr>
    </w:tbl>
    <w:p w:rsidR="00222516" w:rsidP="002A039A">
      <w:pPr>
        <w:pStyle w:val="BodyText"/>
      </w:pPr>
    </w:p>
    <w:p w:rsidR="00222516" w:rsidP="002A039A">
      <w:pPr>
        <w:pStyle w:val="BodyText"/>
      </w:pPr>
    </w:p>
    <w:p w:rsidR="00000000" w:rsidRPr="002A039A" w:rsidP="002A039A">
      <w:pPr>
        <w:pStyle w:val="Heading1"/>
      </w:pPr>
      <w:bookmarkStart w:id="7" w:name="O_289917"/>
      <w:bookmarkEnd w:id="7"/>
      <w:r w:rsidRPr="002A039A">
        <w:t>Elements and Performance Criteria Pre-Content</w:t>
      </w:r>
    </w:p>
    <w:tbl>
      <w:tblPr>
        <w:tblW w:w="0" w:type="auto"/>
        <w:tblLayout w:type="fixed"/>
        <w:tblCellMar>
          <w:left w:w="62" w:type="dxa"/>
          <w:right w:w="62" w:type="dxa"/>
        </w:tblCellMar>
        <w:tblLook w:val="0000"/>
      </w:tblPr>
      <w:tblGrid>
        <w:gridCol w:w="2663"/>
        <w:gridCol w:w="5859"/>
      </w:tblGrid>
      <w:tr w:rsidTr="00222516">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t>Elements describe the essential outcomes of a unit of competency.</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t xml:space="preserve">Performance criteria describe the performance needed to demonstrate achievement of the element. Where bold italicised text is used, further </w:t>
            </w:r>
            <w:r w:rsidRPr="002A039A">
              <w:t>information is detailed in the required skills and knowledge section and the range statement. Assessment of performance is to be consistent with the evidence guide.</w:t>
            </w:r>
          </w:p>
        </w:tc>
      </w:tr>
    </w:tbl>
    <w:p w:rsidR="00000000" w:rsidRPr="002A039A" w:rsidP="002A039A">
      <w:pPr>
        <w:pStyle w:val="BodyText"/>
      </w:pPr>
    </w:p>
    <w:p w:rsidR="00000000" w:rsidRPr="002A039A" w:rsidP="002A039A">
      <w:pPr>
        <w:pStyle w:val="AllowPageBreak"/>
      </w:pPr>
    </w:p>
    <w:p w:rsidR="00000000" w:rsidRPr="002A039A" w:rsidP="002A039A">
      <w:pPr>
        <w:pStyle w:val="Heading1"/>
      </w:pPr>
      <w:bookmarkStart w:id="8" w:name="O_236584"/>
      <w:bookmarkEnd w:id="8"/>
      <w:r w:rsidRPr="002A039A">
        <w:t>Elements and Performance Criteria</w:t>
      </w:r>
    </w:p>
    <w:tbl>
      <w:tblPr>
        <w:tblW w:w="0" w:type="auto"/>
        <w:tblLayout w:type="fixed"/>
        <w:tblCellMar>
          <w:left w:w="62" w:type="dxa"/>
          <w:right w:w="62" w:type="dxa"/>
        </w:tblCellMar>
        <w:tblLook w:val="0000"/>
      </w:tblPr>
      <w:tblGrid>
        <w:gridCol w:w="2663"/>
        <w:gridCol w:w="5859"/>
      </w:tblGrid>
      <w:tr w:rsidTr="00222516">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rPr>
                <w:rStyle w:val="SpecialBold"/>
              </w:rPr>
              <w:t>ELEMENT</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PERFORMANCE CRITERIA</w:t>
            </w:r>
          </w:p>
        </w:tc>
      </w:tr>
      <w:tr w:rsidTr="00222516">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List"/>
              <w:rPr>
                <w:lang w:val="en-NZ"/>
              </w:rPr>
            </w:pPr>
            <w:r w:rsidRPr="002A039A">
              <w:t>1.</w:t>
            </w:r>
            <w:r w:rsidRPr="002A039A">
              <w:tab/>
            </w:r>
            <w:r w:rsidRPr="002A039A">
              <w:t>Prepare for work at a telecommunications site with potential EMR hazards</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List2"/>
            </w:pPr>
            <w:r w:rsidRPr="002A039A">
              <w:t>1.1.</w:t>
            </w:r>
            <w:r w:rsidRPr="002A039A">
              <w:tab/>
              <w:t xml:space="preserve">Prepare for given work using safe working practices and procedures according to the occupational health and safety (OHS) Act and </w:t>
            </w:r>
            <w:r w:rsidRPr="002A039A">
              <w:rPr>
                <w:rStyle w:val="BoldandItalics"/>
              </w:rPr>
              <w:t>relevant legislation</w:t>
            </w:r>
            <w:r w:rsidRPr="002A039A">
              <w:t xml:space="preserve">, </w:t>
            </w:r>
            <w:r w:rsidRPr="002A039A">
              <w:rPr>
                <w:rStyle w:val="BoldandItalics"/>
              </w:rPr>
              <w:t>codes</w:t>
            </w:r>
            <w:r w:rsidRPr="002A039A">
              <w:t xml:space="preserve">, </w:t>
            </w:r>
            <w:r w:rsidRPr="002A039A">
              <w:rPr>
                <w:rStyle w:val="BoldandItalics"/>
              </w:rPr>
              <w:t>regulations and stan</w:t>
            </w:r>
            <w:r w:rsidRPr="002A039A">
              <w:rPr>
                <w:rStyle w:val="BoldandItalics"/>
              </w:rPr>
              <w:t>dards</w:t>
            </w:r>
          </w:p>
          <w:p w:rsidR="00000000" w:rsidRPr="002A039A" w:rsidP="002A039A">
            <w:pPr>
              <w:pStyle w:val="List2"/>
            </w:pPr>
            <w:r w:rsidRPr="002A039A">
              <w:t>1.2.</w:t>
            </w:r>
            <w:r w:rsidRPr="002A039A">
              <w:tab/>
              <w:t xml:space="preserve">Assess </w:t>
            </w:r>
            <w:r w:rsidRPr="002A039A">
              <w:rPr>
                <w:rStyle w:val="BoldandItalics"/>
              </w:rPr>
              <w:t>potential sources of radio frequency</w:t>
            </w:r>
            <w:r w:rsidRPr="002A039A">
              <w:t xml:space="preserve"> (</w:t>
            </w:r>
            <w:r w:rsidRPr="002A039A">
              <w:rPr>
                <w:rStyle w:val="BoldandItalics"/>
              </w:rPr>
              <w:t>RF</w:t>
            </w:r>
            <w:r w:rsidRPr="002A039A">
              <w:t xml:space="preserve">) </w:t>
            </w:r>
            <w:r w:rsidRPr="002A039A">
              <w:rPr>
                <w:rStyle w:val="BoldandItalics"/>
              </w:rPr>
              <w:t>EMR</w:t>
            </w:r>
            <w:r w:rsidRPr="002A039A">
              <w:t xml:space="preserve"> allowing permissible public and occupational EMR exposure limits according to Australian Radiation Protection and Nuclear Safety Agency (ARPANSA)</w:t>
            </w:r>
          </w:p>
          <w:p w:rsidR="00000000" w:rsidRPr="002A039A" w:rsidP="002A039A">
            <w:pPr>
              <w:pStyle w:val="List2"/>
            </w:pPr>
            <w:r w:rsidRPr="002A039A">
              <w:t>1.3.</w:t>
            </w:r>
            <w:r w:rsidRPr="002A039A">
              <w:tab/>
              <w:t xml:space="preserve">Verify </w:t>
            </w:r>
            <w:r w:rsidRPr="002A039A">
              <w:rPr>
                <w:rStyle w:val="BoldandItalics"/>
              </w:rPr>
              <w:t>methods for</w:t>
            </w:r>
            <w:r w:rsidRPr="002A039A">
              <w:t xml:space="preserve"> </w:t>
            </w:r>
            <w:r w:rsidRPr="002A039A">
              <w:rPr>
                <w:rStyle w:val="BoldandItalics"/>
              </w:rPr>
              <w:t>determining EMR levels</w:t>
            </w:r>
            <w:r w:rsidRPr="002A039A">
              <w:t xml:space="preserve"> and strategies for eliminating, minimising, or isolating on-site EMR hazards according to industry practice</w:t>
            </w:r>
          </w:p>
          <w:p w:rsidR="00000000" w:rsidRPr="002A039A" w:rsidP="002A039A">
            <w:pPr>
              <w:pStyle w:val="List2"/>
            </w:pPr>
            <w:r w:rsidRPr="002A039A">
              <w:t>1.4.</w:t>
            </w:r>
            <w:r w:rsidRPr="002A039A">
              <w:tab/>
              <w:t>Confirm work objectives and specifications of equipment to be installed according to design drawings, installation plans, and equipment manufa</w:t>
            </w:r>
            <w:r w:rsidRPr="002A039A">
              <w:t>cturer's specifications</w:t>
            </w:r>
          </w:p>
          <w:p w:rsidR="00000000" w:rsidP="002A039A">
            <w:pPr>
              <w:pStyle w:val="List2"/>
              <w:rPr>
                <w:lang w:val="en-NZ"/>
              </w:rPr>
            </w:pPr>
            <w:r w:rsidRPr="002A039A">
              <w:t>1.5.</w:t>
            </w:r>
            <w:r w:rsidRPr="002A039A">
              <w:tab/>
              <w:t xml:space="preserve">Select equipment and </w:t>
            </w:r>
            <w:r w:rsidRPr="002A039A">
              <w:rPr>
                <w:rStyle w:val="BoldandItalics"/>
              </w:rPr>
              <w:t>personal protective equipment</w:t>
            </w:r>
            <w:r w:rsidRPr="002A039A">
              <w:t xml:space="preserve"> required to support the </w:t>
            </w:r>
            <w:r w:rsidRPr="002A039A">
              <w:rPr>
                <w:rStyle w:val="BoldandItalics"/>
              </w:rPr>
              <w:t>EMR hazard management plan</w:t>
            </w:r>
            <w:r w:rsidRPr="002A039A">
              <w:t xml:space="preserve"> according to company policy</w:t>
            </w:r>
          </w:p>
        </w:tc>
      </w:tr>
      <w:tr w:rsidTr="00222516">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List"/>
              <w:rPr>
                <w:lang w:val="en-NZ"/>
              </w:rPr>
            </w:pPr>
            <w:r w:rsidRPr="002A039A">
              <w:t>2.</w:t>
            </w:r>
            <w:r w:rsidRPr="002A039A">
              <w:tab/>
              <w:t>Plan and carry out the EMR hazard management plan against an on-site situation</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List2"/>
            </w:pPr>
            <w:r w:rsidRPr="002A039A">
              <w:t>2.1.</w:t>
            </w:r>
            <w:r w:rsidRPr="002A039A">
              <w:tab/>
              <w:t>Produce E</w:t>
            </w:r>
            <w:r w:rsidRPr="002A039A">
              <w:t xml:space="preserve">MR hazard management plan according to company policy </w:t>
            </w:r>
          </w:p>
          <w:p w:rsidR="00000000" w:rsidRPr="002A039A" w:rsidP="002A039A">
            <w:pPr>
              <w:pStyle w:val="List2"/>
            </w:pPr>
            <w:r w:rsidRPr="002A039A">
              <w:t>2.2.</w:t>
            </w:r>
            <w:r w:rsidRPr="002A039A">
              <w:tab/>
              <w:t>Consult with client to confirm EMR hazard management plan and update if required</w:t>
            </w:r>
          </w:p>
          <w:p w:rsidR="00000000" w:rsidP="002A039A">
            <w:pPr>
              <w:pStyle w:val="List2"/>
              <w:rPr>
                <w:lang w:val="en-NZ"/>
              </w:rPr>
            </w:pPr>
            <w:r w:rsidRPr="002A039A">
              <w:t>2.3.</w:t>
            </w:r>
            <w:r w:rsidRPr="002A039A">
              <w:tab/>
              <w:t>Communicate the agreed EMR hazard management plan to all personnel on site</w:t>
            </w:r>
          </w:p>
        </w:tc>
      </w:tr>
      <w:tr w:rsidTr="00222516">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List"/>
              <w:rPr>
                <w:lang w:val="en-NZ"/>
              </w:rPr>
            </w:pPr>
            <w:r w:rsidRPr="002A039A">
              <w:t>3.</w:t>
            </w:r>
            <w:r w:rsidRPr="002A039A">
              <w:tab/>
              <w:t>Monitor the EMR hazard manageme</w:t>
            </w:r>
            <w:r w:rsidRPr="002A039A">
              <w:t>nt plan</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List2"/>
            </w:pPr>
            <w:r w:rsidRPr="002A039A">
              <w:t>3.1.</w:t>
            </w:r>
            <w:r w:rsidRPr="002A039A">
              <w:tab/>
              <w:t>Maintain ongoing communication to all personnel regarding amendments to the EMR hazard management plan according to company policy</w:t>
            </w:r>
          </w:p>
          <w:p w:rsidR="00000000" w:rsidRPr="002A039A" w:rsidP="002A039A">
            <w:pPr>
              <w:pStyle w:val="List2"/>
            </w:pPr>
            <w:r w:rsidRPr="002A039A">
              <w:t>3.2.</w:t>
            </w:r>
            <w:r w:rsidRPr="002A039A">
              <w:tab/>
              <w:t>Ensure that a personal radiation monitor (Radman) is worn according to manufacturer's instructions and indu</w:t>
            </w:r>
            <w:r w:rsidRPr="002A039A">
              <w:t>stry practice</w:t>
            </w:r>
          </w:p>
        </w:tc>
      </w:tr>
    </w:tbl>
    <w:p w:rsidR="00222516" w:rsidP="002A039A">
      <w:pPr>
        <w:pStyle w:val="BodyText"/>
      </w:pPr>
    </w:p>
    <w:p w:rsidR="00222516" w:rsidP="002A039A">
      <w:pPr>
        <w:pStyle w:val="BodyText"/>
      </w:pPr>
    </w:p>
    <w:p w:rsidR="00000000" w:rsidRPr="002A039A" w:rsidP="002A039A">
      <w:pPr>
        <w:pStyle w:val="Heading1"/>
      </w:pPr>
      <w:bookmarkStart w:id="9" w:name="O_260534"/>
      <w:bookmarkEnd w:id="9"/>
      <w:r w:rsidRPr="002A039A">
        <w:t>Required Skills and Knowledge</w:t>
      </w:r>
    </w:p>
    <w:tbl>
      <w:tblPr>
        <w:tblW w:w="0" w:type="auto"/>
        <w:tblLayout w:type="fixed"/>
        <w:tblCellMar>
          <w:left w:w="62" w:type="dxa"/>
          <w:right w:w="62" w:type="dxa"/>
        </w:tblCellMar>
        <w:tblLook w:val="0000"/>
      </w:tblPr>
      <w:tblGrid>
        <w:gridCol w:w="8522"/>
      </w:tblGrid>
      <w:tr w:rsidTr="002225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REQUIRED SKILLS AND KNOWLEDGE</w:t>
            </w:r>
          </w:p>
        </w:tc>
      </w:tr>
      <w:tr w:rsidTr="002225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t>This section describes the skills and knowledge required for this unit.</w:t>
            </w:r>
          </w:p>
        </w:tc>
      </w:tr>
      <w:tr w:rsidTr="00222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Required skills</w:t>
            </w:r>
          </w:p>
        </w:tc>
      </w:tr>
      <w:tr w:rsidTr="00222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ListBullet"/>
            </w:pPr>
            <w:r w:rsidRPr="002A039A">
              <w:t xml:space="preserve">communication skills to: </w:t>
            </w:r>
          </w:p>
          <w:p w:rsidR="00000000" w:rsidRPr="002A039A" w:rsidP="002A039A">
            <w:pPr>
              <w:pStyle w:val="ListBullet2"/>
            </w:pPr>
            <w:r w:rsidRPr="002A039A">
              <w:t>communicate the revised EMR hazard management plan to all personnel on site</w:t>
            </w:r>
          </w:p>
          <w:p w:rsidR="00000000" w:rsidRPr="002A039A" w:rsidP="002A039A">
            <w:pPr>
              <w:pStyle w:val="ListBullet2"/>
            </w:pPr>
            <w:r w:rsidRPr="002A039A">
              <w:t>liaise with other personnel</w:t>
            </w:r>
          </w:p>
          <w:p w:rsidR="00000000" w:rsidRPr="002A039A" w:rsidP="002A039A">
            <w:pPr>
              <w:pStyle w:val="ListBullet2"/>
            </w:pPr>
            <w:r w:rsidRPr="002A039A">
              <w:t xml:space="preserve">use radio devices </w:t>
            </w:r>
          </w:p>
          <w:p w:rsidR="00000000" w:rsidRPr="002A039A" w:rsidP="002A039A">
            <w:pPr>
              <w:pStyle w:val="ListBullet"/>
            </w:pPr>
            <w:r w:rsidRPr="002A039A">
              <w:t>literacy skills to read and interpret:</w:t>
            </w:r>
          </w:p>
          <w:p w:rsidR="00000000" w:rsidRPr="002A039A" w:rsidP="002A039A">
            <w:pPr>
              <w:pStyle w:val="ListBullet2"/>
            </w:pPr>
            <w:r w:rsidRPr="002A039A">
              <w:t>EMR hazard management plan</w:t>
            </w:r>
          </w:p>
          <w:p w:rsidR="00000000" w:rsidRPr="002A039A" w:rsidP="002A039A">
            <w:pPr>
              <w:pStyle w:val="ListBullet2"/>
            </w:pPr>
            <w:r w:rsidRPr="002A039A">
              <w:t>specifications and technical documentation</w:t>
            </w:r>
          </w:p>
          <w:p w:rsidR="00000000" w:rsidRPr="002A039A" w:rsidP="002A039A">
            <w:pPr>
              <w:pStyle w:val="ListBullet"/>
            </w:pPr>
            <w:r w:rsidRPr="002A039A">
              <w:t>numeracy skills to:</w:t>
            </w:r>
          </w:p>
          <w:p w:rsidR="00000000" w:rsidRPr="002A039A" w:rsidP="002A039A">
            <w:pPr>
              <w:pStyle w:val="ListBullet2"/>
            </w:pPr>
            <w:r w:rsidRPr="002A039A">
              <w:t>evaluate different types of technical data</w:t>
            </w:r>
          </w:p>
          <w:p w:rsidR="00000000" w:rsidRPr="002A039A" w:rsidP="002A039A">
            <w:pPr>
              <w:pStyle w:val="ListBullet2"/>
            </w:pPr>
            <w:r w:rsidRPr="002A039A">
              <w:t xml:space="preserve">interpret results </w:t>
            </w:r>
          </w:p>
          <w:p w:rsidR="00000000" w:rsidRPr="002A039A" w:rsidP="002A039A">
            <w:pPr>
              <w:pStyle w:val="ListBullet2"/>
            </w:pPr>
            <w:r w:rsidRPr="002A039A">
              <w:t>take measurements</w:t>
            </w:r>
          </w:p>
          <w:p w:rsidR="00000000" w:rsidRPr="002A039A" w:rsidP="002A039A">
            <w:pPr>
              <w:pStyle w:val="ListBullet"/>
            </w:pPr>
            <w:r w:rsidRPr="002A039A">
              <w:t>planning and organisational skills to plan, prioritise and monitor own work and OHS responsibilities</w:t>
            </w:r>
          </w:p>
          <w:p w:rsidR="00000000" w:rsidRPr="002A039A" w:rsidP="002A039A">
            <w:pPr>
              <w:pStyle w:val="ListBullet"/>
            </w:pPr>
            <w:r w:rsidRPr="002A039A">
              <w:t>problem solving and contingency management skills to adapt rigging activiti</w:t>
            </w:r>
            <w:r w:rsidRPr="002A039A">
              <w:t>es and requirements to particular sites and conditions</w:t>
            </w:r>
          </w:p>
          <w:p w:rsidR="00000000" w:rsidRPr="002A039A" w:rsidP="002A039A">
            <w:pPr>
              <w:pStyle w:val="ListBullet"/>
            </w:pPr>
            <w:r w:rsidRPr="002A039A">
              <w:t>safety awareness skills to:</w:t>
            </w:r>
          </w:p>
          <w:p w:rsidR="00000000" w:rsidRPr="002A039A" w:rsidP="002A039A">
            <w:pPr>
              <w:pStyle w:val="ListBullet2"/>
            </w:pPr>
            <w:r w:rsidRPr="002A039A">
              <w:t>apply precautions and required action to minimise, control or eliminate hazards that may exist during work activities</w:t>
            </w:r>
          </w:p>
          <w:p w:rsidR="00000000" w:rsidRPr="002A039A" w:rsidP="002A039A">
            <w:pPr>
              <w:pStyle w:val="ListBullet2"/>
            </w:pPr>
            <w:r w:rsidRPr="002A039A">
              <w:t>apply remote area first aid</w:t>
            </w:r>
          </w:p>
          <w:p w:rsidR="00000000" w:rsidRPr="002A039A" w:rsidP="002A039A">
            <w:pPr>
              <w:pStyle w:val="ListBullet2"/>
            </w:pPr>
            <w:r w:rsidRPr="002A039A">
              <w:t>ensure that Radman is worn</w:t>
            </w:r>
            <w:r w:rsidRPr="002A039A">
              <w:t xml:space="preserve"> according to manufacturer's instructions and industry practice</w:t>
            </w:r>
          </w:p>
          <w:p w:rsidR="00000000" w:rsidRPr="002A039A" w:rsidP="002A039A">
            <w:pPr>
              <w:pStyle w:val="ListBullet2"/>
            </w:pPr>
            <w:r w:rsidRPr="002A039A">
              <w:t>prevent and treat hypothermia</w:t>
            </w:r>
          </w:p>
          <w:p w:rsidR="00000000" w:rsidRPr="002A039A" w:rsidP="002A039A">
            <w:pPr>
              <w:pStyle w:val="ListBullet2"/>
            </w:pPr>
            <w:r w:rsidRPr="002A039A">
              <w:t>select and use personal protective equipment for rigging projects to suit different applications and for work at heights</w:t>
            </w:r>
          </w:p>
          <w:p w:rsidR="00000000" w:rsidRPr="002A039A" w:rsidP="002A039A">
            <w:pPr>
              <w:pStyle w:val="ListBullet2"/>
            </w:pPr>
            <w:r w:rsidRPr="002A039A">
              <w:t>select and use required personal protecti</w:t>
            </w:r>
            <w:r w:rsidRPr="002A039A">
              <w:t>ve equipment for rigging projects to suit different applications and for work at heights conforming to industry and OHS standards</w:t>
            </w:r>
          </w:p>
          <w:p w:rsidR="00000000" w:rsidRPr="002A039A" w:rsidP="002A039A">
            <w:pPr>
              <w:pStyle w:val="ListBullet2"/>
            </w:pPr>
            <w:r w:rsidRPr="002A039A">
              <w:t xml:space="preserve">work systematically with required attention to detail without injury to self or others, or damage to goods or equipment </w:t>
            </w:r>
          </w:p>
          <w:p w:rsidR="00000000" w:rsidRPr="002A039A" w:rsidP="002A039A">
            <w:pPr>
              <w:pStyle w:val="ListBullet"/>
            </w:pPr>
            <w:r w:rsidRPr="002A039A">
              <w:t>task management skills to work systematically with required attention to detail and adherence to all safety requirements</w:t>
            </w:r>
          </w:p>
          <w:p w:rsidR="00000000" w:rsidRPr="002A039A" w:rsidP="002A039A">
            <w:pPr>
              <w:pStyle w:val="ListBullet"/>
            </w:pPr>
            <w:r w:rsidRPr="002A039A">
              <w:t>technical skills to:</w:t>
            </w:r>
          </w:p>
          <w:p w:rsidR="00000000" w:rsidRPr="002A039A" w:rsidP="002A039A">
            <w:pPr>
              <w:pStyle w:val="ListBullet2"/>
            </w:pPr>
            <w:r w:rsidRPr="002A039A">
              <w:t>interpret and analyse documentation as sources of information relating to the site and potential EMR hazards</w:t>
            </w:r>
          </w:p>
          <w:p w:rsidR="00000000" w:rsidRPr="002A039A" w:rsidP="002A039A">
            <w:pPr>
              <w:pStyle w:val="ListBullet2"/>
            </w:pPr>
            <w:r w:rsidRPr="002A039A">
              <w:t>sele</w:t>
            </w:r>
            <w:r w:rsidRPr="002A039A">
              <w:t>ct and use appropriate equipment and practices to suit different applications</w:t>
            </w:r>
          </w:p>
          <w:p w:rsidR="00000000" w:rsidRPr="002A039A" w:rsidP="002A039A">
            <w:pPr>
              <w:pStyle w:val="ListBullet2"/>
            </w:pPr>
            <w:r w:rsidRPr="002A039A">
              <w:t xml:space="preserve">review the EMR hazard management plan and update to align with the on-site situation </w:t>
            </w:r>
          </w:p>
          <w:p w:rsidR="00000000" w:rsidP="002A039A">
            <w:pPr>
              <w:pStyle w:val="ListBullet2"/>
              <w:rPr>
                <w:lang w:val="en-NZ"/>
              </w:rPr>
            </w:pPr>
            <w:r w:rsidRPr="002A039A">
              <w:t>use equipment required to support the EMR hazard management plan</w:t>
            </w:r>
          </w:p>
        </w:tc>
      </w:tr>
      <w:tr w:rsidTr="00222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Required knowledge</w:t>
            </w:r>
          </w:p>
        </w:tc>
      </w:tr>
      <w:tr w:rsidTr="00222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ListBullet"/>
            </w:pPr>
            <w:r w:rsidRPr="002A039A">
              <w:t>antenn</w:t>
            </w:r>
            <w:r w:rsidRPr="002A039A">
              <w:t>a principles</w:t>
            </w:r>
          </w:p>
          <w:p w:rsidR="00000000" w:rsidRPr="002A039A" w:rsidP="002A039A">
            <w:pPr>
              <w:pStyle w:val="ListBullet"/>
            </w:pPr>
            <w:r w:rsidRPr="002A039A">
              <w:t>EMR risk assessment and mitigation strategies</w:t>
            </w:r>
          </w:p>
          <w:p w:rsidR="00000000" w:rsidRPr="002A039A" w:rsidP="002A039A">
            <w:pPr>
              <w:pStyle w:val="ListBullet"/>
            </w:pPr>
            <w:r w:rsidRPr="002A039A">
              <w:t>features and operating requirements of rigging equipment</w:t>
            </w:r>
          </w:p>
          <w:p w:rsidR="00000000" w:rsidRPr="002A039A" w:rsidP="002A039A">
            <w:pPr>
              <w:pStyle w:val="ListBullet"/>
            </w:pPr>
            <w:r w:rsidRPr="002A039A">
              <w:t>licensing and regulatory issues applying to rigging practices and systems on telecommunications radio structures</w:t>
            </w:r>
          </w:p>
          <w:p w:rsidR="00000000" w:rsidRPr="002A039A" w:rsidP="002A039A">
            <w:pPr>
              <w:pStyle w:val="ListBullet"/>
            </w:pPr>
            <w:r w:rsidRPr="002A039A">
              <w:t>remote area first aid</w:t>
            </w:r>
          </w:p>
          <w:p w:rsidR="00000000" w:rsidRPr="002A039A" w:rsidP="002A039A">
            <w:pPr>
              <w:pStyle w:val="ListBullet"/>
            </w:pPr>
            <w:r w:rsidRPr="002A039A">
              <w:t>rigging practices and systems to telecommunications radio structures</w:t>
            </w:r>
          </w:p>
          <w:p w:rsidR="00000000" w:rsidRPr="002A039A" w:rsidP="002A039A">
            <w:pPr>
              <w:pStyle w:val="ListBullet"/>
            </w:pPr>
            <w:r w:rsidRPr="002A039A">
              <w:t>specific knowledge of:</w:t>
            </w:r>
          </w:p>
          <w:p w:rsidR="00000000" w:rsidRPr="002A039A" w:rsidP="002A039A">
            <w:pPr>
              <w:pStyle w:val="ListBullet2"/>
            </w:pPr>
            <w:r w:rsidRPr="002A039A">
              <w:t>EMR:</w:t>
            </w:r>
          </w:p>
          <w:p w:rsidR="00000000" w:rsidRPr="002A039A" w:rsidP="002A039A">
            <w:pPr>
              <w:pStyle w:val="ListBullet3"/>
            </w:pPr>
            <w:r w:rsidRPr="002A039A">
              <w:t xml:space="preserve">associated risks </w:t>
            </w:r>
          </w:p>
          <w:p w:rsidR="00000000" w:rsidRPr="002A039A" w:rsidP="002A039A">
            <w:pPr>
              <w:pStyle w:val="ListBullet3"/>
            </w:pPr>
            <w:r w:rsidRPr="002A039A">
              <w:t xml:space="preserve">methods of detecting and reporting EMR hazards </w:t>
            </w:r>
          </w:p>
          <w:p w:rsidR="00000000" w:rsidRPr="002A039A" w:rsidP="002A039A">
            <w:pPr>
              <w:pStyle w:val="ListBullet3"/>
            </w:pPr>
            <w:r w:rsidRPr="002A039A">
              <w:t>potential dangers of overexposure</w:t>
            </w:r>
          </w:p>
          <w:p w:rsidR="00000000" w:rsidRPr="002A039A" w:rsidP="002A039A">
            <w:pPr>
              <w:pStyle w:val="ListBullet3"/>
            </w:pPr>
            <w:r w:rsidRPr="002A039A">
              <w:t>safety practices and devices</w:t>
            </w:r>
          </w:p>
          <w:p w:rsidR="00000000" w:rsidRPr="002A039A" w:rsidP="002A039A">
            <w:pPr>
              <w:pStyle w:val="ListBullet3"/>
            </w:pPr>
            <w:r w:rsidRPr="002A039A">
              <w:t>sources and types of radio frequency EMR</w:t>
            </w:r>
          </w:p>
          <w:p w:rsidR="00000000" w:rsidRPr="002A039A" w:rsidP="002A039A">
            <w:pPr>
              <w:pStyle w:val="ListBullet2"/>
            </w:pPr>
            <w:r w:rsidRPr="002A039A">
              <w:t>optical fibre cabling and equipment safety practices</w:t>
            </w:r>
          </w:p>
          <w:p w:rsidR="00000000" w:rsidRPr="002A039A" w:rsidP="002A039A">
            <w:pPr>
              <w:pStyle w:val="ListBullet2"/>
            </w:pPr>
            <w:r w:rsidRPr="002A039A">
              <w:t xml:space="preserve">personal protective equipment </w:t>
            </w:r>
          </w:p>
          <w:p w:rsidR="00000000" w:rsidRPr="002A039A" w:rsidP="002A039A">
            <w:pPr>
              <w:pStyle w:val="ListBullet2"/>
            </w:pPr>
            <w:r w:rsidRPr="002A039A">
              <w:t>requirements of the OHS Act, relevant regulations, and applicable site and company OHS procedures</w:t>
            </w:r>
          </w:p>
          <w:p w:rsidR="00000000" w:rsidRPr="002A039A" w:rsidP="002A039A">
            <w:pPr>
              <w:pStyle w:val="ListBullet2"/>
            </w:pPr>
            <w:r w:rsidRPr="002A039A">
              <w:t>working at heights safety practi</w:t>
            </w:r>
            <w:r w:rsidRPr="002A039A">
              <w:t xml:space="preserve">ces </w:t>
            </w:r>
          </w:p>
        </w:tc>
      </w:tr>
    </w:tbl>
    <w:p w:rsidR="00222516" w:rsidP="002A039A">
      <w:pPr>
        <w:pStyle w:val="BodyText"/>
      </w:pPr>
    </w:p>
    <w:p w:rsidR="00222516" w:rsidP="002A039A">
      <w:pPr>
        <w:pStyle w:val="BodyText"/>
      </w:pPr>
    </w:p>
    <w:p w:rsidR="00222516" w:rsidP="002A039A">
      <w:pPr>
        <w:pStyle w:val="BodyText"/>
      </w:pPr>
    </w:p>
    <w:p w:rsidR="00000000" w:rsidRPr="002A039A" w:rsidP="002A039A">
      <w:pPr>
        <w:pStyle w:val="Heading1"/>
      </w:pPr>
      <w:bookmarkStart w:id="10" w:name="O_244568"/>
      <w:bookmarkEnd w:id="10"/>
      <w:r w:rsidRPr="002A039A">
        <w:t>Evidence Guide</w:t>
      </w:r>
    </w:p>
    <w:tbl>
      <w:tblPr>
        <w:tblW w:w="9570" w:type="dxa"/>
        <w:tblLayout w:type="fixed"/>
        <w:tblCellMar>
          <w:left w:w="62" w:type="dxa"/>
          <w:right w:w="62" w:type="dxa"/>
        </w:tblCellMar>
        <w:tblLook w:val="0000"/>
      </w:tblPr>
      <w:tblGrid>
        <w:gridCol w:w="3908"/>
        <w:gridCol w:w="5662"/>
      </w:tblGrid>
      <w:tr w:rsidTr="002225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EVIDENCE GUIDE</w:t>
            </w:r>
          </w:p>
        </w:tc>
      </w:tr>
      <w:tr w:rsidTr="002225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t xml:space="preserve">The evidence guide provides advice on assessment and must be read in conjunction with the performance criteria, required skills and knowledge, </w:t>
            </w:r>
            <w:r w:rsidRPr="002A039A">
              <w:t>range statement and the Assessment Guidelines for the Training Package.</w:t>
            </w:r>
          </w:p>
        </w:tc>
      </w:tr>
      <w:tr w:rsidTr="00222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p>
        </w:tc>
      </w:tr>
      <w:tr w:rsidTr="00222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t>Evidence of the ability to:</w:t>
            </w:r>
          </w:p>
          <w:p w:rsidR="00000000" w:rsidRPr="002A039A" w:rsidP="002A039A">
            <w:pPr>
              <w:pStyle w:val="ListBullet"/>
            </w:pPr>
            <w:r w:rsidRPr="002A039A">
              <w:t>produce and maintain the EMR hazard management plan against an on-site situation</w:t>
            </w:r>
          </w:p>
          <w:p w:rsidR="00000000" w:rsidP="002A039A">
            <w:pPr>
              <w:pStyle w:val="ListBullet"/>
              <w:rPr>
                <w:lang w:val="en-NZ"/>
              </w:rPr>
            </w:pPr>
            <w:r w:rsidRPr="002A039A">
              <w:t>carry out work according to the EMR hazard management plan.</w:t>
            </w:r>
          </w:p>
        </w:tc>
      </w:tr>
      <w:tr w:rsidTr="00222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Context of</w:t>
            </w:r>
            <w:r w:rsidRPr="002A039A">
              <w:t xml:space="preserve">, </w:t>
            </w:r>
            <w:r w:rsidRPr="002A039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t>Assessment must ensure:</w:t>
            </w:r>
          </w:p>
          <w:p w:rsidR="00000000" w:rsidRPr="002A039A" w:rsidP="002A039A">
            <w:pPr>
              <w:pStyle w:val="ListBullet"/>
            </w:pPr>
            <w:r w:rsidRPr="002A039A">
              <w:t xml:space="preserve">site on which rigging operations may be </w:t>
            </w:r>
            <w:r w:rsidRPr="002A039A">
              <w:t>conducted</w:t>
            </w:r>
          </w:p>
          <w:p w:rsidR="00000000" w:rsidRPr="002A039A" w:rsidP="002A039A">
            <w:pPr>
              <w:pStyle w:val="ListBullet"/>
            </w:pPr>
            <w:r w:rsidRPr="002A039A">
              <w:t>rigging and safety equipment</w:t>
            </w:r>
          </w:p>
          <w:p w:rsidR="00000000" w:rsidP="002A039A">
            <w:pPr>
              <w:pStyle w:val="BodyText"/>
              <w:rPr>
                <w:lang w:val="en-NZ"/>
              </w:rPr>
            </w:pPr>
            <w:r w:rsidRPr="002A039A">
              <w:t>relevant regulations, standards specifications and manuals.</w:t>
            </w:r>
          </w:p>
        </w:tc>
      </w:tr>
      <w:tr w:rsidTr="00222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t>A range of assessment methods should be used to assess practical skills and knowledge. The following examples are appropriate for this</w:t>
            </w:r>
            <w:r w:rsidRPr="002A039A">
              <w:t xml:space="preserve"> unit:</w:t>
            </w:r>
          </w:p>
          <w:p w:rsidR="00000000" w:rsidRPr="002A039A" w:rsidP="002A039A">
            <w:pPr>
              <w:pStyle w:val="ListBullet"/>
            </w:pPr>
            <w:r w:rsidRPr="002A039A">
              <w:t>direct observation of the candidate working safely with EMR on a telecommunications radio structure</w:t>
            </w:r>
          </w:p>
          <w:p w:rsidR="00000000" w:rsidP="002A039A">
            <w:pPr>
              <w:pStyle w:val="ListBullet"/>
              <w:rPr>
                <w:lang w:val="en-NZ"/>
              </w:rPr>
            </w:pPr>
            <w:r w:rsidRPr="002A039A">
              <w:t>oral or written questioning of the candidate to assess OHS requirements and work practices associated with EMR.</w:t>
            </w:r>
          </w:p>
        </w:tc>
      </w:tr>
      <w:tr w:rsidTr="00222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Guidance information for assessment</w:t>
            </w:r>
            <w:r w:rsidRPr="002A039A">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t>Holistic assessment with other units relevant to the industry sector, workplace and job role is recommended, for example:</w:t>
            </w:r>
          </w:p>
          <w:p w:rsidR="00000000" w:rsidRPr="002A039A" w:rsidP="002A039A">
            <w:pPr>
              <w:pStyle w:val="ListBullet"/>
            </w:pPr>
            <w:r w:rsidRPr="002A039A">
              <w:t>ICTTCR3191A Install radio plant and equipment on telecommunications structures.</w:t>
            </w:r>
          </w:p>
          <w:p w:rsidR="00000000" w:rsidRPr="002A039A" w:rsidP="002A039A">
            <w:pPr>
              <w:pStyle w:val="BodyText"/>
            </w:pPr>
          </w:p>
          <w:p w:rsidR="00000000" w:rsidRPr="002A039A" w:rsidP="002A039A">
            <w:pPr>
              <w:pStyle w:val="BodyText"/>
            </w:pPr>
            <w:r w:rsidRPr="002A039A">
              <w:t>Aboriginal people and other people from a non-English speaking background may have second language issues.</w:t>
            </w:r>
          </w:p>
          <w:p w:rsidR="00000000" w:rsidRPr="002A039A" w:rsidP="002A039A">
            <w:pPr>
              <w:pStyle w:val="BodyText"/>
            </w:pPr>
          </w:p>
          <w:p w:rsidR="00000000" w:rsidRPr="002A039A" w:rsidP="002A039A">
            <w:pPr>
              <w:pStyle w:val="BodyText"/>
            </w:pPr>
            <w:r w:rsidRPr="002A039A">
              <w:t xml:space="preserve">Access must be provided to appropriate learning and assessment support when required. </w:t>
            </w:r>
          </w:p>
          <w:p w:rsidR="00000000" w:rsidRPr="002A039A" w:rsidP="002A039A">
            <w:pPr>
              <w:pStyle w:val="BodyText"/>
            </w:pPr>
          </w:p>
          <w:p w:rsidR="00000000" w:rsidRPr="002A039A" w:rsidP="002A039A">
            <w:pPr>
              <w:pStyle w:val="BodyText"/>
            </w:pPr>
            <w:r w:rsidRPr="002A039A">
              <w:t>Assessment processes and techniques must be culturally appro</w:t>
            </w:r>
            <w:r w:rsidRPr="002A039A">
              <w:t>priate, and appropriate to the oral communication skill level, and language and literacy capacity of the candidate and the work being performed.</w:t>
            </w:r>
          </w:p>
          <w:p w:rsidR="00000000" w:rsidRPr="002A039A" w:rsidP="002A039A">
            <w:pPr>
              <w:pStyle w:val="BodyText"/>
            </w:pPr>
          </w:p>
          <w:p w:rsidR="00000000" w:rsidRPr="002A039A" w:rsidP="002A039A">
            <w:pPr>
              <w:pStyle w:val="BodyText"/>
            </w:pPr>
            <w:r w:rsidRPr="002A039A">
              <w:t>In all cases where practical assessment is used it will be combined with targeted questioning to assess requir</w:t>
            </w:r>
            <w:r w:rsidRPr="002A039A">
              <w:t xml:space="preserve">ed knowledge. Questioning techniques should not require language, literacy and numeracy skills beyond those required in this unit of competency. </w:t>
            </w:r>
          </w:p>
          <w:p w:rsidR="00000000" w:rsidRPr="002A039A" w:rsidP="002A039A">
            <w:pPr>
              <w:pStyle w:val="BodyText"/>
            </w:pPr>
          </w:p>
          <w:p w:rsidR="00000000" w:rsidRPr="002A039A" w:rsidP="002A039A">
            <w:pPr>
              <w:pStyle w:val="BodyText"/>
            </w:pPr>
            <w:r w:rsidRPr="002A039A">
              <w:t>Where applicable, physical resources should include equipment modified for people with special needs.</w:t>
            </w:r>
          </w:p>
          <w:p w:rsidR="00000000" w:rsidRPr="002A039A" w:rsidP="002A039A">
            <w:pPr>
              <w:pStyle w:val="BodyText"/>
            </w:pPr>
          </w:p>
        </w:tc>
      </w:tr>
    </w:tbl>
    <w:p w:rsidR="00222516" w:rsidP="002A039A">
      <w:pPr>
        <w:pStyle w:val="BodyText"/>
      </w:pPr>
    </w:p>
    <w:p w:rsidR="00222516" w:rsidP="002A039A">
      <w:pPr>
        <w:pStyle w:val="BodyText"/>
      </w:pPr>
    </w:p>
    <w:p w:rsidR="00000000" w:rsidRPr="002A039A" w:rsidP="002A039A">
      <w:pPr>
        <w:pStyle w:val="Heading1"/>
      </w:pPr>
      <w:bookmarkStart w:id="11" w:name="O_252551"/>
      <w:bookmarkEnd w:id="11"/>
      <w:r w:rsidRPr="002A039A">
        <w:t>Range Statement</w:t>
      </w:r>
    </w:p>
    <w:tbl>
      <w:tblPr>
        <w:tblW w:w="0" w:type="auto"/>
        <w:tblLayout w:type="fixed"/>
        <w:tblCellMar>
          <w:left w:w="62" w:type="dxa"/>
          <w:right w:w="62" w:type="dxa"/>
        </w:tblCellMar>
        <w:tblLook w:val="0000"/>
      </w:tblPr>
      <w:tblGrid>
        <w:gridCol w:w="3472"/>
        <w:gridCol w:w="5050"/>
      </w:tblGrid>
      <w:tr w:rsidTr="002225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RANGE STATEMENT</w:t>
            </w:r>
          </w:p>
        </w:tc>
      </w:tr>
      <w:tr w:rsidTr="002225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t xml:space="preserve">The range statement relates to the unit of competency as a whole. It allows for different work environments and situations that may affect </w:t>
            </w:r>
            <w:r w:rsidRPr="002A039A">
              <w:t>performance. Bold italicised wording, if used in the performance criteria, is detailed below. Essential operating conditions that may be present with training and assessment (depending on the work situation, needs of the candidate, accessibility of the ite</w:t>
            </w:r>
            <w:r w:rsidRPr="002A039A">
              <w:t>m, and local industry and regional contexts) may also be included.</w:t>
            </w:r>
          </w:p>
        </w:tc>
      </w:tr>
      <w:tr w:rsidTr="00222516">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BoldandItalics"/>
              </w:rPr>
              <w:t>Relevant legislation</w:t>
            </w:r>
            <w:r w:rsidRPr="002A039A">
              <w:t xml:space="preserve">, </w:t>
            </w:r>
            <w:r w:rsidRPr="002A039A">
              <w:rPr>
                <w:rStyle w:val="BoldandItalics"/>
              </w:rPr>
              <w:t>codes</w:t>
            </w:r>
            <w:r w:rsidRPr="002A039A">
              <w:t xml:space="preserve">, </w:t>
            </w:r>
            <w:r w:rsidRPr="002A039A">
              <w:rPr>
                <w:rStyle w:val="BoldandItalics"/>
              </w:rPr>
              <w:t>regulations and standards</w:t>
            </w:r>
            <w:r w:rsidRPr="002A039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ListBullet"/>
            </w:pPr>
            <w:r w:rsidRPr="002A039A">
              <w:t>Australian Communications Industry Forum (ACIF) standards and codes</w:t>
            </w:r>
          </w:p>
          <w:p w:rsidR="00000000" w:rsidRPr="002A039A" w:rsidP="002A039A">
            <w:pPr>
              <w:pStyle w:val="ListBullet"/>
            </w:pPr>
            <w:r w:rsidRPr="002A039A">
              <w:t>Australian Communications and Media Authority (ACMA</w:t>
            </w:r>
            <w:r w:rsidRPr="002A039A">
              <w:t>) technical standards</w:t>
            </w:r>
          </w:p>
          <w:p w:rsidR="00000000" w:rsidRPr="002A039A" w:rsidP="002A039A">
            <w:pPr>
              <w:pStyle w:val="ListBullet"/>
            </w:pPr>
            <w:r w:rsidRPr="002A039A">
              <w:t>appropriate licences that may be required:</w:t>
            </w:r>
            <w:r w:rsidRPr="002A039A">
              <w:tab/>
            </w:r>
          </w:p>
          <w:p w:rsidR="00000000" w:rsidRPr="002A039A" w:rsidP="002A039A">
            <w:pPr>
              <w:pStyle w:val="ListBullet2"/>
            </w:pPr>
            <w:r w:rsidRPr="002A039A">
              <w:t>crane</w:t>
            </w:r>
          </w:p>
          <w:p w:rsidR="00000000" w:rsidRPr="002A039A" w:rsidP="002A039A">
            <w:pPr>
              <w:pStyle w:val="ListBullet2"/>
            </w:pPr>
            <w:r w:rsidRPr="002A039A">
              <w:t>dogging</w:t>
            </w:r>
          </w:p>
          <w:p w:rsidR="00000000" w:rsidRPr="002A039A" w:rsidP="002A039A">
            <w:pPr>
              <w:pStyle w:val="ListBullet2"/>
            </w:pPr>
            <w:r w:rsidRPr="002A039A">
              <w:t>rigging</w:t>
            </w:r>
          </w:p>
          <w:p w:rsidR="00000000" w:rsidRPr="002A039A" w:rsidP="002A039A">
            <w:pPr>
              <w:pStyle w:val="ListBullet2"/>
            </w:pPr>
            <w:r w:rsidRPr="002A039A">
              <w:t>scaffolding</w:t>
            </w:r>
          </w:p>
          <w:p w:rsidR="00000000" w:rsidRPr="002A039A" w:rsidP="002A039A">
            <w:pPr>
              <w:pStyle w:val="ListBullet2"/>
            </w:pPr>
            <w:r w:rsidRPr="002A039A">
              <w:t xml:space="preserve">winch </w:t>
            </w:r>
          </w:p>
          <w:p w:rsidR="00000000" w:rsidRPr="002A039A" w:rsidP="002A039A">
            <w:pPr>
              <w:pStyle w:val="ListBullet"/>
            </w:pPr>
            <w:r w:rsidRPr="002A039A">
              <w:t>Australian Radiation Protection and Nuclear Safety Agency (ARPANSA) EMR standard</w:t>
            </w:r>
          </w:p>
          <w:p w:rsidR="00000000" w:rsidRPr="002A039A" w:rsidP="002A039A">
            <w:pPr>
              <w:pStyle w:val="ListBullet"/>
            </w:pPr>
            <w:r w:rsidRPr="002A039A">
              <w:t xml:space="preserve">AS 1353.1:1997 </w:t>
            </w:r>
          </w:p>
          <w:p w:rsidR="00000000" w:rsidRPr="002A039A" w:rsidP="002A039A">
            <w:pPr>
              <w:pStyle w:val="ListBullet"/>
            </w:pPr>
            <w:r w:rsidRPr="002A039A">
              <w:t xml:space="preserve">AS 1353.2:1997 </w:t>
            </w:r>
          </w:p>
          <w:p w:rsidR="00000000" w:rsidRPr="002A039A" w:rsidP="002A039A">
            <w:pPr>
              <w:pStyle w:val="ListBullet"/>
            </w:pPr>
            <w:r w:rsidRPr="002A039A">
              <w:t xml:space="preserve">AS 1657:1992 </w:t>
            </w:r>
          </w:p>
          <w:p w:rsidR="00000000" w:rsidRPr="002A039A" w:rsidP="002A039A">
            <w:pPr>
              <w:pStyle w:val="ListBullet"/>
            </w:pPr>
            <w:r w:rsidRPr="002A039A">
              <w:t xml:space="preserve">AS 2089:2008 </w:t>
            </w:r>
          </w:p>
          <w:p w:rsidR="00000000" w:rsidRPr="002A039A" w:rsidP="002A039A">
            <w:pPr>
              <w:pStyle w:val="ListBullet"/>
            </w:pPr>
            <w:r w:rsidRPr="002A039A">
              <w:t xml:space="preserve">AS 2319:2001 </w:t>
            </w:r>
          </w:p>
          <w:p w:rsidR="00000000" w:rsidRPr="002A039A" w:rsidP="002A039A">
            <w:pPr>
              <w:pStyle w:val="ListBullet"/>
            </w:pPr>
            <w:r w:rsidRPr="002A039A">
              <w:t xml:space="preserve">AS 2626: replaced by AS/NZS 1891.4:2000 </w:t>
            </w:r>
          </w:p>
          <w:p w:rsidR="00000000" w:rsidRPr="002A039A" w:rsidP="002A039A">
            <w:pPr>
              <w:pStyle w:val="ListBullet"/>
            </w:pPr>
            <w:r w:rsidRPr="002A039A">
              <w:t xml:space="preserve">AS 3775.1:2004 </w:t>
            </w:r>
          </w:p>
          <w:p w:rsidR="00000000" w:rsidRPr="002A039A" w:rsidP="002A039A">
            <w:pPr>
              <w:pStyle w:val="ListBullet"/>
            </w:pPr>
            <w:r w:rsidRPr="002A039A">
              <w:t>AS 3775.2:2004 AS 3777:2008 Shank hooks and large eye hooks - maximum 60 t</w:t>
            </w:r>
          </w:p>
          <w:p w:rsidR="00000000" w:rsidRPr="002A039A" w:rsidP="002A039A">
            <w:pPr>
              <w:pStyle w:val="ListBullet"/>
            </w:pPr>
            <w:r w:rsidRPr="002A039A">
              <w:t xml:space="preserve">AS 4497.2:1997 </w:t>
            </w:r>
          </w:p>
          <w:p w:rsidR="00000000" w:rsidRPr="002A039A" w:rsidP="002A039A">
            <w:pPr>
              <w:pStyle w:val="ListBullet"/>
            </w:pPr>
            <w:r w:rsidRPr="002A039A">
              <w:t xml:space="preserve">AS/NZS 1891.1:2007 </w:t>
            </w:r>
          </w:p>
          <w:p w:rsidR="00000000" w:rsidRPr="002A039A" w:rsidP="002A039A">
            <w:pPr>
              <w:pStyle w:val="ListBullet"/>
            </w:pPr>
            <w:r w:rsidRPr="002A039A">
              <w:t xml:space="preserve">AS/NZS 1891.4:2000  </w:t>
            </w:r>
          </w:p>
          <w:p w:rsidR="00000000" w:rsidRPr="002A039A" w:rsidP="002A039A">
            <w:pPr>
              <w:pStyle w:val="ListBullet"/>
            </w:pPr>
            <w:r w:rsidRPr="002A039A">
              <w:t xml:space="preserve">AS/NZS 4801:2001 </w:t>
            </w:r>
          </w:p>
          <w:p w:rsidR="00000000" w:rsidRPr="002A039A" w:rsidP="002A039A">
            <w:pPr>
              <w:pStyle w:val="ListBullet"/>
            </w:pPr>
            <w:r w:rsidRPr="002A039A">
              <w:t xml:space="preserve">AS/NZS ISO 14001:2004 guidance for </w:t>
            </w:r>
            <w:r w:rsidRPr="002A039A">
              <w:t>use</w:t>
            </w:r>
          </w:p>
          <w:p w:rsidR="00000000" w:rsidRPr="002A039A" w:rsidP="002A039A">
            <w:pPr>
              <w:pStyle w:val="ListBullet"/>
            </w:pPr>
            <w:r w:rsidRPr="002A039A">
              <w:t>Australian building codes and regulations</w:t>
            </w:r>
          </w:p>
          <w:p w:rsidR="00000000" w:rsidRPr="002A039A" w:rsidP="002A039A">
            <w:pPr>
              <w:pStyle w:val="ListBullet"/>
            </w:pPr>
            <w:r w:rsidRPr="002A039A">
              <w:t>Australian standards</w:t>
            </w:r>
          </w:p>
          <w:p w:rsidR="00000000" w:rsidRPr="002A039A" w:rsidP="002A039A">
            <w:pPr>
              <w:pStyle w:val="ListBullet"/>
            </w:pPr>
            <w:r w:rsidRPr="002A039A">
              <w:t>CE, American National Standards Institute (ANSI) equipment standards</w:t>
            </w:r>
          </w:p>
          <w:p w:rsidR="00000000" w:rsidRPr="002A039A" w:rsidP="002A039A">
            <w:pPr>
              <w:pStyle w:val="ListBullet"/>
            </w:pPr>
            <w:r w:rsidRPr="002A039A">
              <w:t>enterprise standards</w:t>
            </w:r>
          </w:p>
          <w:p w:rsidR="00000000" w:rsidRPr="002A039A" w:rsidP="002A039A">
            <w:pPr>
              <w:pStyle w:val="ListBullet"/>
            </w:pPr>
            <w:r w:rsidRPr="002A039A">
              <w:t>environmental protection</w:t>
            </w:r>
          </w:p>
          <w:p w:rsidR="00000000" w:rsidRPr="002A039A" w:rsidP="002A039A">
            <w:pPr>
              <w:pStyle w:val="ListBullet"/>
            </w:pPr>
            <w:r w:rsidRPr="002A039A">
              <w:t>equipment certifications:</w:t>
            </w:r>
          </w:p>
          <w:p w:rsidR="00000000" w:rsidRPr="002A039A" w:rsidP="002A039A">
            <w:pPr>
              <w:pStyle w:val="ListBullet2"/>
            </w:pPr>
            <w:r w:rsidRPr="002A039A">
              <w:t>NFPA 1983 (2006 edition)</w:t>
            </w:r>
          </w:p>
          <w:p w:rsidR="00000000" w:rsidRPr="002A039A" w:rsidP="002A039A">
            <w:pPr>
              <w:pStyle w:val="ListBullet2"/>
            </w:pPr>
            <w:r w:rsidRPr="002A039A">
              <w:t>NFPA/UL G-rated (General Use)</w:t>
            </w:r>
          </w:p>
          <w:p w:rsidR="00000000" w:rsidRPr="002A039A" w:rsidP="002A039A">
            <w:pPr>
              <w:pStyle w:val="ListBullet"/>
            </w:pPr>
            <w:r w:rsidRPr="002A039A">
              <w:t>equipment standards:</w:t>
            </w:r>
          </w:p>
          <w:p w:rsidR="00000000" w:rsidRPr="002A039A" w:rsidP="002A039A">
            <w:pPr>
              <w:pStyle w:val="ListBullet2"/>
            </w:pPr>
            <w:r w:rsidRPr="002A039A">
              <w:t>intrinsically safe lightning protection</w:t>
            </w:r>
          </w:p>
          <w:p w:rsidR="00000000" w:rsidRPr="002A039A" w:rsidP="002A039A">
            <w:pPr>
              <w:pStyle w:val="ListBullet2"/>
            </w:pPr>
            <w:r w:rsidRPr="002A039A">
              <w:t>site engineering standard</w:t>
            </w:r>
          </w:p>
          <w:p w:rsidR="00000000" w:rsidRPr="002A039A" w:rsidP="002A039A">
            <w:pPr>
              <w:pStyle w:val="ListBullet"/>
            </w:pPr>
            <w:r w:rsidRPr="002A039A">
              <w:t>fire regulations</w:t>
            </w:r>
          </w:p>
          <w:p w:rsidR="00000000" w:rsidRPr="002A039A" w:rsidP="002A039A">
            <w:pPr>
              <w:pStyle w:val="ListBullet"/>
            </w:pPr>
            <w:r w:rsidRPr="002A039A">
              <w:t>heritage legislation</w:t>
            </w:r>
          </w:p>
          <w:p w:rsidR="00000000" w:rsidRPr="002A039A" w:rsidP="002A039A">
            <w:pPr>
              <w:pStyle w:val="ListBullet"/>
            </w:pPr>
            <w:r w:rsidRPr="002A039A">
              <w:t>international standards</w:t>
            </w:r>
          </w:p>
          <w:p w:rsidR="00000000" w:rsidRPr="002A039A" w:rsidP="002A039A">
            <w:pPr>
              <w:pStyle w:val="ListBullet"/>
            </w:pPr>
            <w:r w:rsidRPr="002A039A">
              <w:t>local government</w:t>
            </w:r>
          </w:p>
          <w:p w:rsidR="00000000" w:rsidRPr="002A039A" w:rsidP="002A039A">
            <w:pPr>
              <w:pStyle w:val="ListBullet"/>
            </w:pPr>
            <w:r w:rsidRPr="002A039A">
              <w:t>OHS</w:t>
            </w:r>
          </w:p>
          <w:p w:rsidR="00000000" w:rsidRPr="002A039A" w:rsidP="002A039A">
            <w:pPr>
              <w:pStyle w:val="ListBullet"/>
            </w:pPr>
            <w:r w:rsidRPr="002A039A">
              <w:t>Radcoms Act</w:t>
            </w:r>
          </w:p>
          <w:p w:rsidR="00000000" w:rsidRPr="002A039A" w:rsidP="002A039A">
            <w:pPr>
              <w:pStyle w:val="ListBullet"/>
            </w:pPr>
            <w:r w:rsidRPr="002A039A">
              <w:t xml:space="preserve">related publications </w:t>
            </w:r>
          </w:p>
          <w:p w:rsidR="00000000" w:rsidRPr="002A039A" w:rsidP="002A039A">
            <w:pPr>
              <w:pStyle w:val="ListBullet"/>
            </w:pPr>
            <w:r w:rsidRPr="002A039A">
              <w:t xml:space="preserve">Telecoms Act </w:t>
            </w:r>
          </w:p>
          <w:p w:rsidR="00000000" w:rsidP="002A039A">
            <w:pPr>
              <w:pStyle w:val="ListBullet"/>
              <w:rPr>
                <w:lang w:val="en-NZ"/>
              </w:rPr>
            </w:pPr>
            <w:r w:rsidRPr="002A039A">
              <w:t>WI's, CI's, Business Operating Procedures (BOP), Radiocommunications Assignment and Licensing Instruction (RALI), assignment guidelines.</w:t>
            </w:r>
          </w:p>
        </w:tc>
      </w:tr>
      <w:tr w:rsidTr="00222516">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BoldandItalics"/>
              </w:rPr>
              <w:t>Potential sources of radio frequency EMR</w:t>
            </w:r>
            <w:r w:rsidRPr="002A039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ListBullet"/>
            </w:pPr>
            <w:r w:rsidRPr="002A039A">
              <w:t>cellular and mobile transmitter</w:t>
            </w:r>
          </w:p>
          <w:p w:rsidR="00000000" w:rsidRPr="002A039A" w:rsidP="002A039A">
            <w:pPr>
              <w:pStyle w:val="ListBullet"/>
            </w:pPr>
            <w:r w:rsidRPr="002A039A">
              <w:t>microwave</w:t>
            </w:r>
          </w:p>
          <w:p w:rsidR="00000000" w:rsidRPr="002A039A" w:rsidP="002A039A">
            <w:pPr>
              <w:pStyle w:val="ListBullet"/>
            </w:pPr>
            <w:r w:rsidRPr="002A039A">
              <w:t>radar</w:t>
            </w:r>
          </w:p>
          <w:p w:rsidR="00000000" w:rsidP="002A039A">
            <w:pPr>
              <w:pStyle w:val="ListBullet"/>
              <w:rPr>
                <w:lang w:val="en-NZ"/>
              </w:rPr>
            </w:pPr>
            <w:r w:rsidRPr="002A039A">
              <w:t>radio.</w:t>
            </w:r>
          </w:p>
        </w:tc>
      </w:tr>
      <w:tr w:rsidTr="00222516">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BoldandItalics"/>
              </w:rPr>
              <w:t xml:space="preserve">Methods </w:t>
            </w:r>
            <w:r w:rsidRPr="002A039A">
              <w:rPr>
                <w:rStyle w:val="BoldandItalics"/>
              </w:rPr>
              <w:t>for determining EMR levels</w:t>
            </w:r>
            <w:r w:rsidRPr="002A039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ListBullet"/>
            </w:pPr>
            <w:r w:rsidRPr="002A039A">
              <w:t>calculations</w:t>
            </w:r>
          </w:p>
          <w:p w:rsidR="00000000" w:rsidRPr="002A039A" w:rsidP="002A039A">
            <w:pPr>
              <w:pStyle w:val="ListBullet"/>
            </w:pPr>
            <w:r w:rsidRPr="002A039A">
              <w:t>documentation</w:t>
            </w:r>
          </w:p>
          <w:p w:rsidR="00000000" w:rsidRPr="002A039A" w:rsidP="002A039A">
            <w:pPr>
              <w:pStyle w:val="ListBullet"/>
            </w:pPr>
            <w:r w:rsidRPr="002A039A">
              <w:t>EMR hazard management plan:</w:t>
            </w:r>
          </w:p>
          <w:p w:rsidR="00000000" w:rsidRPr="002A039A" w:rsidP="002A039A">
            <w:pPr>
              <w:pStyle w:val="ListBullet2"/>
            </w:pPr>
            <w:r w:rsidRPr="002A039A">
              <w:t>EMR measuring devices with evidence of two required</w:t>
            </w:r>
          </w:p>
          <w:p w:rsidR="00000000" w:rsidRPr="002A039A" w:rsidP="002A039A">
            <w:pPr>
              <w:pStyle w:val="ListBullet2"/>
            </w:pPr>
            <w:r w:rsidRPr="002A039A">
              <w:t>personal monitoring devices</w:t>
            </w:r>
          </w:p>
          <w:p w:rsidR="00000000" w:rsidRPr="002A039A" w:rsidP="002A039A">
            <w:pPr>
              <w:pStyle w:val="ListBullet2"/>
            </w:pPr>
            <w:r w:rsidRPr="002A039A">
              <w:t xml:space="preserve">personal protection equipment </w:t>
            </w:r>
          </w:p>
          <w:p w:rsidR="00000000" w:rsidRPr="002A039A" w:rsidP="002A039A">
            <w:pPr>
              <w:pStyle w:val="ListBullet"/>
            </w:pPr>
            <w:r w:rsidRPr="002A039A">
              <w:t>methods of detecting and reporting EMR hazards</w:t>
            </w:r>
          </w:p>
          <w:p w:rsidR="00000000" w:rsidRPr="002A039A" w:rsidP="002A039A">
            <w:pPr>
              <w:pStyle w:val="ListBullet"/>
            </w:pPr>
            <w:r w:rsidRPr="002A039A">
              <w:t xml:space="preserve">reported EMR hazards </w:t>
            </w:r>
          </w:p>
          <w:p w:rsidR="00000000" w:rsidRPr="002A039A" w:rsidP="002A039A">
            <w:pPr>
              <w:pStyle w:val="ListBullet"/>
            </w:pPr>
            <w:r w:rsidRPr="002A039A">
              <w:t>signage</w:t>
            </w:r>
          </w:p>
          <w:p w:rsidR="00000000" w:rsidRPr="002A039A" w:rsidP="002A039A">
            <w:pPr>
              <w:pStyle w:val="ListBullet"/>
            </w:pPr>
            <w:r w:rsidRPr="002A039A">
              <w:t xml:space="preserve">sources and types of radio frequency EMR </w:t>
            </w:r>
          </w:p>
          <w:p w:rsidR="00000000" w:rsidRPr="002A039A" w:rsidP="002A039A">
            <w:pPr>
              <w:pStyle w:val="ListBullet"/>
            </w:pPr>
            <w:r w:rsidRPr="002A039A">
              <w:t>sources of information relating to the site and potential EMR hazards:</w:t>
            </w:r>
          </w:p>
          <w:p w:rsidR="00000000" w:rsidRPr="002A039A" w:rsidP="002A039A">
            <w:pPr>
              <w:pStyle w:val="ListBullet2"/>
            </w:pPr>
            <w:r w:rsidRPr="002A039A">
              <w:t xml:space="preserve">co-location records </w:t>
            </w:r>
          </w:p>
          <w:p w:rsidR="00000000" w:rsidRPr="002A039A" w:rsidP="002A039A">
            <w:pPr>
              <w:pStyle w:val="ListBullet2"/>
            </w:pPr>
            <w:r w:rsidRPr="002A039A">
              <w:t>company records</w:t>
            </w:r>
          </w:p>
          <w:p w:rsidR="00000000" w:rsidRPr="002A039A" w:rsidP="002A039A">
            <w:pPr>
              <w:pStyle w:val="ListBullet2"/>
            </w:pPr>
            <w:r w:rsidRPr="002A039A">
              <w:t xml:space="preserve">site owner's documentation </w:t>
            </w:r>
          </w:p>
          <w:p w:rsidR="00000000" w:rsidRPr="002A039A" w:rsidP="002A039A">
            <w:pPr>
              <w:pStyle w:val="ListBullet"/>
            </w:pPr>
            <w:r w:rsidRPr="002A039A">
              <w:t>use of personal monitoring devices</w:t>
            </w:r>
          </w:p>
          <w:p w:rsidR="00000000" w:rsidP="002A039A">
            <w:pPr>
              <w:pStyle w:val="ListBullet"/>
              <w:rPr>
                <w:lang w:val="en-NZ"/>
              </w:rPr>
            </w:pPr>
            <w:r w:rsidRPr="002A039A">
              <w:t>verifying an</w:t>
            </w:r>
            <w:r w:rsidRPr="002A039A">
              <w:t>d maintaining the EMR hazard management plan against an on-site situation.</w:t>
            </w:r>
          </w:p>
        </w:tc>
      </w:tr>
      <w:tr w:rsidTr="00222516">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BoldandItalics"/>
              </w:rPr>
              <w:t>Personal protective equipment</w:t>
            </w:r>
            <w:r w:rsidRPr="002A039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ListBullet"/>
            </w:pPr>
            <w:r w:rsidRPr="002A039A">
              <w:t>Radman</w:t>
            </w:r>
          </w:p>
          <w:p w:rsidR="00000000" w:rsidRPr="002A039A" w:rsidP="002A039A">
            <w:pPr>
              <w:pStyle w:val="ListBullet"/>
            </w:pPr>
            <w:r w:rsidRPr="002A039A">
              <w:t>safety equipment may include:</w:t>
            </w:r>
            <w:r w:rsidRPr="002A039A">
              <w:tab/>
            </w:r>
          </w:p>
          <w:p w:rsidR="00000000" w:rsidRPr="002A039A" w:rsidP="002A039A">
            <w:pPr>
              <w:pStyle w:val="ListBullet2"/>
            </w:pPr>
            <w:r w:rsidRPr="002A039A">
              <w:t>aerial safety belts and lines</w:t>
            </w:r>
          </w:p>
          <w:p w:rsidR="00000000" w:rsidRPr="002A039A" w:rsidP="002A039A">
            <w:pPr>
              <w:pStyle w:val="ListBullet2"/>
            </w:pPr>
            <w:r w:rsidRPr="002A039A">
              <w:t>anchor straps</w:t>
            </w:r>
          </w:p>
          <w:p w:rsidR="00000000" w:rsidRPr="002A039A" w:rsidP="002A039A">
            <w:pPr>
              <w:pStyle w:val="ListBullet2"/>
            </w:pPr>
            <w:r w:rsidRPr="002A039A">
              <w:t>anchors</w:t>
            </w:r>
          </w:p>
          <w:p w:rsidR="00000000" w:rsidRPr="002A039A" w:rsidP="002A039A">
            <w:pPr>
              <w:pStyle w:val="ListBullet2"/>
            </w:pPr>
            <w:r w:rsidRPr="002A039A">
              <w:t>crane cage</w:t>
            </w:r>
          </w:p>
          <w:p w:rsidR="00000000" w:rsidRPr="002A039A" w:rsidP="002A039A">
            <w:pPr>
              <w:pStyle w:val="ListBullet2"/>
            </w:pPr>
            <w:r w:rsidRPr="002A039A">
              <w:t>ear muffs</w:t>
            </w:r>
          </w:p>
          <w:p w:rsidR="00000000" w:rsidRPr="002A039A" w:rsidP="002A039A">
            <w:pPr>
              <w:pStyle w:val="ListBullet2"/>
            </w:pPr>
            <w:r w:rsidRPr="002A039A">
              <w:t>elevated platform</w:t>
            </w:r>
          </w:p>
          <w:p w:rsidR="00000000" w:rsidRPr="002A039A" w:rsidP="002A039A">
            <w:pPr>
              <w:pStyle w:val="ListBullet2"/>
            </w:pPr>
            <w:r w:rsidRPr="002A039A">
              <w:t>equipment guards</w:t>
            </w:r>
          </w:p>
          <w:p w:rsidR="00000000" w:rsidRPr="002A039A" w:rsidP="002A039A">
            <w:pPr>
              <w:pStyle w:val="ListBullet2"/>
            </w:pPr>
            <w:r w:rsidRPr="002A039A">
              <w:t>fall arrest devices and systems</w:t>
            </w:r>
          </w:p>
          <w:p w:rsidR="00000000" w:rsidRPr="002A039A" w:rsidP="002A039A">
            <w:pPr>
              <w:pStyle w:val="ListBullet2"/>
            </w:pPr>
            <w:r w:rsidRPr="002A039A">
              <w:t>fall constraint systems</w:t>
            </w:r>
          </w:p>
          <w:p w:rsidR="00000000" w:rsidRPr="002A039A" w:rsidP="002A039A">
            <w:pPr>
              <w:pStyle w:val="ListBullet2"/>
            </w:pPr>
            <w:r w:rsidRPr="002A039A">
              <w:t>fall guarding systems</w:t>
            </w:r>
          </w:p>
          <w:p w:rsidR="00000000" w:rsidRPr="002A039A" w:rsidP="002A039A">
            <w:pPr>
              <w:pStyle w:val="ListBullet2"/>
            </w:pPr>
            <w:r w:rsidRPr="002A039A">
              <w:t>flashing lights</w:t>
            </w:r>
          </w:p>
          <w:p w:rsidR="00000000" w:rsidRPr="002A039A" w:rsidP="002A039A">
            <w:pPr>
              <w:pStyle w:val="ListBullet2"/>
            </w:pPr>
            <w:r w:rsidRPr="002A039A">
              <w:t xml:space="preserve">gloves </w:t>
            </w:r>
          </w:p>
          <w:p w:rsidR="00000000" w:rsidRPr="002A039A" w:rsidP="002A039A">
            <w:pPr>
              <w:pStyle w:val="ListBullet2"/>
            </w:pPr>
            <w:r w:rsidRPr="002A039A">
              <w:t>guards</w:t>
            </w:r>
          </w:p>
          <w:p w:rsidR="00000000" w:rsidRPr="002A039A" w:rsidP="002A039A">
            <w:pPr>
              <w:pStyle w:val="ListBullet2"/>
            </w:pPr>
            <w:r w:rsidRPr="002A039A">
              <w:t>helmets</w:t>
            </w:r>
          </w:p>
          <w:p w:rsidR="00000000" w:rsidRPr="002A039A" w:rsidP="002A039A">
            <w:pPr>
              <w:pStyle w:val="ListBullet2"/>
            </w:pPr>
            <w:r w:rsidRPr="002A039A">
              <w:t>lanyards</w:t>
            </w:r>
          </w:p>
          <w:p w:rsidR="00000000" w:rsidRPr="002A039A" w:rsidP="002A039A">
            <w:pPr>
              <w:pStyle w:val="ListBullet2"/>
            </w:pPr>
            <w:r w:rsidRPr="002A039A">
              <w:t>pulleys</w:t>
            </w:r>
          </w:p>
          <w:p w:rsidR="00000000" w:rsidRPr="002A039A" w:rsidP="002A039A">
            <w:pPr>
              <w:pStyle w:val="ListBullet2"/>
            </w:pPr>
            <w:r w:rsidRPr="002A039A">
              <w:t>rescue harness</w:t>
            </w:r>
          </w:p>
          <w:p w:rsidR="00000000" w:rsidRPr="002A039A" w:rsidP="002A039A">
            <w:pPr>
              <w:pStyle w:val="ListBullet2"/>
            </w:pPr>
            <w:r w:rsidRPr="002A039A">
              <w:t>rigging plates</w:t>
            </w:r>
          </w:p>
          <w:p w:rsidR="00000000" w:rsidRPr="002A039A" w:rsidP="002A039A">
            <w:pPr>
              <w:pStyle w:val="ListBullet2"/>
            </w:pPr>
            <w:r w:rsidRPr="002A039A">
              <w:t>rope clamps</w:t>
            </w:r>
          </w:p>
          <w:p w:rsidR="00000000" w:rsidRPr="002A039A" w:rsidP="002A039A">
            <w:pPr>
              <w:pStyle w:val="ListBullet2"/>
            </w:pPr>
            <w:r w:rsidRPr="002A039A">
              <w:t>safety cages</w:t>
            </w:r>
          </w:p>
          <w:p w:rsidR="00000000" w:rsidRPr="002A039A" w:rsidP="002A039A">
            <w:pPr>
              <w:pStyle w:val="ListBullet2"/>
            </w:pPr>
            <w:r w:rsidRPr="002A039A">
              <w:t>safety glasses</w:t>
            </w:r>
          </w:p>
          <w:p w:rsidR="00000000" w:rsidRPr="002A039A" w:rsidP="002A039A">
            <w:pPr>
              <w:pStyle w:val="ListBullet2"/>
            </w:pPr>
            <w:r w:rsidRPr="002A039A">
              <w:t xml:space="preserve">safety harness: </w:t>
            </w:r>
          </w:p>
          <w:p w:rsidR="00000000" w:rsidRPr="002A039A" w:rsidP="002A039A">
            <w:pPr>
              <w:pStyle w:val="ListBullet3"/>
            </w:pPr>
            <w:r w:rsidRPr="002A039A">
              <w:t xml:space="preserve">fall arrest </w:t>
            </w:r>
          </w:p>
          <w:p w:rsidR="00000000" w:rsidRPr="002A039A" w:rsidP="002A039A">
            <w:pPr>
              <w:pStyle w:val="ListBullet3"/>
            </w:pPr>
            <w:r w:rsidRPr="002A039A">
              <w:t>sit harness</w:t>
            </w:r>
          </w:p>
          <w:p w:rsidR="00000000" w:rsidRPr="002A039A" w:rsidP="002A039A">
            <w:pPr>
              <w:pStyle w:val="ListBullet2"/>
            </w:pPr>
            <w:r w:rsidRPr="002A039A">
              <w:t>scaffold deck</w:t>
            </w:r>
          </w:p>
          <w:p w:rsidR="00000000" w:rsidRPr="002A039A" w:rsidP="002A039A">
            <w:pPr>
              <w:pStyle w:val="ListBullet2"/>
            </w:pPr>
            <w:r w:rsidRPr="002A039A">
              <w:t>static lines</w:t>
            </w:r>
          </w:p>
          <w:p w:rsidR="00000000" w:rsidP="002A039A">
            <w:pPr>
              <w:pStyle w:val="ListBullet2"/>
              <w:rPr>
                <w:lang w:val="en-NZ"/>
              </w:rPr>
            </w:pPr>
            <w:r w:rsidRPr="002A039A">
              <w:t>warning signs and tapes.</w:t>
            </w:r>
          </w:p>
        </w:tc>
      </w:tr>
      <w:tr w:rsidTr="00222516">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BoldandItalics"/>
              </w:rPr>
              <w:t>EMR hazard management plan</w:t>
            </w:r>
            <w:r w:rsidRPr="002A039A">
              <w:t xml:space="preserve"> may relate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ListBullet"/>
            </w:pPr>
            <w:r w:rsidRPr="002A039A">
              <w:t xml:space="preserve">assessment of the status and condition of telecommunications structures: </w:t>
            </w:r>
          </w:p>
          <w:p w:rsidR="00000000" w:rsidRPr="002A039A" w:rsidP="002A039A">
            <w:pPr>
              <w:pStyle w:val="ListBullet2"/>
            </w:pPr>
            <w:r w:rsidRPr="002A039A">
              <w:t>access for climbing</w:t>
            </w:r>
          </w:p>
          <w:p w:rsidR="00000000" w:rsidRPr="002A039A" w:rsidP="002A039A">
            <w:pPr>
              <w:pStyle w:val="ListBullet2"/>
            </w:pPr>
            <w:r w:rsidRPr="002A039A">
              <w:t>EMR hazardous areas</w:t>
            </w:r>
          </w:p>
          <w:p w:rsidR="00000000" w:rsidRPr="002A039A" w:rsidP="002A039A">
            <w:pPr>
              <w:pStyle w:val="ListBullet2"/>
            </w:pPr>
            <w:r w:rsidRPr="002A039A">
              <w:t>structural integrity</w:t>
            </w:r>
          </w:p>
          <w:p w:rsidR="00000000" w:rsidRPr="002A039A" w:rsidP="002A039A">
            <w:pPr>
              <w:pStyle w:val="ListBullet"/>
            </w:pPr>
            <w:r w:rsidRPr="002A039A">
              <w:t>control measures</w:t>
            </w:r>
          </w:p>
          <w:p w:rsidR="00000000" w:rsidRPr="002A039A" w:rsidP="002A039A">
            <w:pPr>
              <w:pStyle w:val="ListBullet"/>
            </w:pPr>
            <w:r w:rsidRPr="002A039A">
              <w:t xml:space="preserve">EMR devices </w:t>
            </w:r>
          </w:p>
          <w:p w:rsidR="00000000" w:rsidRPr="002A039A" w:rsidP="002A039A">
            <w:pPr>
              <w:pStyle w:val="ListBullet"/>
            </w:pPr>
            <w:r w:rsidRPr="002A039A">
              <w:t>site hazard identification</w:t>
            </w:r>
          </w:p>
          <w:p w:rsidR="00000000" w:rsidRPr="002A039A" w:rsidP="002A039A">
            <w:pPr>
              <w:pStyle w:val="ListBullet"/>
            </w:pPr>
            <w:r w:rsidRPr="002A039A">
              <w:t>verifying and maintaining the EMR hazard management plan against an on-site situation.</w:t>
            </w:r>
          </w:p>
        </w:tc>
      </w:tr>
    </w:tbl>
    <w:p w:rsidR="00222516" w:rsidP="002A039A">
      <w:pPr>
        <w:pStyle w:val="BodyText"/>
      </w:pPr>
    </w:p>
    <w:p w:rsidR="00222516" w:rsidP="002A039A">
      <w:pPr>
        <w:pStyle w:val="BodyText"/>
      </w:pPr>
    </w:p>
    <w:p w:rsidR="00000000" w:rsidRPr="002A039A" w:rsidP="002A039A">
      <w:pPr>
        <w:pStyle w:val="Heading1"/>
      </w:pPr>
      <w:bookmarkStart w:id="12" w:name="O_209542"/>
      <w:bookmarkEnd w:id="12"/>
      <w:r w:rsidRPr="002A039A">
        <w:t>Unit Sector(s)</w:t>
      </w:r>
    </w:p>
    <w:tbl>
      <w:tblPr>
        <w:tblW w:w="0" w:type="auto"/>
        <w:tblLayout w:type="fixed"/>
        <w:tblCellMar>
          <w:left w:w="62" w:type="dxa"/>
          <w:right w:w="62" w:type="dxa"/>
        </w:tblCellMar>
        <w:tblLook w:val="0000"/>
      </w:tblPr>
      <w:tblGrid>
        <w:gridCol w:w="2534"/>
        <w:gridCol w:w="5988"/>
      </w:tblGrid>
      <w:tr w:rsidTr="00222516">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Unit sector</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t>Telecommunications</w:t>
            </w:r>
          </w:p>
        </w:tc>
      </w:tr>
    </w:tbl>
    <w:p w:rsidR="00222516" w:rsidP="002A039A">
      <w:pPr>
        <w:pStyle w:val="BodyText"/>
      </w:pPr>
    </w:p>
    <w:p w:rsidR="00222516" w:rsidP="002A039A">
      <w:pPr>
        <w:pStyle w:val="BodyText"/>
      </w:pPr>
    </w:p>
    <w:p w:rsidR="00000000" w:rsidRPr="002A039A" w:rsidP="002A039A">
      <w:pPr>
        <w:pStyle w:val="Heading1"/>
      </w:pPr>
      <w:bookmarkStart w:id="13" w:name="O_209539"/>
      <w:bookmarkEnd w:id="13"/>
      <w:r w:rsidRPr="002A039A">
        <w:t>Co-requisite units</w:t>
      </w:r>
    </w:p>
    <w:tbl>
      <w:tblPr>
        <w:tblW w:w="0" w:type="auto"/>
        <w:tblLayout w:type="fixed"/>
        <w:tblCellMar>
          <w:left w:w="62" w:type="dxa"/>
          <w:right w:w="62" w:type="dxa"/>
        </w:tblCellMar>
        <w:tblLook w:val="0000"/>
      </w:tblPr>
      <w:tblGrid>
        <w:gridCol w:w="2603"/>
        <w:gridCol w:w="1480"/>
        <w:gridCol w:w="4439"/>
      </w:tblGrid>
      <w:tr w:rsidTr="00222516">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Co-requisite units</w:t>
            </w:r>
          </w:p>
        </w:tc>
        <w:tc>
          <w:tcPr>
            <w:tcW w:w="59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p>
        </w:tc>
      </w:tr>
      <w:tr w:rsidTr="00222516">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p>
        </w:tc>
      </w:tr>
    </w:tbl>
    <w:p w:rsidR="00222516" w:rsidP="002A039A">
      <w:pPr>
        <w:pStyle w:val="BodyText"/>
      </w:pPr>
    </w:p>
    <w:p w:rsidR="00222516" w:rsidP="002A039A">
      <w:pPr>
        <w:pStyle w:val="BodyText"/>
      </w:pPr>
    </w:p>
    <w:p w:rsidR="00000000" w:rsidRPr="002A039A" w:rsidP="002A039A">
      <w:pPr>
        <w:pStyle w:val="Heading1"/>
      </w:pPr>
      <w:bookmarkStart w:id="14" w:name="O_209541"/>
      <w:bookmarkEnd w:id="14"/>
      <w:r w:rsidRPr="002A039A">
        <w:t>Competency field</w:t>
      </w:r>
    </w:p>
    <w:tbl>
      <w:tblPr>
        <w:tblW w:w="0" w:type="auto"/>
        <w:tblLayout w:type="fixed"/>
        <w:tblCellMar>
          <w:left w:w="62" w:type="dxa"/>
          <w:right w:w="62" w:type="dxa"/>
        </w:tblCellMar>
        <w:tblLook w:val="0000"/>
      </w:tblPr>
      <w:tblGrid>
        <w:gridCol w:w="2735"/>
        <w:gridCol w:w="5787"/>
      </w:tblGrid>
      <w:tr w:rsidTr="00222516">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9A">
            <w:pPr>
              <w:pStyle w:val="BodyText"/>
              <w:rPr>
                <w:lang w:val="en-NZ"/>
              </w:rPr>
            </w:pPr>
            <w:r w:rsidRPr="002A039A">
              <w:rPr>
                <w:rStyle w:val="SpecialBold"/>
              </w:rPr>
              <w:t>Competency field</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9A" w:rsidP="002A039A">
            <w:pPr>
              <w:pStyle w:val="BodyText"/>
            </w:pPr>
            <w:r w:rsidRPr="002A039A">
              <w:t>Telecommunications Rigging Installation</w:t>
            </w:r>
          </w:p>
        </w:tc>
      </w:tr>
    </w:tbl>
    <w:p w:rsidR="00222516" w:rsidP="002A039A">
      <w:pPr>
        <w:pStyle w:val="BodyText"/>
      </w:pPr>
    </w:p>
    <w:p w:rsidR="00222516" w:rsidP="002A039A">
      <w:pPr>
        <w:pStyle w:val="BodyText"/>
      </w:pPr>
    </w:p>
    <w:p w:rsidR="00000000" w:rsidRPr="002A039A" w:rsidP="002A039A"/>
    <w:sectPr w:rsidSect="002A03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516" w:rsidP="002225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16" w:rsidP="002A03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222516" w:rsidP="002A03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2516" w:rsidP="002A03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9A" w:rsidRPr="00222516" w:rsidP="002225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16" w:rsidRPr="002D2AF8" w:rsidP="002A039A">
    <w:pPr>
      <w:pStyle w:val="Header"/>
      <w:framePr w:wrap="around"/>
    </w:pPr>
    <w:r>
      <w:fldChar w:fldCharType="begin"/>
    </w:r>
    <w:r>
      <w:instrText xml:space="preserve"> TITLE   \* MERGEFORMAT </w:instrText>
    </w:r>
    <w:r>
      <w:fldChar w:fldCharType="separate"/>
    </w:r>
    <w:r>
      <w:t>ICTTCR3192A Protect against electromagnetic radiation and system hazards when working on telecommunications radio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22516" w:rsidP="002A0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04D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8AB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FEF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39A"/>
    <w:pPr>
      <w:spacing w:before="360" w:after="60"/>
      <w:outlineLvl w:val="0"/>
    </w:pPr>
    <w:rPr>
      <w:sz w:val="32"/>
    </w:rPr>
  </w:style>
  <w:style w:type="paragraph" w:styleId="Heading2">
    <w:name w:val="heading 2"/>
    <w:basedOn w:val="HeadingBase"/>
    <w:next w:val="BodyText"/>
    <w:link w:val="Heading2Char"/>
    <w:qFormat/>
    <w:rsid w:val="002A039A"/>
    <w:pPr>
      <w:keepLines/>
      <w:spacing w:before="240" w:after="120"/>
      <w:outlineLvl w:val="1"/>
    </w:pPr>
    <w:rPr>
      <w:sz w:val="28"/>
      <w:szCs w:val="40"/>
    </w:rPr>
  </w:style>
  <w:style w:type="paragraph" w:styleId="Heading3">
    <w:name w:val="heading 3"/>
    <w:basedOn w:val="HeadingBase"/>
    <w:next w:val="BodyText"/>
    <w:link w:val="Heading3Char"/>
    <w:qFormat/>
    <w:rsid w:val="002A039A"/>
    <w:pPr>
      <w:spacing w:before="180" w:after="120"/>
      <w:outlineLvl w:val="2"/>
    </w:pPr>
    <w:rPr>
      <w:spacing w:val="-10"/>
      <w:kern w:val="32"/>
    </w:rPr>
  </w:style>
  <w:style w:type="paragraph" w:styleId="Heading4">
    <w:name w:val="heading 4"/>
    <w:basedOn w:val="HeadingBase"/>
    <w:next w:val="BodyText"/>
    <w:link w:val="Heading4Char"/>
    <w:qFormat/>
    <w:rsid w:val="002A039A"/>
    <w:pPr>
      <w:spacing w:before="160" w:after="120"/>
      <w:outlineLvl w:val="3"/>
    </w:pPr>
    <w:rPr>
      <w:sz w:val="22"/>
    </w:rPr>
  </w:style>
  <w:style w:type="paragraph" w:styleId="Heading5">
    <w:name w:val="heading 5"/>
    <w:basedOn w:val="HeadingBase"/>
    <w:next w:val="Normal"/>
    <w:link w:val="Heading5Char"/>
    <w:qFormat/>
    <w:rsid w:val="002A039A"/>
    <w:pPr>
      <w:spacing w:before="80"/>
      <w:outlineLvl w:val="4"/>
    </w:pPr>
    <w:rPr>
      <w:color w:val="918585"/>
      <w:sz w:val="20"/>
    </w:rPr>
  </w:style>
  <w:style w:type="paragraph" w:styleId="Heading6">
    <w:name w:val="heading 6"/>
    <w:basedOn w:val="HeadingBase"/>
    <w:next w:val="Normal"/>
    <w:link w:val="Heading6Char"/>
    <w:qFormat/>
    <w:rsid w:val="002A039A"/>
    <w:pPr>
      <w:spacing w:before="60"/>
      <w:outlineLvl w:val="5"/>
    </w:pPr>
    <w:rPr>
      <w:color w:val="918585"/>
      <w:sz w:val="20"/>
    </w:rPr>
  </w:style>
  <w:style w:type="paragraph" w:styleId="Heading7">
    <w:name w:val="heading 7"/>
    <w:basedOn w:val="Normal"/>
    <w:next w:val="Normal"/>
    <w:link w:val="Heading7Char"/>
    <w:qFormat/>
    <w:rsid w:val="002A039A"/>
    <w:pPr>
      <w:ind w:left="720"/>
      <w:outlineLvl w:val="6"/>
    </w:pPr>
    <w:rPr>
      <w:i/>
    </w:rPr>
  </w:style>
  <w:style w:type="paragraph" w:styleId="Heading8">
    <w:name w:val="heading 8"/>
    <w:basedOn w:val="Normal"/>
    <w:next w:val="Normal"/>
    <w:link w:val="Heading8Char"/>
    <w:qFormat/>
    <w:rsid w:val="002A039A"/>
    <w:pPr>
      <w:ind w:left="720"/>
      <w:outlineLvl w:val="7"/>
    </w:pPr>
    <w:rPr>
      <w:i/>
    </w:rPr>
  </w:style>
  <w:style w:type="paragraph" w:styleId="Heading9">
    <w:name w:val="heading 9"/>
    <w:basedOn w:val="Normal"/>
    <w:next w:val="Normal"/>
    <w:link w:val="Heading9Char"/>
    <w:qFormat/>
    <w:rsid w:val="002A039A"/>
    <w:pPr>
      <w:ind w:left="720"/>
      <w:outlineLvl w:val="8"/>
    </w:pPr>
    <w:rPr>
      <w:i/>
    </w:rPr>
  </w:style>
  <w:style w:type="character" w:default="1" w:styleId="DefaultParagraphFont">
    <w:name w:val="Default Paragraph Font"/>
    <w:uiPriority w:val="1"/>
    <w:unhideWhenUsed/>
    <w:rsid w:val="002A0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39A"/>
  </w:style>
  <w:style w:type="character" w:customStyle="1" w:styleId="Heading1Char">
    <w:name w:val="Heading 1 Char"/>
    <w:basedOn w:val="DefaultParagraphFont"/>
    <w:link w:val="Heading1"/>
    <w:rsid w:val="002A039A"/>
    <w:rPr>
      <w:rFonts w:ascii="Times New Roman" w:eastAsia="Times New Roman" w:hAnsi="Times New Roman" w:cs="Times New Roman"/>
      <w:b/>
      <w:sz w:val="32"/>
      <w:szCs w:val="20"/>
      <w:lang w:eastAsia="en-US"/>
    </w:rPr>
  </w:style>
  <w:style w:type="paragraph" w:styleId="BodyText">
    <w:name w:val="Body Text"/>
    <w:basedOn w:val="Normal"/>
    <w:link w:val="BodyTextChar"/>
    <w:rsid w:val="002A03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039A"/>
    <w:rPr>
      <w:rFonts w:ascii="Times New Roman" w:eastAsia="Times New Roman" w:hAnsi="Times New Roman" w:cs="Times New Roman"/>
      <w:sz w:val="24"/>
      <w:lang w:eastAsia="en-US"/>
    </w:rPr>
  </w:style>
  <w:style w:type="paragraph" w:styleId="Footer">
    <w:name w:val="footer"/>
    <w:basedOn w:val="Normal"/>
    <w:link w:val="FooterChar"/>
    <w:rsid w:val="002A0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39A"/>
    <w:rPr>
      <w:rFonts w:ascii="Times New Roman" w:eastAsia="Times New Roman" w:hAnsi="Times New Roman" w:cs="Times New Roman"/>
      <w:sz w:val="16"/>
      <w:lang w:eastAsia="en-US"/>
    </w:rPr>
  </w:style>
  <w:style w:type="paragraph" w:styleId="List">
    <w:name w:val="List"/>
    <w:basedOn w:val="BodyText"/>
    <w:next w:val="BodyText"/>
    <w:rsid w:val="002A039A"/>
    <w:pPr>
      <w:tabs>
        <w:tab w:val="left" w:pos="340"/>
      </w:tabs>
      <w:spacing w:before="60" w:after="60"/>
      <w:ind w:left="340" w:hanging="340"/>
    </w:pPr>
  </w:style>
  <w:style w:type="paragraph" w:styleId="ListBullet">
    <w:name w:val="List Bullet"/>
    <w:basedOn w:val="List"/>
    <w:rsid w:val="002A039A"/>
    <w:pPr>
      <w:numPr>
        <w:numId w:val="14"/>
      </w:numPr>
      <w:tabs>
        <w:tab w:val="clear" w:pos="340"/>
      </w:tabs>
      <w:spacing w:before="40" w:after="40"/>
    </w:pPr>
  </w:style>
  <w:style w:type="character" w:customStyle="1" w:styleId="SpecialBold">
    <w:name w:val="Special Bold"/>
    <w:basedOn w:val="DefaultParagraphFont"/>
    <w:rsid w:val="002A039A"/>
    <w:rPr>
      <w:b/>
      <w:spacing w:val="0"/>
    </w:rPr>
  </w:style>
  <w:style w:type="paragraph" w:styleId="ListBullet2">
    <w:name w:val="List Bullet 2"/>
    <w:basedOn w:val="List2"/>
    <w:rsid w:val="002A039A"/>
    <w:pPr>
      <w:numPr>
        <w:numId w:val="15"/>
      </w:numPr>
      <w:tabs>
        <w:tab w:val="clear" w:pos="680"/>
      </w:tabs>
    </w:pPr>
  </w:style>
  <w:style w:type="paragraph" w:customStyle="1" w:styleId="SuperHeading">
    <w:name w:val="SuperHeading"/>
    <w:basedOn w:val="Normal"/>
    <w:rsid w:val="002A039A"/>
    <w:pPr>
      <w:spacing w:before="240" w:after="120"/>
      <w:outlineLvl w:val="0"/>
    </w:pPr>
    <w:rPr>
      <w:rFonts w:ascii="Times New Roman" w:hAnsi="Times New Roman"/>
      <w:b/>
      <w:sz w:val="28"/>
    </w:rPr>
  </w:style>
  <w:style w:type="paragraph" w:customStyle="1" w:styleId="AllowPageBreak">
    <w:name w:val="AllowPageBreak"/>
    <w:rsid w:val="002A03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039A"/>
    <w:pPr>
      <w:tabs>
        <w:tab w:val="left" w:pos="680"/>
      </w:tabs>
      <w:spacing w:before="60" w:after="60"/>
      <w:ind w:left="680" w:hanging="340"/>
    </w:pPr>
  </w:style>
  <w:style w:type="paragraph" w:styleId="ListBullet3">
    <w:name w:val="List Bullet 3"/>
    <w:basedOn w:val="List3"/>
    <w:rsid w:val="002A039A"/>
    <w:pPr>
      <w:numPr>
        <w:numId w:val="3"/>
      </w:numPr>
      <w:tabs>
        <w:tab w:val="clear" w:pos="1021"/>
      </w:tabs>
      <w:ind w:left="1037" w:hanging="357"/>
    </w:pPr>
  </w:style>
  <w:style w:type="character" w:customStyle="1" w:styleId="BoldandItalics">
    <w:name w:val="Bold and Italics"/>
    <w:qFormat/>
    <w:rsid w:val="002A039A"/>
    <w:rPr>
      <w:b/>
      <w:i/>
      <w:u w:val="none"/>
    </w:rPr>
  </w:style>
  <w:style w:type="character" w:customStyle="1" w:styleId="Heading2Char">
    <w:name w:val="Heading 2 Char"/>
    <w:basedOn w:val="DefaultParagraphFont"/>
    <w:link w:val="Heading2"/>
    <w:rsid w:val="002A0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39A"/>
    <w:rPr>
      <w:rFonts w:ascii="Courier New" w:eastAsia="Times New Roman" w:hAnsi="Courier New" w:cs="Times New Roman"/>
      <w:i/>
      <w:szCs w:val="20"/>
      <w:lang w:eastAsia="en-US"/>
    </w:rPr>
  </w:style>
  <w:style w:type="paragraph" w:customStyle="1" w:styleId="HeadingBase">
    <w:name w:val="Heading Base"/>
    <w:rsid w:val="002A0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39A"/>
    <w:pPr>
      <w:tabs>
        <w:tab w:val="right" w:leader="dot" w:pos="9072"/>
      </w:tabs>
      <w:ind w:left="567"/>
    </w:pPr>
    <w:rPr>
      <w:szCs w:val="22"/>
    </w:rPr>
  </w:style>
  <w:style w:type="paragraph" w:customStyle="1" w:styleId="TOCBase">
    <w:name w:val="TOC Base"/>
    <w:rsid w:val="002A0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39A"/>
    <w:pPr>
      <w:tabs>
        <w:tab w:val="right" w:leader="dot" w:pos="9072"/>
      </w:tabs>
      <w:spacing w:before="40" w:after="40"/>
      <w:ind w:left="284"/>
    </w:pPr>
    <w:rPr>
      <w:rFonts w:ascii="Times New Roman" w:hAnsi="Times New Roman"/>
    </w:rPr>
  </w:style>
  <w:style w:type="paragraph" w:styleId="TOC1">
    <w:name w:val="toc 1"/>
    <w:basedOn w:val="TOCBase"/>
    <w:next w:val="Normal"/>
    <w:rsid w:val="002A03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039A"/>
    <w:pPr>
      <w:spacing w:before="5040"/>
      <w:jc w:val="center"/>
    </w:pPr>
    <w:rPr>
      <w:sz w:val="48"/>
      <w:szCs w:val="72"/>
      <w:lang w:val="en-US"/>
    </w:rPr>
  </w:style>
  <w:style w:type="character" w:customStyle="1" w:styleId="TitleChar">
    <w:name w:val="Title Char"/>
    <w:basedOn w:val="DefaultParagraphFont"/>
    <w:link w:val="Title"/>
    <w:rsid w:val="002A0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39A"/>
    <w:pPr>
      <w:tabs>
        <w:tab w:val="left" w:pos="3600"/>
        <w:tab w:val="left" w:pos="3958"/>
      </w:tabs>
    </w:pPr>
  </w:style>
  <w:style w:type="paragraph" w:customStyle="1" w:styleId="Note">
    <w:name w:val="Note"/>
    <w:basedOn w:val="BodyText"/>
    <w:rsid w:val="002A0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39A"/>
    <w:pPr>
      <w:framePr w:wrap="auto" w:hAnchor="text" w:y="6049"/>
    </w:pPr>
    <w:rPr>
      <w:color w:val="000000"/>
      <w:sz w:val="40"/>
    </w:rPr>
  </w:style>
  <w:style w:type="paragraph" w:customStyle="1" w:styleId="TOCTitle">
    <w:name w:val="TOCTitle"/>
    <w:basedOn w:val="Heading1"/>
    <w:rsid w:val="002A039A"/>
    <w:pPr>
      <w:spacing w:after="240"/>
      <w:jc w:val="center"/>
      <w:outlineLvl w:val="9"/>
    </w:pPr>
    <w:rPr>
      <w:caps/>
    </w:rPr>
  </w:style>
  <w:style w:type="paragraph" w:customStyle="1" w:styleId="Version">
    <w:name w:val="Version"/>
    <w:rsid w:val="002A03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39A"/>
    <w:pPr>
      <w:keepNext w:val="0"/>
      <w:tabs>
        <w:tab w:val="right" w:pos="4176"/>
      </w:tabs>
      <w:ind w:left="198" w:hanging="198"/>
    </w:pPr>
    <w:rPr>
      <w:rFonts w:ascii="Garamond" w:hAnsi="Garamond"/>
    </w:rPr>
  </w:style>
  <w:style w:type="paragraph" w:styleId="IndexHeading">
    <w:name w:val="index heading"/>
    <w:basedOn w:val="Normal"/>
    <w:next w:val="Index1"/>
    <w:semiHidden/>
    <w:rsid w:val="002A039A"/>
    <w:pPr>
      <w:spacing w:before="120" w:after="120"/>
    </w:pPr>
    <w:rPr>
      <w:rFonts w:ascii="Arial" w:hAnsi="Arial"/>
      <w:b/>
      <w:color w:val="918585"/>
      <w:sz w:val="24"/>
    </w:rPr>
  </w:style>
  <w:style w:type="paragraph" w:styleId="Header">
    <w:name w:val="header"/>
    <w:basedOn w:val="Normal"/>
    <w:link w:val="HeaderChar"/>
    <w:rsid w:val="002A0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39A"/>
    <w:rPr>
      <w:rFonts w:ascii="Times New Roman" w:eastAsia="Times New Roman" w:hAnsi="Times New Roman" w:cs="Times New Roman"/>
      <w:sz w:val="16"/>
      <w:szCs w:val="20"/>
      <w:lang w:val="en-GB" w:eastAsia="en-US"/>
    </w:rPr>
  </w:style>
  <w:style w:type="paragraph" w:customStyle="1" w:styleId="Chapter">
    <w:name w:val="Chapter"/>
    <w:basedOn w:val="Normal"/>
    <w:rsid w:val="002A039A"/>
    <w:pPr>
      <w:spacing w:before="240"/>
    </w:pPr>
    <w:rPr>
      <w:rFonts w:ascii="Times New Roman" w:hAnsi="Times New Roman"/>
      <w:smallCaps/>
      <w:spacing w:val="80"/>
      <w:sz w:val="28"/>
    </w:rPr>
  </w:style>
  <w:style w:type="paragraph" w:customStyle="1" w:styleId="InChapter">
    <w:name w:val="InChapter"/>
    <w:basedOn w:val="Heading3"/>
    <w:rsid w:val="002A039A"/>
    <w:pPr>
      <w:spacing w:after="240"/>
      <w:outlineLvl w:val="9"/>
    </w:pPr>
    <w:rPr>
      <w:noProof/>
    </w:rPr>
  </w:style>
  <w:style w:type="paragraph" w:styleId="Index2">
    <w:name w:val="index 2"/>
    <w:basedOn w:val="Normal"/>
    <w:next w:val="Normal"/>
    <w:semiHidden/>
    <w:rsid w:val="002A039A"/>
    <w:pPr>
      <w:tabs>
        <w:tab w:val="right" w:pos="4176"/>
      </w:tabs>
      <w:ind w:left="568" w:hanging="284"/>
    </w:pPr>
    <w:rPr>
      <w:rFonts w:ascii="Garamond" w:hAnsi="Garamond"/>
    </w:rPr>
  </w:style>
  <w:style w:type="paragraph" w:customStyle="1" w:styleId="Byline">
    <w:name w:val="Byline"/>
    <w:rsid w:val="002A0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39A"/>
    <w:pPr>
      <w:tabs>
        <w:tab w:val="clear" w:pos="3600"/>
        <w:tab w:val="clear" w:pos="3958"/>
      </w:tabs>
      <w:jc w:val="right"/>
    </w:pPr>
  </w:style>
  <w:style w:type="character" w:styleId="Emphasis">
    <w:name w:val="Emphasis"/>
    <w:basedOn w:val="DefaultParagraphFont"/>
    <w:qFormat/>
    <w:rsid w:val="002A039A"/>
    <w:rPr>
      <w:i/>
    </w:rPr>
  </w:style>
  <w:style w:type="paragraph" w:styleId="Caption">
    <w:name w:val="caption"/>
    <w:basedOn w:val="BodyText"/>
    <w:next w:val="Normal"/>
    <w:qFormat/>
    <w:rsid w:val="002A039A"/>
    <w:pPr>
      <w:framePr w:w="2268" w:hSpace="181" w:vSpace="181" w:wrap="around" w:vAnchor="text" w:hAnchor="page" w:x="1135" w:y="285" w:anchorLock="1"/>
    </w:pPr>
    <w:rPr>
      <w:i/>
    </w:rPr>
  </w:style>
  <w:style w:type="paragraph" w:customStyle="1" w:styleId="MiniTOCTitle">
    <w:name w:val="MiniTOCTitle"/>
    <w:basedOn w:val="Heading4"/>
    <w:rsid w:val="002A039A"/>
    <w:pPr>
      <w:spacing w:before="240"/>
      <w:outlineLvl w:val="9"/>
    </w:pPr>
    <w:rPr>
      <w:noProof/>
      <w:sz w:val="24"/>
    </w:rPr>
  </w:style>
  <w:style w:type="paragraph" w:customStyle="1" w:styleId="MiniTOCItem">
    <w:name w:val="MiniTOCItem"/>
    <w:basedOn w:val="ListBullet"/>
    <w:rsid w:val="002A039A"/>
    <w:pPr>
      <w:numPr>
        <w:numId w:val="0"/>
      </w:numPr>
      <w:tabs>
        <w:tab w:val="right" w:leader="dot" w:pos="6521"/>
      </w:tabs>
      <w:spacing w:before="0" w:after="0"/>
    </w:pPr>
  </w:style>
  <w:style w:type="paragraph" w:customStyle="1" w:styleId="TOFTitle">
    <w:name w:val="TOFTitle"/>
    <w:basedOn w:val="TOCTitle"/>
    <w:rsid w:val="002A039A"/>
  </w:style>
  <w:style w:type="paragraph" w:styleId="TableofFigures">
    <w:name w:val="table of figures"/>
    <w:basedOn w:val="Normal"/>
    <w:next w:val="Normal"/>
    <w:semiHidden/>
    <w:rsid w:val="002A039A"/>
    <w:pPr>
      <w:tabs>
        <w:tab w:val="right" w:leader="dot" w:pos="9072"/>
      </w:tabs>
      <w:ind w:left="970" w:hanging="403"/>
    </w:pPr>
    <w:rPr>
      <w:rFonts w:ascii="Times New Roman" w:hAnsi="Times New Roman"/>
      <w:b/>
    </w:rPr>
  </w:style>
  <w:style w:type="paragraph" w:styleId="ListNumber">
    <w:name w:val="List Number"/>
    <w:basedOn w:val="List"/>
    <w:rsid w:val="002A039A"/>
    <w:pPr>
      <w:numPr>
        <w:numId w:val="12"/>
      </w:numPr>
    </w:pPr>
  </w:style>
  <w:style w:type="character" w:customStyle="1" w:styleId="WingdingSymbols">
    <w:name w:val="Wingding Symbols"/>
    <w:rsid w:val="002A039A"/>
    <w:rPr>
      <w:rFonts w:ascii="Wingdings" w:hAnsi="Wingdings"/>
    </w:rPr>
  </w:style>
  <w:style w:type="paragraph" w:customStyle="1" w:styleId="TableHeading">
    <w:name w:val="Table Heading"/>
    <w:basedOn w:val="HeadingBase"/>
    <w:rsid w:val="002A039A"/>
    <w:pPr>
      <w:keepLines/>
      <w:pBdr>
        <w:bottom w:val="single" w:sz="6" w:space="1" w:color="918585"/>
      </w:pBdr>
      <w:spacing w:before="240"/>
    </w:pPr>
  </w:style>
  <w:style w:type="character" w:customStyle="1" w:styleId="HotSpot">
    <w:name w:val="HotSpot"/>
    <w:rsid w:val="002A039A"/>
    <w:rPr>
      <w:color w:val="0033CC"/>
      <w:u w:val="none"/>
    </w:rPr>
  </w:style>
  <w:style w:type="paragraph" w:customStyle="1" w:styleId="BodyTextRight">
    <w:name w:val="Body Text Right"/>
    <w:basedOn w:val="BodyText"/>
    <w:rsid w:val="002A039A"/>
    <w:pPr>
      <w:spacing w:before="0" w:after="0"/>
      <w:jc w:val="right"/>
    </w:pPr>
  </w:style>
  <w:style w:type="paragraph" w:styleId="Index3">
    <w:name w:val="index 3"/>
    <w:basedOn w:val="ListNumber2"/>
    <w:next w:val="Normal"/>
    <w:semiHidden/>
    <w:rsid w:val="002A039A"/>
    <w:pPr>
      <w:numPr>
        <w:numId w:val="0"/>
      </w:numPr>
      <w:tabs>
        <w:tab w:val="right" w:leader="dot" w:pos="4176"/>
      </w:tabs>
    </w:pPr>
  </w:style>
  <w:style w:type="paragraph" w:styleId="ListNumber2">
    <w:name w:val="List Number 2"/>
    <w:basedOn w:val="List2"/>
    <w:rsid w:val="002A039A"/>
    <w:pPr>
      <w:numPr>
        <w:numId w:val="11"/>
      </w:numPr>
      <w:tabs>
        <w:tab w:val="clear" w:pos="1060"/>
      </w:tabs>
    </w:pPr>
  </w:style>
  <w:style w:type="paragraph" w:customStyle="1" w:styleId="MarginNote">
    <w:name w:val="Margin Note"/>
    <w:basedOn w:val="BodyText"/>
    <w:rsid w:val="002A0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39A"/>
    <w:rPr>
      <w:sz w:val="32"/>
    </w:rPr>
  </w:style>
  <w:style w:type="paragraph" w:customStyle="1" w:styleId="HeadingProcedure">
    <w:name w:val="Heading Procedure"/>
    <w:basedOn w:val="HeadingBase"/>
    <w:next w:val="Normal"/>
    <w:rsid w:val="002A039A"/>
    <w:pPr>
      <w:tabs>
        <w:tab w:val="left" w:pos="0"/>
      </w:tabs>
      <w:spacing w:before="120" w:after="60"/>
    </w:pPr>
    <w:rPr>
      <w:i/>
      <w:color w:val="918585"/>
      <w:sz w:val="22"/>
    </w:rPr>
  </w:style>
  <w:style w:type="paragraph" w:customStyle="1" w:styleId="TableBodyText">
    <w:name w:val="Table Body Text"/>
    <w:basedOn w:val="BodyText"/>
    <w:rsid w:val="002A039A"/>
    <w:pPr>
      <w:spacing w:before="60" w:after="60"/>
    </w:pPr>
  </w:style>
  <w:style w:type="paragraph" w:styleId="ListContinue">
    <w:name w:val="List Continue"/>
    <w:basedOn w:val="List"/>
    <w:rsid w:val="002A039A"/>
    <w:pPr>
      <w:ind w:firstLine="0"/>
    </w:pPr>
  </w:style>
  <w:style w:type="paragraph" w:customStyle="1" w:styleId="ListNote">
    <w:name w:val="List Note"/>
    <w:basedOn w:val="List"/>
    <w:rsid w:val="002A039A"/>
    <w:pPr>
      <w:pBdr>
        <w:top w:val="single" w:sz="6" w:space="2" w:color="918585"/>
        <w:bottom w:val="single" w:sz="6" w:space="2" w:color="918585"/>
      </w:pBdr>
      <w:tabs>
        <w:tab w:val="left" w:pos="1021"/>
      </w:tabs>
      <w:ind w:firstLine="0"/>
    </w:pPr>
  </w:style>
  <w:style w:type="paragraph" w:customStyle="1" w:styleId="Warning">
    <w:name w:val="Warning"/>
    <w:basedOn w:val="BodyText"/>
    <w:rsid w:val="002A039A"/>
    <w:pPr>
      <w:shd w:val="clear" w:color="auto" w:fill="D9D9D9"/>
      <w:tabs>
        <w:tab w:val="left" w:pos="992"/>
      </w:tabs>
      <w:ind w:left="119" w:right="119"/>
    </w:pPr>
    <w:rPr>
      <w:sz w:val="20"/>
    </w:rPr>
  </w:style>
  <w:style w:type="paragraph" w:customStyle="1" w:styleId="MarginIcons">
    <w:name w:val="Margin Icons"/>
    <w:basedOn w:val="BodyText"/>
    <w:rsid w:val="002A0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39A"/>
    <w:rPr>
      <w:rFonts w:ascii="Courier New" w:hAnsi="Courier New"/>
    </w:rPr>
  </w:style>
  <w:style w:type="paragraph" w:customStyle="1" w:styleId="NoteBullet">
    <w:name w:val="Note Bullet"/>
    <w:basedOn w:val="Note"/>
    <w:rsid w:val="002A039A"/>
    <w:pPr>
      <w:tabs>
        <w:tab w:val="clear" w:pos="680"/>
      </w:tabs>
      <w:spacing w:before="60" w:after="60"/>
    </w:pPr>
  </w:style>
  <w:style w:type="paragraph" w:customStyle="1" w:styleId="SubHeading2">
    <w:name w:val="SubHeading2"/>
    <w:basedOn w:val="HeadingBase"/>
    <w:rsid w:val="002A039A"/>
    <w:pPr>
      <w:spacing w:before="240" w:after="60"/>
    </w:pPr>
    <w:rPr>
      <w:sz w:val="20"/>
    </w:rPr>
  </w:style>
  <w:style w:type="paragraph" w:customStyle="1" w:styleId="SubHeading1">
    <w:name w:val="SubHeading1"/>
    <w:basedOn w:val="HeadingBase"/>
    <w:rsid w:val="002A039A"/>
    <w:pPr>
      <w:spacing w:before="240" w:after="60"/>
    </w:pPr>
    <w:rPr>
      <w:color w:val="918585"/>
      <w:sz w:val="22"/>
    </w:rPr>
  </w:style>
  <w:style w:type="paragraph" w:customStyle="1" w:styleId="SideHeading">
    <w:name w:val="Side Heading"/>
    <w:basedOn w:val="HeadingBase"/>
    <w:rsid w:val="002A0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39A"/>
    <w:pPr>
      <w:numPr>
        <w:numId w:val="13"/>
      </w:numPr>
    </w:pPr>
  </w:style>
  <w:style w:type="paragraph" w:styleId="PlainText">
    <w:name w:val="Plain Text"/>
    <w:basedOn w:val="Normal"/>
    <w:link w:val="PlainTextChar"/>
    <w:rsid w:val="002A039A"/>
    <w:rPr>
      <w:sz w:val="20"/>
    </w:rPr>
  </w:style>
  <w:style w:type="character" w:customStyle="1" w:styleId="PlainTextChar">
    <w:name w:val="Plain Text Char"/>
    <w:basedOn w:val="DefaultParagraphFont"/>
    <w:link w:val="PlainText"/>
    <w:rsid w:val="002A039A"/>
    <w:rPr>
      <w:rFonts w:ascii="Courier New" w:eastAsia="Times New Roman" w:hAnsi="Courier New" w:cs="Times New Roman"/>
      <w:sz w:val="20"/>
      <w:szCs w:val="20"/>
      <w:lang w:eastAsia="en-US"/>
    </w:rPr>
  </w:style>
  <w:style w:type="character" w:customStyle="1" w:styleId="MenuOption">
    <w:name w:val="Menu Option"/>
    <w:basedOn w:val="DefaultParagraphFont"/>
    <w:rsid w:val="002A039A"/>
    <w:rPr>
      <w:b/>
      <w:smallCaps/>
    </w:rPr>
  </w:style>
  <w:style w:type="paragraph" w:customStyle="1" w:styleId="TableListNumber">
    <w:name w:val="Table List Number"/>
    <w:basedOn w:val="ListNumber"/>
    <w:rsid w:val="002A039A"/>
    <w:pPr>
      <w:numPr>
        <w:numId w:val="0"/>
      </w:numPr>
    </w:pPr>
  </w:style>
  <w:style w:type="paragraph" w:styleId="TOC4">
    <w:name w:val="toc 4"/>
    <w:basedOn w:val="TOCBase"/>
    <w:next w:val="Normal"/>
    <w:semiHidden/>
    <w:rsid w:val="002A039A"/>
    <w:pPr>
      <w:tabs>
        <w:tab w:val="right" w:leader="dot" w:pos="9071"/>
      </w:tabs>
      <w:ind w:left="1701"/>
    </w:pPr>
  </w:style>
  <w:style w:type="paragraph" w:customStyle="1" w:styleId="ListAlpha">
    <w:name w:val="List Alpha"/>
    <w:basedOn w:val="List"/>
    <w:rsid w:val="002A039A"/>
    <w:pPr>
      <w:numPr>
        <w:numId w:val="10"/>
      </w:numPr>
    </w:pPr>
  </w:style>
  <w:style w:type="paragraph" w:customStyle="1" w:styleId="ListAlpha2">
    <w:name w:val="List Alpha 2"/>
    <w:basedOn w:val="List2"/>
    <w:rsid w:val="002A039A"/>
    <w:pPr>
      <w:numPr>
        <w:numId w:val="9"/>
      </w:numPr>
    </w:pPr>
  </w:style>
  <w:style w:type="paragraph" w:styleId="List3">
    <w:name w:val="List 3"/>
    <w:basedOn w:val="BodyText"/>
    <w:rsid w:val="002A039A"/>
    <w:pPr>
      <w:tabs>
        <w:tab w:val="left" w:pos="1021"/>
      </w:tabs>
      <w:spacing w:before="60" w:after="60"/>
      <w:ind w:left="1020" w:hanging="340"/>
    </w:pPr>
  </w:style>
  <w:style w:type="paragraph" w:styleId="List4">
    <w:name w:val="List 4"/>
    <w:basedOn w:val="BodyText"/>
    <w:rsid w:val="002A039A"/>
    <w:pPr>
      <w:tabs>
        <w:tab w:val="left" w:pos="1361"/>
      </w:tabs>
      <w:spacing w:before="60" w:after="60"/>
      <w:ind w:left="1361" w:hanging="340"/>
    </w:pPr>
  </w:style>
  <w:style w:type="paragraph" w:styleId="List5">
    <w:name w:val="List 5"/>
    <w:basedOn w:val="BodyText"/>
    <w:rsid w:val="002A039A"/>
    <w:pPr>
      <w:tabs>
        <w:tab w:val="left" w:pos="1701"/>
      </w:tabs>
      <w:spacing w:before="60" w:after="60"/>
      <w:ind w:left="1701" w:hanging="340"/>
    </w:pPr>
  </w:style>
  <w:style w:type="paragraph" w:styleId="ListBullet4">
    <w:name w:val="List Bullet 4"/>
    <w:basedOn w:val="List4"/>
    <w:rsid w:val="002A039A"/>
    <w:pPr>
      <w:numPr>
        <w:numId w:val="4"/>
      </w:numPr>
    </w:pPr>
  </w:style>
  <w:style w:type="paragraph" w:styleId="ListBullet5">
    <w:name w:val="List Bullet 5"/>
    <w:basedOn w:val="List5"/>
    <w:rsid w:val="002A039A"/>
    <w:pPr>
      <w:numPr>
        <w:numId w:val="5"/>
      </w:numPr>
    </w:pPr>
  </w:style>
  <w:style w:type="paragraph" w:styleId="ListContinue2">
    <w:name w:val="List Continue 2"/>
    <w:basedOn w:val="List2"/>
    <w:rsid w:val="002A039A"/>
    <w:pPr>
      <w:ind w:firstLine="0"/>
    </w:pPr>
  </w:style>
  <w:style w:type="paragraph" w:styleId="ListContinue3">
    <w:name w:val="List Continue 3"/>
    <w:basedOn w:val="List3"/>
    <w:rsid w:val="002A039A"/>
    <w:pPr>
      <w:ind w:left="1021" w:firstLine="0"/>
    </w:pPr>
  </w:style>
  <w:style w:type="paragraph" w:styleId="ListContinue4">
    <w:name w:val="List Continue 4"/>
    <w:basedOn w:val="List4"/>
    <w:rsid w:val="002A039A"/>
    <w:pPr>
      <w:ind w:firstLine="0"/>
    </w:pPr>
  </w:style>
  <w:style w:type="paragraph" w:styleId="ListContinue5">
    <w:name w:val="List Continue 5"/>
    <w:basedOn w:val="List5"/>
    <w:rsid w:val="002A039A"/>
    <w:pPr>
      <w:ind w:firstLine="0"/>
    </w:pPr>
  </w:style>
  <w:style w:type="paragraph" w:styleId="ListNumber3">
    <w:name w:val="List Number 3"/>
    <w:basedOn w:val="List3"/>
    <w:rsid w:val="002A039A"/>
    <w:pPr>
      <w:numPr>
        <w:numId w:val="6"/>
      </w:numPr>
    </w:pPr>
  </w:style>
  <w:style w:type="paragraph" w:styleId="ListNumber4">
    <w:name w:val="List Number 4"/>
    <w:basedOn w:val="List4"/>
    <w:rsid w:val="002A039A"/>
    <w:pPr>
      <w:numPr>
        <w:numId w:val="7"/>
      </w:numPr>
    </w:pPr>
  </w:style>
  <w:style w:type="paragraph" w:styleId="ListNumber5">
    <w:name w:val="List Number 5"/>
    <w:basedOn w:val="List5"/>
    <w:rsid w:val="002A039A"/>
    <w:pPr>
      <w:numPr>
        <w:numId w:val="8"/>
      </w:numPr>
    </w:pPr>
  </w:style>
  <w:style w:type="paragraph" w:styleId="BlockText">
    <w:name w:val="Block Text"/>
    <w:basedOn w:val="Normal"/>
    <w:rsid w:val="002A039A"/>
    <w:pPr>
      <w:spacing w:after="120"/>
      <w:ind w:left="1440" w:right="1440"/>
    </w:pPr>
  </w:style>
  <w:style w:type="character" w:customStyle="1" w:styleId="Subscript">
    <w:name w:val="Subscript"/>
    <w:basedOn w:val="DefaultParagraphFont"/>
    <w:rsid w:val="002A039A"/>
    <w:rPr>
      <w:sz w:val="16"/>
      <w:vertAlign w:val="subscript"/>
    </w:rPr>
  </w:style>
  <w:style w:type="character" w:customStyle="1" w:styleId="Superscript">
    <w:name w:val="Superscript"/>
    <w:basedOn w:val="DefaultParagraphFont"/>
    <w:rsid w:val="002A039A"/>
    <w:rPr>
      <w:sz w:val="16"/>
      <w:vertAlign w:val="superscript"/>
    </w:rPr>
  </w:style>
  <w:style w:type="character" w:customStyle="1" w:styleId="Symbols">
    <w:name w:val="Symbols"/>
    <w:basedOn w:val="DefaultParagraphFont"/>
    <w:rsid w:val="002A039A"/>
    <w:rPr>
      <w:rFonts w:ascii="Symbol" w:hAnsi="Symbol"/>
    </w:rPr>
  </w:style>
  <w:style w:type="character" w:customStyle="1" w:styleId="MenuOptions">
    <w:name w:val="Menu Options"/>
    <w:basedOn w:val="DefaultParagraphFont"/>
    <w:rsid w:val="002A039A"/>
    <w:rPr>
      <w:rFonts w:ascii="Arial Narrow" w:hAnsi="Arial Narrow"/>
      <w:smallCaps/>
    </w:rPr>
  </w:style>
  <w:style w:type="character" w:customStyle="1" w:styleId="Buttons">
    <w:name w:val="Buttons"/>
    <w:basedOn w:val="DefaultParagraphFont"/>
    <w:rsid w:val="002A039A"/>
    <w:rPr>
      <w:b/>
    </w:rPr>
  </w:style>
  <w:style w:type="character" w:customStyle="1" w:styleId="Underlined">
    <w:name w:val="Underlined"/>
    <w:basedOn w:val="DefaultParagraphFont"/>
    <w:rsid w:val="002A039A"/>
    <w:rPr>
      <w:u w:val="single"/>
    </w:rPr>
  </w:style>
  <w:style w:type="paragraph" w:customStyle="1" w:styleId="TableBodyTextRight">
    <w:name w:val="Table Body Text Right"/>
    <w:basedOn w:val="TableBodyText"/>
    <w:rsid w:val="002A039A"/>
    <w:pPr>
      <w:widowControl w:val="0"/>
      <w:autoSpaceDE w:val="0"/>
      <w:autoSpaceDN w:val="0"/>
      <w:adjustRightInd w:val="0"/>
      <w:jc w:val="right"/>
    </w:pPr>
    <w:rPr>
      <w:rFonts w:cs="Arial"/>
      <w:szCs w:val="18"/>
    </w:rPr>
  </w:style>
  <w:style w:type="paragraph" w:customStyle="1" w:styleId="CopyrightText">
    <w:name w:val="Copyright Text"/>
    <w:basedOn w:val="BodyText"/>
    <w:rsid w:val="002A039A"/>
    <w:rPr>
      <w:sz w:val="18"/>
    </w:rPr>
  </w:style>
  <w:style w:type="paragraph" w:customStyle="1" w:styleId="BodySmallRight">
    <w:name w:val="Body Small Right"/>
    <w:basedOn w:val="BodyTextRight"/>
    <w:rsid w:val="002A039A"/>
    <w:rPr>
      <w:sz w:val="18"/>
      <w:szCs w:val="18"/>
    </w:rPr>
  </w:style>
  <w:style w:type="paragraph" w:customStyle="1" w:styleId="MarginEdition">
    <w:name w:val="Margin Edition"/>
    <w:basedOn w:val="MarginNote"/>
    <w:rsid w:val="002A039A"/>
    <w:pPr>
      <w:spacing w:before="0" w:after="0"/>
    </w:pPr>
    <w:rPr>
      <w:rFonts w:ascii="Times New Roman" w:hAnsi="Times New Roman"/>
      <w:color w:val="999999"/>
    </w:rPr>
  </w:style>
  <w:style w:type="paragraph" w:customStyle="1" w:styleId="Spacer">
    <w:name w:val="Spacer"/>
    <w:basedOn w:val="Normal"/>
    <w:rsid w:val="002A039A"/>
    <w:rPr>
      <w:sz w:val="2"/>
      <w:szCs w:val="2"/>
    </w:rPr>
  </w:style>
  <w:style w:type="character" w:customStyle="1" w:styleId="Small">
    <w:name w:val="Small"/>
    <w:basedOn w:val="DefaultParagraphFont"/>
    <w:rsid w:val="002A039A"/>
    <w:rPr>
      <w:sz w:val="16"/>
    </w:rPr>
  </w:style>
  <w:style w:type="paragraph" w:customStyle="1" w:styleId="WideTable">
    <w:name w:val="Wide Table"/>
    <w:basedOn w:val="Normal"/>
    <w:rsid w:val="002A039A"/>
    <w:pPr>
      <w:ind w:left="-1418"/>
    </w:pPr>
    <w:rPr>
      <w:sz w:val="2"/>
      <w:szCs w:val="2"/>
    </w:rPr>
  </w:style>
  <w:style w:type="character" w:styleId="PageNumber">
    <w:name w:val="page number"/>
    <w:basedOn w:val="DefaultParagraphFont"/>
    <w:rsid w:val="002A039A"/>
  </w:style>
  <w:style w:type="paragraph" w:styleId="Quote">
    <w:name w:val="Quote"/>
    <w:basedOn w:val="Heading1"/>
    <w:link w:val="QuoteChar"/>
    <w:qFormat/>
    <w:rsid w:val="002A039A"/>
    <w:rPr>
      <w:b w:val="0"/>
      <w:sz w:val="72"/>
      <w:szCs w:val="72"/>
      <w:lang w:val="en-NZ"/>
    </w:rPr>
  </w:style>
  <w:style w:type="character" w:customStyle="1" w:styleId="QuoteChar">
    <w:name w:val="Quote Char"/>
    <w:basedOn w:val="DefaultParagraphFont"/>
    <w:link w:val="Quote"/>
    <w:rsid w:val="002A0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39A"/>
    <w:pPr>
      <w:pageBreakBefore/>
    </w:pPr>
  </w:style>
  <w:style w:type="paragraph" w:customStyle="1" w:styleId="Border">
    <w:name w:val="Border"/>
    <w:basedOn w:val="Normal"/>
    <w:qFormat/>
    <w:rsid w:val="002A0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39A"/>
    <w:rPr>
      <w:b/>
      <w:bCs/>
      <w:i/>
      <w:iCs/>
      <w:color w:val="auto"/>
    </w:rPr>
  </w:style>
  <w:style w:type="paragraph" w:styleId="IntenseQuote">
    <w:name w:val="Intense Quote"/>
    <w:basedOn w:val="Normal"/>
    <w:next w:val="Normal"/>
    <w:link w:val="IntenseQuoteChar"/>
    <w:uiPriority w:val="30"/>
    <w:qFormat/>
    <w:rsid w:val="002A0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39A"/>
    <w:rPr>
      <w:smallCaps/>
      <w:color w:val="auto"/>
      <w:u w:val="single"/>
    </w:rPr>
  </w:style>
  <w:style w:type="character" w:styleId="IntenseReference">
    <w:name w:val="Intense Reference"/>
    <w:basedOn w:val="DefaultParagraphFont"/>
    <w:uiPriority w:val="32"/>
    <w:qFormat/>
    <w:rsid w:val="002A039A"/>
    <w:rPr>
      <w:b/>
      <w:bCs/>
      <w:smallCaps/>
      <w:color w:val="auto"/>
      <w:spacing w:val="5"/>
      <w:u w:val="single"/>
    </w:rPr>
  </w:style>
  <w:style w:type="paragraph" w:customStyle="1" w:styleId="2ColumnHeading">
    <w:name w:val="2Column Heading"/>
    <w:basedOn w:val="BodyText"/>
    <w:qFormat/>
    <w:rsid w:val="002A039A"/>
    <w:pPr>
      <w:spacing w:after="60"/>
      <w:ind w:left="-2268"/>
    </w:pPr>
    <w:rPr>
      <w:b/>
    </w:rPr>
  </w:style>
  <w:style w:type="paragraph" w:customStyle="1" w:styleId="Heading1TOC">
    <w:name w:val="Heading1 TOC"/>
    <w:basedOn w:val="Normal"/>
    <w:qFormat/>
    <w:rsid w:val="002A039A"/>
    <w:pPr>
      <w:spacing w:before="240" w:after="120"/>
    </w:pPr>
    <w:rPr>
      <w:rFonts w:ascii="Times New Roman" w:hAnsi="Times New Roman"/>
      <w:b/>
      <w:sz w:val="32"/>
    </w:rPr>
  </w:style>
  <w:style w:type="paragraph" w:customStyle="1" w:styleId="Heading2TOC">
    <w:name w:val="Heading2 TOC"/>
    <w:basedOn w:val="Normal"/>
    <w:qFormat/>
    <w:rsid w:val="002A039A"/>
    <w:pPr>
      <w:spacing w:before="240" w:after="60"/>
    </w:pPr>
    <w:rPr>
      <w:rFonts w:ascii="Times New Roman" w:hAnsi="Times New Roman"/>
      <w:b/>
      <w:sz w:val="28"/>
    </w:rPr>
  </w:style>
  <w:style w:type="character" w:customStyle="1" w:styleId="Underline">
    <w:name w:val="Underline"/>
    <w:basedOn w:val="DefaultParagraphFont"/>
    <w:qFormat/>
    <w:rsid w:val="002A039A"/>
    <w:rPr>
      <w:u w:val="single"/>
    </w:rPr>
  </w:style>
  <w:style w:type="paragraph" w:styleId="BalloonText">
    <w:name w:val="Balloon Text"/>
    <w:basedOn w:val="Normal"/>
    <w:link w:val="BalloonTextChar"/>
    <w:rsid w:val="002A039A"/>
    <w:rPr>
      <w:rFonts w:ascii="Tahoma" w:hAnsi="Tahoma" w:cs="Tahoma"/>
      <w:sz w:val="16"/>
      <w:szCs w:val="16"/>
    </w:rPr>
  </w:style>
  <w:style w:type="character" w:customStyle="1" w:styleId="BalloonTextChar">
    <w:name w:val="Balloon Text Char"/>
    <w:basedOn w:val="DefaultParagraphFont"/>
    <w:link w:val="BalloonText"/>
    <w:rsid w:val="002A0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3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0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39A"/>
    <w:rPr>
      <w:b/>
      <w:color w:val="660033"/>
      <w:spacing w:val="0"/>
    </w:rPr>
  </w:style>
  <w:style w:type="paragraph" w:customStyle="1" w:styleId="Nameditemlist">
    <w:name w:val="Named item list"/>
    <w:basedOn w:val="BodyText"/>
    <w:qFormat/>
    <w:rsid w:val="002A03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1665</Words>
  <Characters>10599</Characters>
  <Application>Microsoft Office Word</Application>
  <DocSecurity>0</DocSecurity>
  <Lines>414</Lines>
  <Paragraphs>237</Paragraphs>
  <ScaleCrop>false</ScaleCrop>
  <Company>Author-it Software Corporation Ltd.</Company>
  <LinksUpToDate>false</LinksUpToDate>
  <CharactersWithSpaces>12218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ICTTCR3192A Protect against electromagnetic radiation and system hazards when working on telecommunications radio sites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2012-10-05T07:47:00Z</dcterms:created>
  <dcterms:modified xsi:type="dcterms:W3CDTF">2012-10-05T07:47:00Z</dcterms:modified>
</cp:coreProperties>
</file>