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75F" w:rsidP="007B775F">
      <w:pPr>
        <w:pStyle w:val="Title"/>
      </w:pPr>
      <w:r>
        <w:fldChar w:fldCharType="begin"/>
      </w:r>
      <w:r>
        <w:instrText xml:space="preserve"> TITLE   \* MERGEFORMAT </w:instrText>
      </w:r>
      <w:r>
        <w:fldChar w:fldCharType="separate"/>
      </w:r>
      <w:r>
        <w:t>ICTRFN8181A Analyse a satellite communications system</w:t>
      </w:r>
      <w:r>
        <w:fldChar w:fldCharType="end"/>
      </w:r>
    </w:p>
    <w:p w:rsidR="007B775F" w:rsidP="007B775F">
      <w:pPr>
        <w:pStyle w:val="Version"/>
        <w:sectPr w:rsidSect="00BC36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6FF" w:rsidP="00BC36FF">
      <w:pPr>
        <w:pStyle w:val="SuperHeading"/>
      </w:pPr>
      <w:r w:rsidRPr="00BC36FF">
        <w:t>ICTRFN8181A Analyse a satellite communications system</w:t>
      </w:r>
    </w:p>
    <w:p w:rsidR="00000000" w:rsidRPr="00BC36FF" w:rsidP="00BC36FF">
      <w:pPr>
        <w:pStyle w:val="Heading1"/>
      </w:pPr>
      <w:bookmarkStart w:id="1" w:name="O_271852"/>
      <w:bookmarkEnd w:id="1"/>
      <w:r w:rsidRPr="00BC36FF">
        <w:t>Modification History</w:t>
      </w:r>
    </w:p>
    <w:p w:rsidR="00000000" w:rsidRPr="00BC36FF" w:rsidP="00BC36FF">
      <w:pPr>
        <w:pStyle w:val="BodyText"/>
      </w:pPr>
      <w:r w:rsidRPr="00BC36FF">
        <w:t>Not Applicable</w:t>
      </w:r>
    </w:p>
    <w:p w:rsidR="00000000" w:rsidRPr="00BC36FF" w:rsidP="00BC36FF">
      <w:pPr>
        <w:pStyle w:val="AllowPageBreak"/>
      </w:pPr>
    </w:p>
    <w:p w:rsidR="00000000" w:rsidRPr="00BC36FF" w:rsidP="00BC36FF">
      <w:pPr>
        <w:pStyle w:val="Heading1"/>
      </w:pPr>
      <w:bookmarkStart w:id="2" w:name="O_209403"/>
      <w:bookmarkEnd w:id="2"/>
      <w:r w:rsidRPr="00BC36FF">
        <w:t>Unit Descriptor</w:t>
      </w:r>
    </w:p>
    <w:tbl>
      <w:tblPr>
        <w:tblW w:w="0" w:type="auto"/>
        <w:tblLayout w:type="fixed"/>
        <w:tblCellMar>
          <w:left w:w="62" w:type="dxa"/>
          <w:right w:w="62" w:type="dxa"/>
        </w:tblCellMar>
        <w:tblLook w:val="0000"/>
      </w:tblPr>
      <w:tblGrid>
        <w:gridCol w:w="2662"/>
        <w:gridCol w:w="5860"/>
      </w:tblGrid>
      <w:tr w:rsidTr="007B775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This unit describes the performance outcomes, skills and knowledge required to analyse the perfor</w:t>
            </w:r>
            <w:r w:rsidRPr="00BC36FF">
              <w:t>mance of a satellite communications system.</w:t>
            </w:r>
          </w:p>
          <w:p w:rsidR="00000000" w:rsidRPr="00BC36FF" w:rsidP="00BC36FF">
            <w:pPr>
              <w:pStyle w:val="BodyText"/>
            </w:pPr>
          </w:p>
          <w:p w:rsidR="00000000" w:rsidRPr="00BC36FF" w:rsidP="00BC36FF">
            <w:pPr>
              <w:pStyle w:val="BodyText"/>
            </w:pPr>
            <w:r w:rsidRPr="00BC36FF">
              <w:t>The analysis may be required for a new installation project or an upgrade of capacity or technology in an existing network or as a result of convergence to Next Generation Networks (NGN).</w:t>
            </w:r>
          </w:p>
          <w:p w:rsidR="00000000" w:rsidRPr="00BC36FF" w:rsidP="00BC36FF">
            <w:pPr>
              <w:pStyle w:val="BodyText"/>
            </w:pPr>
          </w:p>
          <w:p w:rsidR="00000000" w:rsidRPr="00BC36FF" w:rsidP="00BC36FF">
            <w:pPr>
              <w:pStyle w:val="BodyText"/>
            </w:pPr>
            <w:r w:rsidRPr="00BC36FF">
              <w:t>No licensing, legislative, regulatory or certification requirements apply to this unit at the time of endorsement but users should confirm requirements with the relevant federal, state or territory authority.</w:t>
            </w:r>
          </w:p>
        </w:tc>
      </w:tr>
    </w:tbl>
    <w:p w:rsidR="007B775F" w:rsidP="00BC36FF">
      <w:pPr>
        <w:pStyle w:val="BodyText"/>
      </w:pPr>
    </w:p>
    <w:p w:rsidR="007B775F" w:rsidP="00BC36FF">
      <w:pPr>
        <w:pStyle w:val="BodyText"/>
      </w:pPr>
    </w:p>
    <w:p w:rsidR="00000000" w:rsidRPr="00BC36FF" w:rsidP="00BC36FF">
      <w:pPr>
        <w:pStyle w:val="Heading1"/>
      </w:pPr>
      <w:bookmarkStart w:id="3" w:name="O_209407"/>
      <w:bookmarkEnd w:id="3"/>
      <w:r w:rsidRPr="00BC36FF">
        <w:t>Application of the Unit</w:t>
      </w:r>
    </w:p>
    <w:tbl>
      <w:tblPr>
        <w:tblW w:w="0" w:type="auto"/>
        <w:tblLayout w:type="fixed"/>
        <w:tblCellMar>
          <w:left w:w="62" w:type="dxa"/>
          <w:right w:w="62" w:type="dxa"/>
        </w:tblCellMar>
        <w:tblLook w:val="0000"/>
      </w:tblPr>
      <w:tblGrid>
        <w:gridCol w:w="2748"/>
        <w:gridCol w:w="5774"/>
      </w:tblGrid>
      <w:tr w:rsidTr="007B775F">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App</w:t>
            </w:r>
            <w:r w:rsidRPr="00BC36FF">
              <w:rPr>
                <w:rStyle w:val="SpecialBold"/>
              </w:rPr>
              <w:t>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Supervisors and engineers who analyse satellite communications systems apply the skills and knowledge in this unit when writing specifications, planning, designing and implementing satellite communications systems.</w:t>
            </w:r>
          </w:p>
        </w:tc>
      </w:tr>
    </w:tbl>
    <w:p w:rsidR="007B775F" w:rsidP="00BC36FF">
      <w:pPr>
        <w:pStyle w:val="BodyText"/>
      </w:pPr>
    </w:p>
    <w:p w:rsidR="007B775F" w:rsidP="00BC36FF">
      <w:pPr>
        <w:pStyle w:val="BodyText"/>
      </w:pPr>
    </w:p>
    <w:p w:rsidR="00000000" w:rsidRPr="00BC36FF" w:rsidP="00BC36FF">
      <w:pPr>
        <w:pStyle w:val="Heading1"/>
      </w:pPr>
      <w:bookmarkStart w:id="4" w:name="O_280112"/>
      <w:bookmarkEnd w:id="4"/>
      <w:r w:rsidRPr="00BC36FF">
        <w:t>Licensing/Regulatory Information</w:t>
      </w:r>
    </w:p>
    <w:p w:rsidR="00000000" w:rsidRPr="00BC36FF" w:rsidP="00BC36FF">
      <w:pPr>
        <w:pStyle w:val="BodyText"/>
      </w:pPr>
      <w:r w:rsidRPr="00BC36FF">
        <w:t>Refer to Unit Descriptor</w:t>
      </w:r>
    </w:p>
    <w:p w:rsidR="00000000" w:rsidRPr="00BC36FF" w:rsidP="00BC36FF">
      <w:pPr>
        <w:pStyle w:val="AllowPageBreak"/>
      </w:pPr>
    </w:p>
    <w:p w:rsidR="00000000" w:rsidRPr="00BC36FF" w:rsidP="00BC36FF">
      <w:pPr>
        <w:pStyle w:val="Heading1"/>
      </w:pPr>
      <w:bookmarkStart w:id="5" w:name="O_209405"/>
      <w:bookmarkEnd w:id="5"/>
      <w:r w:rsidRPr="00BC36FF">
        <w:t>Pre-Requisites</w:t>
      </w:r>
    </w:p>
    <w:tbl>
      <w:tblPr>
        <w:tblW w:w="0" w:type="auto"/>
        <w:tblLayout w:type="fixed"/>
        <w:tblCellMar>
          <w:left w:w="62" w:type="dxa"/>
          <w:right w:w="62" w:type="dxa"/>
        </w:tblCellMar>
        <w:tblLook w:val="0000"/>
      </w:tblPr>
      <w:tblGrid>
        <w:gridCol w:w="2775"/>
        <w:gridCol w:w="1295"/>
        <w:gridCol w:w="4452"/>
      </w:tblGrid>
      <w:tr w:rsidTr="007B77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p>
        </w:tc>
      </w:tr>
      <w:tr w:rsidTr="007B77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p>
        </w:tc>
      </w:tr>
      <w:tr w:rsidTr="007B77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p>
        </w:tc>
      </w:tr>
    </w:tbl>
    <w:p w:rsidR="007B775F" w:rsidP="00BC36FF">
      <w:pPr>
        <w:pStyle w:val="BodyText"/>
      </w:pPr>
    </w:p>
    <w:p w:rsidR="007B775F" w:rsidP="00BC36FF">
      <w:pPr>
        <w:pStyle w:val="BodyText"/>
      </w:pPr>
    </w:p>
    <w:p w:rsidR="00000000" w:rsidRPr="00BC36FF" w:rsidP="00BC36FF">
      <w:pPr>
        <w:pStyle w:val="Heading1"/>
      </w:pPr>
      <w:bookmarkStart w:id="6" w:name="O_209404"/>
      <w:bookmarkEnd w:id="6"/>
      <w:r w:rsidRPr="00BC36FF">
        <w:t>Employability Skills Information</w:t>
      </w:r>
    </w:p>
    <w:tbl>
      <w:tblPr>
        <w:tblW w:w="0" w:type="auto"/>
        <w:tblLayout w:type="fixed"/>
        <w:tblCellMar>
          <w:left w:w="62" w:type="dxa"/>
          <w:right w:w="62" w:type="dxa"/>
        </w:tblCellMar>
        <w:tblLook w:val="0000"/>
      </w:tblPr>
      <w:tblGrid>
        <w:gridCol w:w="2802"/>
        <w:gridCol w:w="5720"/>
      </w:tblGrid>
      <w:tr w:rsidTr="007B77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This unit contains employability skills.</w:t>
            </w:r>
          </w:p>
        </w:tc>
      </w:tr>
    </w:tbl>
    <w:p w:rsidR="007B775F" w:rsidP="00BC36FF">
      <w:pPr>
        <w:pStyle w:val="BodyText"/>
      </w:pPr>
    </w:p>
    <w:p w:rsidR="007B775F" w:rsidP="00BC36FF">
      <w:pPr>
        <w:pStyle w:val="BodyText"/>
      </w:pPr>
    </w:p>
    <w:p w:rsidR="00000000" w:rsidRPr="00BC36FF" w:rsidP="00BC36FF">
      <w:pPr>
        <w:pStyle w:val="Heading1"/>
      </w:pPr>
      <w:bookmarkStart w:id="7" w:name="O_289898"/>
      <w:bookmarkEnd w:id="7"/>
      <w:r w:rsidRPr="00BC36FF">
        <w:t>Elements and Performance Criteria Pre-Content</w:t>
      </w:r>
    </w:p>
    <w:tbl>
      <w:tblPr>
        <w:tblW w:w="0" w:type="auto"/>
        <w:tblLayout w:type="fixed"/>
        <w:tblCellMar>
          <w:left w:w="62" w:type="dxa"/>
          <w:right w:w="62" w:type="dxa"/>
        </w:tblCellMar>
        <w:tblLook w:val="0000"/>
      </w:tblPr>
      <w:tblGrid>
        <w:gridCol w:w="2596"/>
        <w:gridCol w:w="5926"/>
      </w:tblGrid>
      <w:tr w:rsidTr="007B775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Performance criteria describe the performance needed to demonstrate achievement of the element. Where bold italicised text is used, further info</w:t>
            </w:r>
            <w:r w:rsidRPr="00BC36FF">
              <w:t>rmation is detailed in the required skills and knowledge section and the range statement. Assessment of performance is to be consistent with the evidence guide.</w:t>
            </w:r>
          </w:p>
        </w:tc>
      </w:tr>
    </w:tbl>
    <w:p w:rsidR="00000000" w:rsidRPr="00BC36FF" w:rsidP="00BC36FF">
      <w:pPr>
        <w:pStyle w:val="BodyText"/>
      </w:pPr>
    </w:p>
    <w:p w:rsidR="00000000" w:rsidRPr="00BC36FF" w:rsidP="00BC36FF">
      <w:pPr>
        <w:pStyle w:val="AllowPageBreak"/>
      </w:pPr>
    </w:p>
    <w:p w:rsidR="00000000" w:rsidRPr="00BC36FF" w:rsidP="00BC36FF">
      <w:pPr>
        <w:pStyle w:val="Heading1"/>
      </w:pPr>
      <w:bookmarkStart w:id="8" w:name="O_236565"/>
      <w:bookmarkEnd w:id="8"/>
      <w:r w:rsidRPr="00BC36FF">
        <w:t>Elements and Performance Criteria</w:t>
      </w:r>
    </w:p>
    <w:tbl>
      <w:tblPr>
        <w:tblW w:w="0" w:type="auto"/>
        <w:tblLayout w:type="fixed"/>
        <w:tblCellMar>
          <w:left w:w="62" w:type="dxa"/>
          <w:right w:w="62" w:type="dxa"/>
        </w:tblCellMar>
        <w:tblLook w:val="0000"/>
      </w:tblPr>
      <w:tblGrid>
        <w:gridCol w:w="2596"/>
        <w:gridCol w:w="5926"/>
      </w:tblGrid>
      <w:tr w:rsidTr="007B775F">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PERFORMANCE CRITERIA</w:t>
            </w:r>
          </w:p>
        </w:tc>
      </w:tr>
      <w:tr w:rsidTr="007B775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List"/>
              <w:rPr>
                <w:lang w:val="en-NZ"/>
              </w:rPr>
            </w:pPr>
            <w:r w:rsidRPr="00BC36FF">
              <w:t>1.</w:t>
            </w:r>
            <w:r w:rsidRPr="00BC36FF">
              <w:tab/>
            </w:r>
            <w:r w:rsidRPr="00BC36FF">
              <w:t>Research satellite communication systems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2"/>
            </w:pPr>
            <w:r w:rsidRPr="00BC36FF">
              <w:t>1.1.</w:t>
            </w:r>
            <w:r w:rsidRPr="00BC36FF">
              <w:tab/>
              <w:t xml:space="preserve">Research </w:t>
            </w:r>
            <w:r w:rsidRPr="00BC36FF">
              <w:rPr>
                <w:rStyle w:val="BoldandItalics"/>
              </w:rPr>
              <w:t>satellite applications</w:t>
            </w:r>
            <w:r w:rsidRPr="00BC36FF">
              <w:t xml:space="preserve"> with various </w:t>
            </w:r>
            <w:r w:rsidRPr="00BC36FF">
              <w:rPr>
                <w:rStyle w:val="BoldandItalics"/>
              </w:rPr>
              <w:t>orbit</w:t>
            </w:r>
            <w:r w:rsidRPr="00BC36FF">
              <w:t xml:space="preserve"> types for assessing their spatial positioning for specific purpose</w:t>
            </w:r>
          </w:p>
          <w:p w:rsidR="00000000" w:rsidRPr="00BC36FF" w:rsidP="00BC36FF">
            <w:pPr>
              <w:pStyle w:val="List2"/>
            </w:pPr>
            <w:r w:rsidRPr="00BC36FF">
              <w:t>1.2.</w:t>
            </w:r>
            <w:r w:rsidRPr="00BC36FF">
              <w:tab/>
              <w:t>Analyse and report on the architecture, major subsystems and critical components in the</w:t>
            </w:r>
            <w:r w:rsidRPr="00BC36FF">
              <w:t xml:space="preserve"> communication systems of a recently launched commercial satellite</w:t>
            </w:r>
          </w:p>
          <w:p w:rsidR="00000000" w:rsidP="00BC36FF">
            <w:pPr>
              <w:pStyle w:val="List2"/>
              <w:rPr>
                <w:lang w:val="en-NZ"/>
              </w:rPr>
            </w:pPr>
            <w:r w:rsidRPr="00BC36FF">
              <w:t>1.3.</w:t>
            </w:r>
            <w:r w:rsidRPr="00BC36FF">
              <w:tab/>
              <w:t xml:space="preserve">Research and report on </w:t>
            </w:r>
            <w:r w:rsidRPr="00BC36FF">
              <w:rPr>
                <w:rStyle w:val="BoldandItalics"/>
              </w:rPr>
              <w:t>multiple access techniques</w:t>
            </w:r>
            <w:r w:rsidRPr="00BC36FF">
              <w:t xml:space="preserve"> and their typical applications</w:t>
            </w:r>
          </w:p>
        </w:tc>
      </w:tr>
      <w:tr w:rsidTr="007B775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List"/>
              <w:rPr>
                <w:lang w:val="en-NZ"/>
              </w:rPr>
            </w:pPr>
            <w:r w:rsidRPr="00BC36FF">
              <w:t>2.</w:t>
            </w:r>
            <w:r w:rsidRPr="00BC36FF">
              <w:tab/>
              <w:t>Analyse uplink and downlink variables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2"/>
            </w:pPr>
            <w:r w:rsidRPr="00BC36FF">
              <w:t>2.1.</w:t>
            </w:r>
            <w:r w:rsidRPr="00BC36FF">
              <w:tab/>
              <w:t xml:space="preserve">Determine </w:t>
            </w:r>
            <w:r w:rsidRPr="00BC36FF">
              <w:rPr>
                <w:rStyle w:val="BoldandItalics"/>
              </w:rPr>
              <w:t>uplink and downlink criteria</w:t>
            </w:r>
            <w:r w:rsidRPr="00BC36FF">
              <w:t xml:space="preserve"> that impact on ca</w:t>
            </w:r>
            <w:r w:rsidRPr="00BC36FF">
              <w:t xml:space="preserve">rrier to noise ratio </w:t>
            </w:r>
          </w:p>
          <w:p w:rsidR="00000000" w:rsidRPr="00BC36FF" w:rsidP="00BC36FF">
            <w:pPr>
              <w:pStyle w:val="List2"/>
            </w:pPr>
            <w:r w:rsidRPr="00BC36FF">
              <w:t>2.2.</w:t>
            </w:r>
            <w:r w:rsidRPr="00BC36FF">
              <w:tab/>
              <w:t xml:space="preserve">Determine up/down link criteria that impact on baseband signal to noise ratio </w:t>
            </w:r>
          </w:p>
          <w:p w:rsidR="00000000" w:rsidRPr="00BC36FF" w:rsidP="00BC36FF">
            <w:pPr>
              <w:pStyle w:val="List2"/>
            </w:pPr>
            <w:r w:rsidRPr="00BC36FF">
              <w:t>2.3.</w:t>
            </w:r>
            <w:r w:rsidRPr="00BC36FF">
              <w:tab/>
              <w:t>Determine the critical parameters of a satellite system</w:t>
            </w:r>
          </w:p>
          <w:p w:rsidR="00000000" w:rsidP="00BC36FF">
            <w:pPr>
              <w:pStyle w:val="List2"/>
              <w:rPr>
                <w:lang w:val="en-NZ"/>
              </w:rPr>
            </w:pPr>
            <w:r w:rsidRPr="00BC36FF">
              <w:t>2.4.</w:t>
            </w:r>
            <w:r w:rsidRPr="00BC36FF">
              <w:tab/>
            </w:r>
            <w:r w:rsidRPr="00BC36FF">
              <w:t>Research common types of baseband signal processing, their spectral and noise improvement parameters for determining criteria for link budget evaluations</w:t>
            </w:r>
          </w:p>
        </w:tc>
      </w:tr>
      <w:tr w:rsidTr="007B775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List"/>
              <w:rPr>
                <w:lang w:val="en-NZ"/>
              </w:rPr>
            </w:pPr>
            <w:r w:rsidRPr="00BC36FF">
              <w:t>3.</w:t>
            </w:r>
            <w:r w:rsidRPr="00BC36FF">
              <w:tab/>
              <w:t>Conduct a link budget analysis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2"/>
            </w:pPr>
            <w:r w:rsidRPr="00BC36FF">
              <w:t>3.1.</w:t>
            </w:r>
            <w:r w:rsidRPr="00BC36FF">
              <w:tab/>
              <w:t xml:space="preserve">Produce a satellite link budget and calculate link margin for </w:t>
            </w:r>
            <w:r w:rsidRPr="00BC36FF">
              <w:t xml:space="preserve">a satellite system with </w:t>
            </w:r>
            <w:r w:rsidRPr="00BC36FF">
              <w:rPr>
                <w:rStyle w:val="BoldandItalics"/>
              </w:rPr>
              <w:t>specified modulation types</w:t>
            </w:r>
          </w:p>
          <w:p w:rsidR="00000000" w:rsidP="00BC36FF">
            <w:pPr>
              <w:pStyle w:val="List2"/>
              <w:rPr>
                <w:lang w:val="en-NZ"/>
              </w:rPr>
            </w:pPr>
            <w:r w:rsidRPr="00BC36FF">
              <w:t>3.2.</w:t>
            </w:r>
            <w:r w:rsidRPr="00BC36FF">
              <w:tab/>
              <w:t>Analyse the relationship between the bit error ratio (BER) for a given energy per bit per noise power density (Eb/No) and forward error correction (FEC) parameter for determining the operational perfo</w:t>
            </w:r>
            <w:r w:rsidRPr="00BC36FF">
              <w:t>rmance of the link</w:t>
            </w:r>
          </w:p>
        </w:tc>
      </w:tr>
      <w:tr w:rsidTr="007B775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List"/>
              <w:rPr>
                <w:lang w:val="en-NZ"/>
              </w:rPr>
            </w:pPr>
            <w:r w:rsidRPr="00BC36FF">
              <w:t>4.</w:t>
            </w:r>
            <w:r w:rsidRPr="00BC36FF">
              <w:tab/>
              <w:t>Analyse properties of geostationary satellites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2"/>
            </w:pPr>
            <w:r w:rsidRPr="00BC36FF">
              <w:t>4.1.</w:t>
            </w:r>
            <w:r w:rsidRPr="00BC36FF">
              <w:tab/>
              <w:t xml:space="preserve">Calculate the </w:t>
            </w:r>
            <w:r w:rsidRPr="00BC36FF">
              <w:rPr>
                <w:rStyle w:val="BoldandItalics"/>
              </w:rPr>
              <w:t>look angles</w:t>
            </w:r>
            <w:r w:rsidRPr="00BC36FF">
              <w:t xml:space="preserve"> for a geostationary satellite from any receiving location</w:t>
            </w:r>
          </w:p>
          <w:p w:rsidR="00000000" w:rsidRPr="00BC36FF" w:rsidP="00BC36FF">
            <w:pPr>
              <w:pStyle w:val="List2"/>
            </w:pPr>
            <w:r w:rsidRPr="00BC36FF">
              <w:t>4.2.</w:t>
            </w:r>
            <w:r w:rsidRPr="00BC36FF">
              <w:tab/>
              <w:t xml:space="preserve">Research and report on </w:t>
            </w:r>
            <w:r w:rsidRPr="00BC36FF">
              <w:rPr>
                <w:rStyle w:val="BoldandItalics"/>
              </w:rPr>
              <w:t>frequency re</w:t>
            </w:r>
            <w:r w:rsidRPr="00BC36FF">
              <w:t>-</w:t>
            </w:r>
            <w:r w:rsidRPr="00BC36FF">
              <w:rPr>
                <w:rStyle w:val="BoldandItalics"/>
              </w:rPr>
              <w:t>use</w:t>
            </w:r>
            <w:r w:rsidRPr="00BC36FF">
              <w:t xml:space="preserve"> in conjunction with polarisation selection and the u</w:t>
            </w:r>
            <w:r w:rsidRPr="00BC36FF">
              <w:t>se of spot beams</w:t>
            </w:r>
          </w:p>
          <w:p w:rsidR="00000000" w:rsidRPr="00BC36FF" w:rsidP="00BC36FF">
            <w:pPr>
              <w:pStyle w:val="List2"/>
            </w:pPr>
            <w:r w:rsidRPr="00BC36FF">
              <w:t>4.3.</w:t>
            </w:r>
            <w:r w:rsidRPr="00BC36FF">
              <w:tab/>
              <w:t xml:space="preserve">Analyse and specify the major features of </w:t>
            </w:r>
            <w:r w:rsidRPr="00BC36FF">
              <w:rPr>
                <w:rStyle w:val="BoldandItalics"/>
              </w:rPr>
              <w:t>very small aperture terminal</w:t>
            </w:r>
            <w:r w:rsidRPr="00BC36FF">
              <w:t xml:space="preserve"> (VSAT) systems, and calculate link reliability in high rainfall regions</w:t>
            </w:r>
          </w:p>
        </w:tc>
      </w:tr>
    </w:tbl>
    <w:p w:rsidR="007B775F" w:rsidP="00BC36FF">
      <w:pPr>
        <w:pStyle w:val="BodyText"/>
      </w:pPr>
    </w:p>
    <w:p w:rsidR="007B775F" w:rsidP="00BC36FF">
      <w:pPr>
        <w:pStyle w:val="BodyText"/>
      </w:pPr>
    </w:p>
    <w:p w:rsidR="00000000" w:rsidRPr="00BC36FF" w:rsidP="00BC36FF">
      <w:pPr>
        <w:pStyle w:val="Heading1"/>
      </w:pPr>
      <w:bookmarkStart w:id="9" w:name="O_260515"/>
      <w:bookmarkEnd w:id="9"/>
      <w:r w:rsidRPr="00BC36FF">
        <w:t>Required Skills and Knowledge</w:t>
      </w:r>
    </w:p>
    <w:tbl>
      <w:tblPr>
        <w:tblW w:w="0" w:type="auto"/>
        <w:tblLayout w:type="fixed"/>
        <w:tblCellMar>
          <w:left w:w="62" w:type="dxa"/>
          <w:right w:w="62" w:type="dxa"/>
        </w:tblCellMar>
        <w:tblLook w:val="0000"/>
      </w:tblPr>
      <w:tblGrid>
        <w:gridCol w:w="8522"/>
      </w:tblGrid>
      <w:tr w:rsidTr="007B77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REQUIRED SKILLS AND KNOWLEDGE</w:t>
            </w:r>
          </w:p>
        </w:tc>
      </w:tr>
      <w:tr w:rsidTr="007B77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t>This section describes the skills and knowledge required for this unit.</w:t>
            </w:r>
          </w:p>
        </w:tc>
      </w:tr>
      <w:tr w:rsidTr="007B7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Required skills</w:t>
            </w:r>
          </w:p>
        </w:tc>
      </w:tr>
      <w:tr w:rsidTr="007B7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analytical skills to solve complex problems by making informed judgements and assumptions</w:t>
            </w:r>
          </w:p>
          <w:p w:rsidR="00000000" w:rsidRPr="00BC36FF" w:rsidP="00BC36FF">
            <w:pPr>
              <w:pStyle w:val="ListBullet"/>
            </w:pPr>
            <w:r w:rsidRPr="00BC36FF">
              <w:t>literacy skills to prepare reports following an analysis or evaluation</w:t>
            </w:r>
          </w:p>
          <w:p w:rsidR="00000000" w:rsidRPr="00BC36FF" w:rsidP="00BC36FF">
            <w:pPr>
              <w:pStyle w:val="ListBullet"/>
            </w:pPr>
            <w:r w:rsidRPr="00BC36FF">
              <w:t>planning and organisational skills to develop systems and procedures in solving complex mathematical formulas</w:t>
            </w:r>
          </w:p>
          <w:p w:rsidR="00000000" w:rsidRPr="00BC36FF" w:rsidP="00BC36FF">
            <w:pPr>
              <w:pStyle w:val="ListBullet"/>
            </w:pPr>
            <w:r w:rsidRPr="00BC36FF">
              <w:t>problem solving and contingency management skills to manage unforeseen issu</w:t>
            </w:r>
            <w:r w:rsidRPr="00BC36FF">
              <w:t xml:space="preserve">es </w:t>
            </w:r>
          </w:p>
          <w:p w:rsidR="00000000" w:rsidRPr="00BC36FF" w:rsidP="00BC36FF">
            <w:pPr>
              <w:pStyle w:val="ListBullet"/>
            </w:pPr>
            <w:r w:rsidRPr="00BC36FF">
              <w:t>research skills to gather and record data from measurements</w:t>
            </w:r>
          </w:p>
          <w:p w:rsidR="00000000" w:rsidP="00BC36FF">
            <w:pPr>
              <w:pStyle w:val="ListBullet"/>
              <w:rPr>
                <w:lang w:val="en-NZ"/>
              </w:rPr>
            </w:pPr>
            <w:r w:rsidRPr="00BC36FF">
              <w:t>technical skills to visualise radio frequency (RF) systems on board operational satellite platforms</w:t>
            </w:r>
          </w:p>
        </w:tc>
      </w:tr>
      <w:tr w:rsidTr="007B7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Required knowledge</w:t>
            </w:r>
          </w:p>
        </w:tc>
      </w:tr>
      <w:tr w:rsidTr="007B7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antenna calculations:</w:t>
            </w:r>
          </w:p>
          <w:p w:rsidR="00000000" w:rsidRPr="00BC36FF" w:rsidP="00BC36FF">
            <w:pPr>
              <w:pStyle w:val="ListBullet2"/>
            </w:pPr>
            <w:r w:rsidRPr="00BC36FF">
              <w:t>gain</w:t>
            </w:r>
          </w:p>
          <w:p w:rsidR="00000000" w:rsidRPr="00BC36FF" w:rsidP="00BC36FF">
            <w:pPr>
              <w:pStyle w:val="ListBullet2"/>
            </w:pPr>
            <w:r w:rsidRPr="00BC36FF">
              <w:t>beamwidth</w:t>
            </w:r>
          </w:p>
          <w:p w:rsidR="00000000" w:rsidRPr="00BC36FF" w:rsidP="00BC36FF">
            <w:pPr>
              <w:pStyle w:val="ListBullet2"/>
            </w:pPr>
            <w:r w:rsidRPr="00BC36FF">
              <w:t>polarisation</w:t>
            </w:r>
          </w:p>
          <w:p w:rsidR="00000000" w:rsidRPr="00BC36FF" w:rsidP="00BC36FF">
            <w:pPr>
              <w:pStyle w:val="ListBullet2"/>
            </w:pPr>
            <w:r w:rsidRPr="00BC36FF">
              <w:t>effective isotropic radiated power (EIRP)</w:t>
            </w:r>
          </w:p>
          <w:p w:rsidR="00000000" w:rsidRPr="00BC36FF" w:rsidP="00BC36FF">
            <w:pPr>
              <w:pStyle w:val="ListBullet"/>
            </w:pPr>
            <w:r w:rsidRPr="00BC36FF">
              <w:t>BER</w:t>
            </w:r>
          </w:p>
          <w:p w:rsidR="00000000" w:rsidRPr="00BC36FF" w:rsidP="00BC36FF">
            <w:pPr>
              <w:pStyle w:val="ListBullet"/>
            </w:pPr>
            <w:r w:rsidRPr="00BC36FF">
              <w:t>carrier/noise ratio</w:t>
            </w:r>
          </w:p>
          <w:p w:rsidR="00000000" w:rsidRPr="00BC36FF" w:rsidP="00BC36FF">
            <w:pPr>
              <w:pStyle w:val="ListBullet"/>
            </w:pPr>
            <w:r w:rsidRPr="00BC36FF">
              <w:t>constellation and eye diagrams</w:t>
            </w:r>
          </w:p>
          <w:p w:rsidR="00000000" w:rsidRPr="00BC36FF" w:rsidP="00BC36FF">
            <w:pPr>
              <w:pStyle w:val="ListBullet"/>
            </w:pPr>
            <w:r w:rsidRPr="00BC36FF">
              <w:t>decibels, dB, dBm, dBW</w:t>
            </w:r>
          </w:p>
          <w:p w:rsidR="00000000" w:rsidRPr="00BC36FF" w:rsidP="00BC36FF">
            <w:pPr>
              <w:pStyle w:val="ListBullet"/>
            </w:pPr>
            <w:r w:rsidRPr="00BC36FF">
              <w:t>distance to satellite and typical delays</w:t>
            </w:r>
          </w:p>
          <w:p w:rsidR="00000000" w:rsidRPr="00BC36FF" w:rsidP="00BC36FF">
            <w:pPr>
              <w:pStyle w:val="ListBullet"/>
            </w:pPr>
            <w:r w:rsidRPr="00BC36FF">
              <w:t>frequency spectrum (satellite bands)</w:t>
            </w:r>
          </w:p>
          <w:p w:rsidR="00000000" w:rsidRPr="00BC36FF" w:rsidP="00BC36FF">
            <w:pPr>
              <w:pStyle w:val="ListBullet"/>
            </w:pPr>
            <w:r w:rsidRPr="00BC36FF">
              <w:t>G/T ratio</w:t>
            </w:r>
          </w:p>
          <w:p w:rsidR="00000000" w:rsidRPr="00BC36FF" w:rsidP="00BC36FF">
            <w:pPr>
              <w:pStyle w:val="ListBullet"/>
            </w:pPr>
            <w:r w:rsidRPr="00BC36FF">
              <w:t>geostationary orbit</w:t>
            </w:r>
          </w:p>
          <w:p w:rsidR="00000000" w:rsidRPr="00BC36FF" w:rsidP="00BC36FF">
            <w:pPr>
              <w:pStyle w:val="ListBullet"/>
            </w:pPr>
            <w:r w:rsidRPr="00BC36FF">
              <w:t xml:space="preserve">link budget calculation </w:t>
            </w:r>
          </w:p>
          <w:p w:rsidR="00000000" w:rsidRPr="00BC36FF" w:rsidP="00BC36FF">
            <w:pPr>
              <w:pStyle w:val="ListBullet"/>
            </w:pPr>
            <w:r w:rsidRPr="00BC36FF">
              <w:t>look angle calculations</w:t>
            </w:r>
          </w:p>
          <w:p w:rsidR="00000000" w:rsidRPr="00BC36FF" w:rsidP="00BC36FF">
            <w:pPr>
              <w:pStyle w:val="ListBullet"/>
            </w:pPr>
            <w:r w:rsidRPr="00BC36FF">
              <w:t>low earth orbiting (LEO) satellites</w:t>
            </w:r>
          </w:p>
          <w:p w:rsidR="00000000" w:rsidRPr="00BC36FF" w:rsidP="00BC36FF">
            <w:pPr>
              <w:pStyle w:val="ListBullet"/>
            </w:pPr>
            <w:r w:rsidRPr="00BC36FF">
              <w:t>modulation types:</w:t>
            </w:r>
          </w:p>
          <w:p w:rsidR="00000000" w:rsidRPr="00BC36FF" w:rsidP="00BC36FF">
            <w:pPr>
              <w:pStyle w:val="ListBullet2"/>
            </w:pPr>
            <w:r w:rsidRPr="00BC36FF">
              <w:t>n-FSK:</w:t>
            </w:r>
          </w:p>
          <w:p w:rsidR="00000000" w:rsidRPr="00BC36FF" w:rsidP="00BC36FF">
            <w:pPr>
              <w:pStyle w:val="ListBullet3"/>
            </w:pPr>
            <w:r w:rsidRPr="00BC36FF">
              <w:t>2FSK</w:t>
            </w:r>
          </w:p>
          <w:p w:rsidR="00000000" w:rsidRPr="00BC36FF" w:rsidP="00BC36FF">
            <w:pPr>
              <w:pStyle w:val="ListBullet3"/>
            </w:pPr>
            <w:r w:rsidRPr="00BC36FF">
              <w:t>4FSK</w:t>
            </w:r>
          </w:p>
          <w:p w:rsidR="00000000" w:rsidRPr="00BC36FF" w:rsidP="00BC36FF">
            <w:pPr>
              <w:pStyle w:val="ListBullet2"/>
            </w:pPr>
            <w:r w:rsidRPr="00BC36FF">
              <w:t>n-PSK:</w:t>
            </w:r>
          </w:p>
          <w:p w:rsidR="00000000" w:rsidRPr="00BC36FF" w:rsidP="00BC36FF">
            <w:pPr>
              <w:pStyle w:val="ListBullet3"/>
            </w:pPr>
            <w:r w:rsidRPr="00BC36FF">
              <w:t>2PSK</w:t>
            </w:r>
          </w:p>
          <w:p w:rsidR="00000000" w:rsidRPr="00BC36FF" w:rsidP="00BC36FF">
            <w:pPr>
              <w:pStyle w:val="ListBullet3"/>
            </w:pPr>
            <w:r w:rsidRPr="00BC36FF">
              <w:t>4PSK</w:t>
            </w:r>
          </w:p>
          <w:p w:rsidR="00000000" w:rsidRPr="00BC36FF" w:rsidP="00BC36FF">
            <w:pPr>
              <w:pStyle w:val="ListBullet3"/>
            </w:pPr>
            <w:r w:rsidRPr="00BC36FF">
              <w:t>8PSK</w:t>
            </w:r>
          </w:p>
          <w:p w:rsidR="00000000" w:rsidRPr="00BC36FF" w:rsidP="00BC36FF">
            <w:pPr>
              <w:pStyle w:val="ListBullet3"/>
            </w:pPr>
            <w:r w:rsidRPr="00BC36FF">
              <w:t>16PSK</w:t>
            </w:r>
          </w:p>
          <w:p w:rsidR="00000000" w:rsidRPr="00BC36FF" w:rsidP="00BC36FF">
            <w:pPr>
              <w:pStyle w:val="ListBullet2"/>
            </w:pPr>
            <w:r w:rsidRPr="00BC36FF">
              <w:t>n-QAM:</w:t>
            </w:r>
          </w:p>
          <w:p w:rsidR="00000000" w:rsidRPr="00BC36FF" w:rsidP="00BC36FF">
            <w:pPr>
              <w:pStyle w:val="ListBullet3"/>
            </w:pPr>
            <w:r w:rsidRPr="00BC36FF">
              <w:t>16 QAM</w:t>
            </w:r>
          </w:p>
          <w:p w:rsidR="00000000" w:rsidRPr="00BC36FF" w:rsidP="00BC36FF">
            <w:pPr>
              <w:pStyle w:val="ListBullet3"/>
            </w:pPr>
            <w:r w:rsidRPr="00BC36FF">
              <w:t>256QAM</w:t>
            </w:r>
          </w:p>
          <w:p w:rsidR="00000000" w:rsidRPr="00BC36FF" w:rsidP="00BC36FF">
            <w:pPr>
              <w:pStyle w:val="ListBullet2"/>
            </w:pPr>
            <w:r w:rsidRPr="00BC36FF">
              <w:t>spread spectrum:</w:t>
            </w:r>
          </w:p>
          <w:p w:rsidR="00000000" w:rsidRPr="00BC36FF" w:rsidP="00BC36FF">
            <w:pPr>
              <w:pStyle w:val="ListBullet3"/>
            </w:pPr>
            <w:r w:rsidRPr="00BC36FF">
              <w:t>direct sequence</w:t>
            </w:r>
          </w:p>
          <w:p w:rsidR="00000000" w:rsidRPr="00BC36FF" w:rsidP="00BC36FF">
            <w:pPr>
              <w:pStyle w:val="ListBullet3"/>
            </w:pPr>
            <w:r w:rsidRPr="00BC36FF">
              <w:t>frequency hopping</w:t>
            </w:r>
          </w:p>
        </w:tc>
      </w:tr>
    </w:tbl>
    <w:p w:rsidR="007B775F" w:rsidP="00BC36FF">
      <w:pPr>
        <w:pStyle w:val="BodyText"/>
      </w:pPr>
    </w:p>
    <w:p w:rsidR="007B775F" w:rsidP="00BC36FF">
      <w:pPr>
        <w:pStyle w:val="BodyText"/>
      </w:pPr>
    </w:p>
    <w:p w:rsidR="00000000" w:rsidRPr="00BC36FF" w:rsidP="00BC36FF">
      <w:pPr>
        <w:pStyle w:val="AllowPageBreak"/>
      </w:pPr>
    </w:p>
    <w:p w:rsidR="00000000" w:rsidRPr="00BC36FF" w:rsidP="00BC36FF">
      <w:pPr>
        <w:pStyle w:val="Heading1"/>
      </w:pPr>
      <w:bookmarkStart w:id="10" w:name="O_244549"/>
      <w:bookmarkEnd w:id="10"/>
      <w:r w:rsidRPr="00BC36FF">
        <w:t>Evidence Guide</w:t>
      </w:r>
    </w:p>
    <w:tbl>
      <w:tblPr>
        <w:tblW w:w="9570" w:type="dxa"/>
        <w:tblLayout w:type="fixed"/>
        <w:tblCellMar>
          <w:left w:w="62" w:type="dxa"/>
          <w:right w:w="62" w:type="dxa"/>
        </w:tblCellMar>
        <w:tblLook w:val="0000"/>
      </w:tblPr>
      <w:tblGrid>
        <w:gridCol w:w="3908"/>
        <w:gridCol w:w="5662"/>
      </w:tblGrid>
      <w:tr w:rsidTr="007B77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EVIDENCE GUIDE</w:t>
            </w:r>
          </w:p>
        </w:tc>
      </w:tr>
      <w:tr w:rsidTr="007B77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t>The evidence guide provides advice on assessment and must be read in conjunction with the performance criteria, required skills and knowledge, range statement and the Assessment Guidelines for the Training Package.</w:t>
            </w:r>
          </w:p>
        </w:tc>
      </w:tr>
      <w:tr w:rsidTr="007B7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p>
        </w:tc>
      </w:tr>
      <w:tr w:rsidTr="007B7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Evidence of the ability to:</w:t>
            </w:r>
          </w:p>
          <w:p w:rsidR="00000000" w:rsidRPr="00BC36FF" w:rsidP="00BC36FF">
            <w:pPr>
              <w:pStyle w:val="ListBullet"/>
            </w:pPr>
            <w:r w:rsidRPr="00BC36FF">
              <w:t>analyse satellite communications system architecture</w:t>
            </w:r>
          </w:p>
          <w:p w:rsidR="00000000" w:rsidRPr="00BC36FF" w:rsidP="00BC36FF">
            <w:pPr>
              <w:pStyle w:val="ListBullet"/>
            </w:pPr>
            <w:r w:rsidRPr="00BC36FF">
              <w:t>produce a satellite link budget and calculate link margin for a range of digit</w:t>
            </w:r>
            <w:r w:rsidRPr="00BC36FF">
              <w:t>al modulation types</w:t>
            </w:r>
          </w:p>
          <w:p w:rsidR="00000000" w:rsidRPr="00BC36FF" w:rsidP="00BC36FF">
            <w:pPr>
              <w:pStyle w:val="ListBullet"/>
            </w:pPr>
            <w:r w:rsidRPr="00BC36FF">
              <w:t>calculate the look angles for a geostationary satellite from any receiving location</w:t>
            </w:r>
          </w:p>
          <w:p w:rsidR="00000000" w:rsidP="00BC36FF">
            <w:pPr>
              <w:pStyle w:val="ListBullet"/>
              <w:rPr>
                <w:lang w:val="en-NZ"/>
              </w:rPr>
            </w:pPr>
            <w:r w:rsidRPr="00BC36FF">
              <w:t>analyse and specify the major features of (VSAT) systems.</w:t>
            </w:r>
          </w:p>
        </w:tc>
      </w:tr>
      <w:tr w:rsidTr="007B7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Assessment must ensure:</w:t>
            </w:r>
          </w:p>
          <w:p w:rsidR="00000000" w:rsidRPr="00BC36FF" w:rsidP="00BC36FF">
            <w:pPr>
              <w:pStyle w:val="ListBullet"/>
            </w:pPr>
            <w:r w:rsidRPr="00BC36FF">
              <w:t>site on which satellite analysis may be conducted</w:t>
            </w:r>
          </w:p>
          <w:p w:rsidR="00000000" w:rsidP="00BC36FF">
            <w:pPr>
              <w:pStyle w:val="ListBullet"/>
              <w:rPr>
                <w:lang w:val="en-NZ"/>
              </w:rPr>
            </w:pPr>
            <w:r w:rsidRPr="00BC36FF">
              <w:t>data, calculators and appropriate software tools.</w:t>
            </w:r>
          </w:p>
        </w:tc>
      </w:tr>
      <w:tr w:rsidTr="007B7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A range of assessment methods should be used to assess practical skills and knowledge. The following examples are appropriate for this</w:t>
            </w:r>
            <w:r w:rsidRPr="00BC36FF">
              <w:t xml:space="preserve"> unit:</w:t>
            </w:r>
          </w:p>
          <w:p w:rsidR="00000000" w:rsidRPr="00BC36FF" w:rsidP="00BC36FF">
            <w:pPr>
              <w:pStyle w:val="ListBullet"/>
            </w:pPr>
            <w:r w:rsidRPr="00BC36FF">
              <w:t>direct observation of the candidate performing analysis</w:t>
            </w:r>
          </w:p>
          <w:p w:rsidR="00000000" w:rsidRPr="00BC36FF" w:rsidP="00BC36FF">
            <w:pPr>
              <w:pStyle w:val="ListBullet"/>
            </w:pPr>
            <w:r w:rsidRPr="00BC36FF">
              <w:t>review of link budget documentation completed by the candidate</w:t>
            </w:r>
          </w:p>
          <w:p w:rsidR="00000000" w:rsidRPr="00BC36FF" w:rsidP="00BC36FF">
            <w:pPr>
              <w:pStyle w:val="ListBullet"/>
            </w:pPr>
            <w:r w:rsidRPr="00BC36FF">
              <w:t>review of look angle calculation reports</w:t>
            </w:r>
          </w:p>
          <w:p w:rsidR="00000000" w:rsidP="00BC36FF">
            <w:pPr>
              <w:pStyle w:val="ListBullet"/>
              <w:rPr>
                <w:lang w:val="en-NZ"/>
              </w:rPr>
            </w:pPr>
            <w:r w:rsidRPr="00BC36FF">
              <w:t>oral or written questioning to assess knowledge of satellite communications systems.</w:t>
            </w:r>
          </w:p>
        </w:tc>
      </w:tr>
      <w:tr w:rsidTr="007B7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Gu</w:t>
            </w:r>
            <w:r w:rsidRPr="00BC36FF">
              <w:rPr>
                <w:rStyle w:val="SpecialBold"/>
              </w:rPr>
              <w:t>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Holistic assessment with other units relevant to the industry sector, workplace and job role is recommended, for example:</w:t>
            </w:r>
          </w:p>
          <w:p w:rsidR="00000000" w:rsidRPr="00BC36FF" w:rsidP="00BC36FF">
            <w:pPr>
              <w:pStyle w:val="ListBullet"/>
            </w:pPr>
            <w:r w:rsidRPr="00BC36FF">
              <w:t>ICTRFN7182A Produce a radio link budget.</w:t>
            </w:r>
          </w:p>
          <w:p w:rsidR="00000000" w:rsidRPr="00BC36FF" w:rsidP="00BC36FF">
            <w:pPr>
              <w:pStyle w:val="BodyText"/>
            </w:pPr>
          </w:p>
          <w:p w:rsidR="00000000" w:rsidRPr="00BC36FF" w:rsidP="00BC36FF">
            <w:pPr>
              <w:pStyle w:val="BodyText"/>
            </w:pPr>
            <w:r w:rsidRPr="00BC36FF">
              <w:t>Aboriginal people and other people from a non English speaking background may have second language issues.</w:t>
            </w:r>
          </w:p>
          <w:p w:rsidR="00000000" w:rsidRPr="00BC36FF" w:rsidP="00BC36FF">
            <w:pPr>
              <w:pStyle w:val="BodyText"/>
            </w:pPr>
          </w:p>
          <w:p w:rsidR="00000000" w:rsidRPr="00BC36FF" w:rsidP="00BC36FF">
            <w:pPr>
              <w:pStyle w:val="BodyText"/>
            </w:pPr>
            <w:r w:rsidRPr="00BC36FF">
              <w:t xml:space="preserve">Access must be provided to appropriate learning and assessment support when required. </w:t>
            </w:r>
          </w:p>
          <w:p w:rsidR="00000000" w:rsidRPr="00BC36FF" w:rsidP="00BC36FF">
            <w:pPr>
              <w:pStyle w:val="BodyText"/>
            </w:pPr>
          </w:p>
          <w:p w:rsidR="00000000" w:rsidRPr="00BC36FF" w:rsidP="00BC36FF">
            <w:pPr>
              <w:pStyle w:val="BodyText"/>
            </w:pPr>
            <w:r w:rsidRPr="00BC36FF">
              <w:t>Assessment processes and techniques must be culturally appro</w:t>
            </w:r>
            <w:r w:rsidRPr="00BC36FF">
              <w:t>priate, and appropriate to the oral communication skill level, and language and literacy capacity of the candidate and the work being performed.</w:t>
            </w:r>
          </w:p>
          <w:p w:rsidR="00000000" w:rsidRPr="00BC36FF" w:rsidP="00BC36FF">
            <w:pPr>
              <w:pStyle w:val="BodyText"/>
            </w:pPr>
          </w:p>
          <w:p w:rsidR="00000000" w:rsidRPr="00BC36FF" w:rsidP="00BC36FF">
            <w:pPr>
              <w:pStyle w:val="BodyText"/>
            </w:pPr>
            <w:r w:rsidRPr="00BC36FF">
              <w:t>In all cases where practical assessment is used it will be combined with targeted questioning to assess requir</w:t>
            </w:r>
            <w:r w:rsidRPr="00BC36FF">
              <w:t xml:space="preserve">ed knowledge. Questioning techniques should not require language, literacy and numeracy skills beyond those required in this unit of competency. </w:t>
            </w:r>
          </w:p>
          <w:p w:rsidR="00000000" w:rsidRPr="00BC36FF" w:rsidP="00BC36FF">
            <w:pPr>
              <w:pStyle w:val="BodyText"/>
            </w:pPr>
          </w:p>
          <w:p w:rsidR="00000000" w:rsidRPr="00BC36FF" w:rsidP="00BC36FF">
            <w:pPr>
              <w:pStyle w:val="BodyText"/>
            </w:pPr>
            <w:r w:rsidRPr="00BC36FF">
              <w:t>Where applicable, physical resources should include equipment modified for people with special needs.</w:t>
            </w:r>
          </w:p>
        </w:tc>
      </w:tr>
    </w:tbl>
    <w:p w:rsidR="007B775F" w:rsidP="00BC36FF">
      <w:pPr>
        <w:pStyle w:val="BodyText"/>
      </w:pPr>
    </w:p>
    <w:p w:rsidR="007B775F" w:rsidP="00BC36FF">
      <w:pPr>
        <w:pStyle w:val="BodyText"/>
      </w:pPr>
    </w:p>
    <w:p w:rsidR="00000000" w:rsidRPr="00BC36FF" w:rsidP="00BC36FF">
      <w:pPr>
        <w:pStyle w:val="Heading1"/>
      </w:pPr>
      <w:bookmarkStart w:id="11" w:name="O_252532"/>
      <w:bookmarkEnd w:id="11"/>
      <w:r w:rsidRPr="00BC36FF">
        <w:t>Range Statement</w:t>
      </w:r>
    </w:p>
    <w:tbl>
      <w:tblPr>
        <w:tblW w:w="0" w:type="auto"/>
        <w:tblLayout w:type="fixed"/>
        <w:tblCellMar>
          <w:left w:w="62" w:type="dxa"/>
          <w:right w:w="62" w:type="dxa"/>
        </w:tblCellMar>
        <w:tblLook w:val="0000"/>
      </w:tblPr>
      <w:tblGrid>
        <w:gridCol w:w="3454"/>
        <w:gridCol w:w="5068"/>
      </w:tblGrid>
      <w:tr w:rsidTr="007B77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RANGE STATEMENT</w:t>
            </w:r>
          </w:p>
        </w:tc>
      </w:tr>
      <w:tr w:rsidTr="007B77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t>The range statement relates to the unit of competency as a whole. It allows for different work environments and situations that may affect performance. Bold italicised wording, if used in the performance cr</w:t>
            </w:r>
            <w:r w:rsidRPr="00BC36FF">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7B775F">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t xml:space="preserve"> </w:t>
            </w:r>
            <w:r w:rsidRPr="00BC36FF">
              <w:rPr>
                <w:rStyle w:val="BoldandItalics"/>
              </w:rPr>
              <w:t>Satellite applications</w:t>
            </w:r>
            <w:r w:rsidRPr="00BC36FF">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broadcasting:</w:t>
            </w:r>
          </w:p>
          <w:p w:rsidR="00000000" w:rsidRPr="00BC36FF" w:rsidP="00BC36FF">
            <w:pPr>
              <w:pStyle w:val="ListBullet2"/>
            </w:pPr>
            <w:r w:rsidRPr="00BC36FF">
              <w:t>broadcast satellite service (BSS)</w:t>
            </w:r>
          </w:p>
          <w:p w:rsidR="00000000" w:rsidRPr="00BC36FF" w:rsidP="00BC36FF">
            <w:pPr>
              <w:pStyle w:val="ListBullet2"/>
            </w:pPr>
            <w:r w:rsidRPr="00BC36FF">
              <w:t>fixed service satellite (FSS)</w:t>
            </w:r>
          </w:p>
          <w:p w:rsidR="00000000" w:rsidRPr="00BC36FF" w:rsidP="00BC36FF">
            <w:pPr>
              <w:pStyle w:val="ListBullet"/>
            </w:pPr>
            <w:r w:rsidRPr="00BC36FF">
              <w:t>defence</w:t>
            </w:r>
          </w:p>
          <w:p w:rsidR="00000000" w:rsidRPr="00BC36FF" w:rsidP="00BC36FF">
            <w:pPr>
              <w:pStyle w:val="ListBullet"/>
            </w:pPr>
            <w:r w:rsidRPr="00BC36FF">
              <w:t>domestic communications</w:t>
            </w:r>
          </w:p>
          <w:p w:rsidR="00000000" w:rsidRPr="00BC36FF" w:rsidP="00BC36FF">
            <w:pPr>
              <w:pStyle w:val="ListBullet"/>
            </w:pPr>
            <w:r w:rsidRPr="00BC36FF">
              <w:t>earth observation:</w:t>
            </w:r>
          </w:p>
          <w:p w:rsidR="00000000" w:rsidRPr="00BC36FF" w:rsidP="00BC36FF">
            <w:pPr>
              <w:pStyle w:val="ListBullet2"/>
            </w:pPr>
            <w:r w:rsidRPr="00BC36FF">
              <w:t>mapping</w:t>
            </w:r>
          </w:p>
          <w:p w:rsidR="00000000" w:rsidRPr="00BC36FF" w:rsidP="00BC36FF">
            <w:pPr>
              <w:pStyle w:val="ListBullet2"/>
            </w:pPr>
            <w:r w:rsidRPr="00BC36FF">
              <w:t>meteorology</w:t>
            </w:r>
          </w:p>
          <w:p w:rsidR="00000000" w:rsidRPr="00BC36FF" w:rsidP="00BC36FF">
            <w:pPr>
              <w:pStyle w:val="ListBullet"/>
            </w:pPr>
            <w:r w:rsidRPr="00BC36FF">
              <w:t>international communications:</w:t>
            </w:r>
          </w:p>
          <w:p w:rsidR="00000000" w:rsidRPr="00BC36FF" w:rsidP="00BC36FF">
            <w:pPr>
              <w:pStyle w:val="ListBullet2"/>
            </w:pPr>
            <w:r w:rsidRPr="00BC36FF">
              <w:t>Intelsat</w:t>
            </w:r>
          </w:p>
          <w:p w:rsidR="00000000" w:rsidRPr="00BC36FF" w:rsidP="00BC36FF">
            <w:pPr>
              <w:pStyle w:val="ListBullet"/>
            </w:pPr>
            <w:r w:rsidRPr="00BC36FF">
              <w:t>global positioning system (GPS)</w:t>
            </w:r>
          </w:p>
          <w:p w:rsidR="00000000" w:rsidP="00BC36FF">
            <w:pPr>
              <w:pStyle w:val="ListBullet"/>
              <w:rPr>
                <w:lang w:val="en-NZ"/>
              </w:rPr>
            </w:pPr>
            <w:r w:rsidRPr="00BC36FF">
              <w:t>navigational.</w:t>
            </w:r>
          </w:p>
        </w:tc>
      </w:tr>
      <w:tr w:rsidTr="007B775F">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BoldandItalics"/>
              </w:rPr>
              <w:t>Orbit</w:t>
            </w:r>
            <w:r w:rsidRPr="00BC36FF">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geostationary</w:t>
            </w:r>
          </w:p>
          <w:p w:rsidR="00000000" w:rsidRPr="00BC36FF" w:rsidP="00BC36FF">
            <w:pPr>
              <w:pStyle w:val="ListBullet"/>
            </w:pPr>
            <w:r w:rsidRPr="00BC36FF">
              <w:t>inclined orbit</w:t>
            </w:r>
          </w:p>
          <w:p w:rsidR="00000000" w:rsidRPr="00BC36FF" w:rsidP="00BC36FF">
            <w:pPr>
              <w:pStyle w:val="ListBullet"/>
            </w:pPr>
            <w:r w:rsidRPr="00BC36FF">
              <w:t>low earth orbiting (LEO):</w:t>
            </w:r>
          </w:p>
          <w:p w:rsidR="00000000" w:rsidRPr="00BC36FF" w:rsidP="00BC36FF">
            <w:pPr>
              <w:pStyle w:val="ListBullet2"/>
            </w:pPr>
            <w:r w:rsidRPr="00BC36FF">
              <w:t>polar</w:t>
            </w:r>
          </w:p>
          <w:p w:rsidR="00000000" w:rsidRPr="00BC36FF" w:rsidP="00BC36FF">
            <w:pPr>
              <w:pStyle w:val="ListBullet2"/>
            </w:pPr>
            <w:r w:rsidRPr="00BC36FF">
              <w:t>non-polar</w:t>
            </w:r>
          </w:p>
          <w:p w:rsidR="00000000" w:rsidP="00BC36FF">
            <w:pPr>
              <w:pStyle w:val="ListBullet"/>
              <w:rPr>
                <w:lang w:val="en-NZ"/>
              </w:rPr>
            </w:pPr>
            <w:r w:rsidRPr="00BC36FF">
              <w:t>Molniya highly elliptical orbit.</w:t>
            </w:r>
          </w:p>
        </w:tc>
      </w:tr>
      <w:tr w:rsidTr="007B775F">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BoldandItalics"/>
              </w:rPr>
              <w:t>Multiple access techniques</w:t>
            </w:r>
            <w:r w:rsidRPr="00BC36FF">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code division multiple access (CDMA)</w:t>
            </w:r>
          </w:p>
          <w:p w:rsidR="00000000" w:rsidRPr="00BC36FF" w:rsidP="00BC36FF">
            <w:pPr>
              <w:pStyle w:val="ListBullet"/>
            </w:pPr>
            <w:r w:rsidRPr="00BC36FF">
              <w:t>frequency division multiple access (FDMA)</w:t>
            </w:r>
          </w:p>
          <w:p w:rsidR="00000000" w:rsidRPr="00BC36FF" w:rsidP="00BC36FF">
            <w:pPr>
              <w:pStyle w:val="ListBullet"/>
            </w:pPr>
            <w:r w:rsidRPr="00BC36FF">
              <w:t>hybrid multiple access schemes:</w:t>
            </w:r>
          </w:p>
          <w:p w:rsidR="00000000" w:rsidRPr="00BC36FF" w:rsidP="00BC36FF">
            <w:pPr>
              <w:pStyle w:val="ListBullet2"/>
            </w:pPr>
            <w:r w:rsidRPr="00BC36FF">
              <w:t xml:space="preserve">FDMA/time division multiple access TDMA </w:t>
            </w:r>
          </w:p>
          <w:p w:rsidR="00000000" w:rsidRPr="00BC36FF" w:rsidP="00BC36FF">
            <w:pPr>
              <w:pStyle w:val="ListBullet"/>
            </w:pPr>
            <w:r w:rsidRPr="00BC36FF">
              <w:t>polarisation division multiple access (PDMA)</w:t>
            </w:r>
          </w:p>
          <w:p w:rsidR="00000000" w:rsidRPr="00BC36FF" w:rsidP="00BC36FF">
            <w:pPr>
              <w:pStyle w:val="ListBullet"/>
            </w:pPr>
            <w:r w:rsidRPr="00BC36FF">
              <w:t>space division multiple access (SDMA)</w:t>
            </w:r>
          </w:p>
          <w:p w:rsidR="00000000" w:rsidP="00BC36FF">
            <w:pPr>
              <w:pStyle w:val="ListBullet"/>
              <w:rPr>
                <w:lang w:val="en-NZ"/>
              </w:rPr>
            </w:pPr>
            <w:r w:rsidRPr="00BC36FF">
              <w:t>time division multiple access (TDMA).</w:t>
            </w:r>
          </w:p>
        </w:tc>
      </w:tr>
      <w:tr w:rsidTr="007B775F">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BoldandItalics"/>
              </w:rPr>
              <w:t>Uplink and downlink criteria</w:t>
            </w:r>
            <w:r w:rsidRPr="00BC36FF">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antenna gain</w:t>
            </w:r>
          </w:p>
          <w:p w:rsidR="00000000" w:rsidRPr="00BC36FF" w:rsidP="00BC36FF">
            <w:pPr>
              <w:pStyle w:val="ListBullet"/>
            </w:pPr>
            <w:r w:rsidRPr="00BC36FF">
              <w:t>bandwidth</w:t>
            </w:r>
          </w:p>
          <w:p w:rsidR="00000000" w:rsidRPr="00BC36FF" w:rsidP="00BC36FF">
            <w:pPr>
              <w:pStyle w:val="ListBullet"/>
            </w:pPr>
            <w:r w:rsidRPr="00BC36FF">
              <w:t>error correction bits</w:t>
            </w:r>
          </w:p>
          <w:p w:rsidR="00000000" w:rsidRPr="00BC36FF" w:rsidP="00BC36FF">
            <w:pPr>
              <w:pStyle w:val="ListBullet"/>
            </w:pPr>
            <w:r w:rsidRPr="00BC36FF">
              <w:t>modulation type</w:t>
            </w:r>
          </w:p>
          <w:p w:rsidR="00000000" w:rsidRPr="00BC36FF" w:rsidP="00BC36FF">
            <w:pPr>
              <w:pStyle w:val="ListBullet"/>
            </w:pPr>
            <w:r w:rsidRPr="00BC36FF">
              <w:t>path loss</w:t>
            </w:r>
          </w:p>
          <w:p w:rsidR="00000000" w:rsidP="00BC36FF">
            <w:pPr>
              <w:pStyle w:val="ListBullet"/>
              <w:rPr>
                <w:lang w:val="en-NZ"/>
              </w:rPr>
            </w:pPr>
            <w:r w:rsidRPr="00BC36FF">
              <w:t>transmitter power.</w:t>
            </w:r>
          </w:p>
        </w:tc>
      </w:tr>
      <w:tr w:rsidTr="007B775F">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BoldandItalics"/>
              </w:rPr>
              <w:t>Specified modulation types</w:t>
            </w:r>
            <w:r w:rsidRPr="00BC36FF">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m-PSK:</w:t>
            </w:r>
          </w:p>
          <w:p w:rsidR="00000000" w:rsidRPr="00BC36FF" w:rsidP="00BC36FF">
            <w:pPr>
              <w:pStyle w:val="ListBullet2"/>
            </w:pPr>
            <w:r w:rsidRPr="00BC36FF">
              <w:t>8PSK</w:t>
            </w:r>
          </w:p>
          <w:p w:rsidR="00000000" w:rsidRPr="00BC36FF" w:rsidP="00BC36FF">
            <w:pPr>
              <w:pStyle w:val="ListBullet2"/>
            </w:pPr>
            <w:r w:rsidRPr="00BC36FF">
              <w:t>OQPSK</w:t>
            </w:r>
          </w:p>
          <w:p w:rsidR="00000000" w:rsidRPr="00BC36FF" w:rsidP="00BC36FF">
            <w:pPr>
              <w:pStyle w:val="ListBullet2"/>
            </w:pPr>
            <w:r w:rsidRPr="00BC36FF">
              <w:t>QPSK</w:t>
            </w:r>
          </w:p>
          <w:p w:rsidR="00000000" w:rsidRPr="00BC36FF" w:rsidP="00BC36FF">
            <w:pPr>
              <w:pStyle w:val="ListBullet"/>
            </w:pPr>
            <w:r w:rsidRPr="00BC36FF">
              <w:t>M-QAM:</w:t>
            </w:r>
          </w:p>
          <w:p w:rsidR="00000000" w:rsidRPr="00BC36FF" w:rsidP="00BC36FF">
            <w:pPr>
              <w:pStyle w:val="ListBullet2"/>
            </w:pPr>
            <w:r w:rsidRPr="00BC36FF">
              <w:t>16QAM</w:t>
            </w:r>
          </w:p>
          <w:p w:rsidR="00000000" w:rsidRPr="00BC36FF" w:rsidP="00BC36FF">
            <w:pPr>
              <w:pStyle w:val="ListBullet"/>
            </w:pPr>
            <w:r w:rsidRPr="00BC36FF">
              <w:t>spread spectrum:</w:t>
            </w:r>
          </w:p>
          <w:p w:rsidR="00000000" w:rsidRPr="00BC36FF" w:rsidP="00BC36FF">
            <w:pPr>
              <w:pStyle w:val="ListBullet2"/>
            </w:pPr>
            <w:r w:rsidRPr="00BC36FF">
              <w:t>direct sequence</w:t>
            </w:r>
          </w:p>
          <w:p w:rsidR="00000000" w:rsidP="00BC36FF">
            <w:pPr>
              <w:pStyle w:val="ListBullet2"/>
              <w:rPr>
                <w:lang w:val="en-NZ"/>
              </w:rPr>
            </w:pPr>
            <w:r w:rsidRPr="00BC36FF">
              <w:t>frequency hopping.</w:t>
            </w:r>
          </w:p>
        </w:tc>
      </w:tr>
      <w:tr w:rsidTr="007B775F">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BoldandItalics"/>
              </w:rPr>
              <w:t>Look angles</w:t>
            </w:r>
            <w:r w:rsidRPr="00BC36FF">
              <w:t xml:space="preserve">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azimuth</w:t>
            </w:r>
          </w:p>
          <w:p w:rsidR="00000000" w:rsidP="00BC36FF">
            <w:pPr>
              <w:pStyle w:val="ListBullet"/>
              <w:rPr>
                <w:lang w:val="en-NZ"/>
              </w:rPr>
            </w:pPr>
            <w:r w:rsidRPr="00BC36FF">
              <w:t>elevation.</w:t>
            </w:r>
          </w:p>
        </w:tc>
      </w:tr>
      <w:tr w:rsidTr="007B775F">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BoldandItalics"/>
              </w:rPr>
              <w:t>Frequency re</w:t>
            </w:r>
            <w:r w:rsidRPr="00BC36FF">
              <w:t>-</w:t>
            </w:r>
            <w:r w:rsidRPr="00BC36FF">
              <w:rPr>
                <w:rStyle w:val="BoldandItalics"/>
              </w:rPr>
              <w:t>use</w:t>
            </w:r>
            <w:r w:rsidRPr="00BC36FF">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orthogonal polarisation</w:t>
            </w:r>
          </w:p>
          <w:p w:rsidR="00000000" w:rsidP="00BC36FF">
            <w:pPr>
              <w:pStyle w:val="ListBullet"/>
              <w:rPr>
                <w:lang w:val="en-NZ"/>
              </w:rPr>
            </w:pPr>
            <w:r w:rsidRPr="00BC36FF">
              <w:t>spatial discrimination directional beams.</w:t>
            </w:r>
          </w:p>
        </w:tc>
      </w:tr>
      <w:tr w:rsidTr="007B775F">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BoldandItalics"/>
              </w:rPr>
              <w:t>Very small aperture terminal</w:t>
            </w:r>
            <w:r w:rsidRPr="00BC36FF">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ListBullet"/>
            </w:pPr>
            <w:r w:rsidRPr="00BC36FF">
              <w:t>availability</w:t>
            </w:r>
          </w:p>
          <w:p w:rsidR="00000000" w:rsidRPr="00BC36FF" w:rsidP="00BC36FF">
            <w:pPr>
              <w:pStyle w:val="ListBullet"/>
            </w:pPr>
            <w:r w:rsidRPr="00BC36FF">
              <w:t>latency</w:t>
            </w:r>
          </w:p>
          <w:p w:rsidR="00000000" w:rsidRPr="00BC36FF" w:rsidP="00BC36FF">
            <w:pPr>
              <w:pStyle w:val="ListBullet"/>
            </w:pPr>
            <w:r w:rsidRPr="00BC36FF">
              <w:t>multicast</w:t>
            </w:r>
          </w:p>
          <w:p w:rsidR="00000000" w:rsidRPr="00BC36FF" w:rsidP="00BC36FF">
            <w:pPr>
              <w:pStyle w:val="ListBullet"/>
            </w:pPr>
            <w:r w:rsidRPr="00BC36FF">
              <w:t>topology.</w:t>
            </w:r>
          </w:p>
        </w:tc>
      </w:tr>
    </w:tbl>
    <w:p w:rsidR="007B775F" w:rsidP="00BC36FF">
      <w:pPr>
        <w:pStyle w:val="BodyText"/>
      </w:pPr>
    </w:p>
    <w:p w:rsidR="007B775F" w:rsidP="00BC36FF">
      <w:pPr>
        <w:pStyle w:val="BodyText"/>
      </w:pPr>
    </w:p>
    <w:p w:rsidR="00000000" w:rsidRPr="00BC36FF" w:rsidP="00BC36FF">
      <w:pPr>
        <w:pStyle w:val="Heading1"/>
      </w:pPr>
      <w:bookmarkStart w:id="12" w:name="O_209409"/>
      <w:bookmarkEnd w:id="12"/>
      <w:r w:rsidRPr="00BC36FF">
        <w:t>Unit Sector(s)</w:t>
      </w:r>
    </w:p>
    <w:tbl>
      <w:tblPr>
        <w:tblW w:w="0" w:type="auto"/>
        <w:tblLayout w:type="fixed"/>
        <w:tblCellMar>
          <w:left w:w="62" w:type="dxa"/>
          <w:right w:w="62" w:type="dxa"/>
        </w:tblCellMar>
        <w:tblLook w:val="0000"/>
      </w:tblPr>
      <w:tblGrid>
        <w:gridCol w:w="2570"/>
        <w:gridCol w:w="5952"/>
      </w:tblGrid>
      <w:tr w:rsidTr="007B775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Telecommunications</w:t>
            </w:r>
          </w:p>
        </w:tc>
      </w:tr>
    </w:tbl>
    <w:p w:rsidR="007B775F" w:rsidP="00BC36FF">
      <w:pPr>
        <w:pStyle w:val="BodyText"/>
      </w:pPr>
    </w:p>
    <w:p w:rsidR="007B775F" w:rsidP="00BC36FF">
      <w:pPr>
        <w:pStyle w:val="BodyText"/>
      </w:pPr>
    </w:p>
    <w:p w:rsidR="00000000" w:rsidRPr="00BC36FF" w:rsidP="00BC36FF">
      <w:pPr>
        <w:pStyle w:val="Heading1"/>
      </w:pPr>
      <w:bookmarkStart w:id="13" w:name="O_209406"/>
      <w:bookmarkEnd w:id="13"/>
      <w:r w:rsidRPr="00BC36FF">
        <w:t>Co-requisite units</w:t>
      </w:r>
    </w:p>
    <w:tbl>
      <w:tblPr>
        <w:tblW w:w="0" w:type="auto"/>
        <w:tblLayout w:type="fixed"/>
        <w:tblCellMar>
          <w:left w:w="62" w:type="dxa"/>
          <w:right w:w="62" w:type="dxa"/>
        </w:tblCellMar>
        <w:tblLook w:val="0000"/>
      </w:tblPr>
      <w:tblGrid>
        <w:gridCol w:w="2641"/>
        <w:gridCol w:w="1322"/>
        <w:gridCol w:w="4559"/>
      </w:tblGrid>
      <w:tr w:rsidTr="007B77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p>
        </w:tc>
      </w:tr>
      <w:tr w:rsidTr="007B77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p>
        </w:tc>
      </w:tr>
      <w:tr w:rsidTr="007B77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p>
        </w:tc>
      </w:tr>
    </w:tbl>
    <w:p w:rsidR="007B775F" w:rsidP="00BC36FF">
      <w:pPr>
        <w:pStyle w:val="BodyText"/>
      </w:pPr>
    </w:p>
    <w:p w:rsidR="007B775F" w:rsidP="00BC36FF">
      <w:pPr>
        <w:pStyle w:val="BodyText"/>
      </w:pPr>
    </w:p>
    <w:p w:rsidR="00000000" w:rsidRPr="00BC36FF" w:rsidP="00BC36FF">
      <w:pPr>
        <w:pStyle w:val="Heading1"/>
      </w:pPr>
      <w:bookmarkStart w:id="14" w:name="O_209408"/>
      <w:bookmarkEnd w:id="14"/>
      <w:r w:rsidRPr="00BC36FF">
        <w:t>Competency field</w:t>
      </w:r>
    </w:p>
    <w:tbl>
      <w:tblPr>
        <w:tblW w:w="0" w:type="auto"/>
        <w:tblLayout w:type="fixed"/>
        <w:tblCellMar>
          <w:left w:w="62" w:type="dxa"/>
          <w:right w:w="62" w:type="dxa"/>
        </w:tblCellMar>
        <w:tblLook w:val="0000"/>
      </w:tblPr>
      <w:tblGrid>
        <w:gridCol w:w="2779"/>
        <w:gridCol w:w="5743"/>
      </w:tblGrid>
      <w:tr w:rsidTr="007B775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6FF">
            <w:pPr>
              <w:pStyle w:val="BodyText"/>
              <w:rPr>
                <w:lang w:val="en-NZ"/>
              </w:rPr>
            </w:pPr>
            <w:r w:rsidRPr="00BC36FF">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6FF" w:rsidP="00BC36FF">
            <w:pPr>
              <w:pStyle w:val="BodyText"/>
            </w:pPr>
            <w:r w:rsidRPr="00BC36FF">
              <w:t>Radio frequency networks</w:t>
            </w:r>
          </w:p>
        </w:tc>
      </w:tr>
    </w:tbl>
    <w:p w:rsidR="007B775F" w:rsidP="00BC36FF">
      <w:pPr>
        <w:pStyle w:val="BodyText"/>
      </w:pPr>
    </w:p>
    <w:p w:rsidR="007B775F" w:rsidP="00BC36FF">
      <w:pPr>
        <w:pStyle w:val="BodyText"/>
      </w:pPr>
    </w:p>
    <w:p w:rsidR="00000000" w:rsidRPr="00BC36FF" w:rsidP="00BC36FF"/>
    <w:sectPr w:rsidSect="00BC36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75F" w:rsidP="007B7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5F" w:rsidP="00BC3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775F" w:rsidP="00BC36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775F" w:rsidP="00BC36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75F" w:rsidP="007B77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5F" w:rsidP="00BC36FF">
    <w:pPr>
      <w:pStyle w:val="Header"/>
      <w:framePr w:wrap="around"/>
    </w:pPr>
    <w:r>
      <w:fldChar w:fldCharType="begin"/>
    </w:r>
    <w:r>
      <w:instrText xml:space="preserve"> TITLE   \* MERGEFORMAT </w:instrText>
    </w:r>
    <w:r>
      <w:fldChar w:fldCharType="separate"/>
    </w:r>
    <w:r>
      <w:t>ICTRFN8181A Analyse a satellite communications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775F" w:rsidP="00BC36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AC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8E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C3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6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36FF"/>
    <w:pPr>
      <w:spacing w:before="360" w:after="60"/>
      <w:outlineLvl w:val="0"/>
    </w:pPr>
    <w:rPr>
      <w:sz w:val="32"/>
    </w:rPr>
  </w:style>
  <w:style w:type="paragraph" w:styleId="Heading2">
    <w:name w:val="heading 2"/>
    <w:basedOn w:val="HeadingBase"/>
    <w:next w:val="BodyText"/>
    <w:link w:val="Heading2Char"/>
    <w:qFormat/>
    <w:rsid w:val="00BC36FF"/>
    <w:pPr>
      <w:keepLines/>
      <w:spacing w:before="240" w:after="120"/>
      <w:outlineLvl w:val="1"/>
    </w:pPr>
    <w:rPr>
      <w:sz w:val="28"/>
      <w:szCs w:val="40"/>
    </w:rPr>
  </w:style>
  <w:style w:type="paragraph" w:styleId="Heading3">
    <w:name w:val="heading 3"/>
    <w:basedOn w:val="HeadingBase"/>
    <w:next w:val="BodyText"/>
    <w:link w:val="Heading3Char"/>
    <w:qFormat/>
    <w:rsid w:val="00BC36FF"/>
    <w:pPr>
      <w:spacing w:before="180" w:after="120"/>
      <w:outlineLvl w:val="2"/>
    </w:pPr>
    <w:rPr>
      <w:spacing w:val="-10"/>
      <w:kern w:val="32"/>
    </w:rPr>
  </w:style>
  <w:style w:type="paragraph" w:styleId="Heading4">
    <w:name w:val="heading 4"/>
    <w:basedOn w:val="HeadingBase"/>
    <w:next w:val="BodyText"/>
    <w:link w:val="Heading4Char"/>
    <w:qFormat/>
    <w:rsid w:val="00BC36FF"/>
    <w:pPr>
      <w:spacing w:before="160" w:after="120"/>
      <w:outlineLvl w:val="3"/>
    </w:pPr>
    <w:rPr>
      <w:sz w:val="22"/>
    </w:rPr>
  </w:style>
  <w:style w:type="paragraph" w:styleId="Heading5">
    <w:name w:val="heading 5"/>
    <w:basedOn w:val="HeadingBase"/>
    <w:next w:val="Normal"/>
    <w:link w:val="Heading5Char"/>
    <w:qFormat/>
    <w:rsid w:val="00BC36FF"/>
    <w:pPr>
      <w:spacing w:before="80"/>
      <w:outlineLvl w:val="4"/>
    </w:pPr>
    <w:rPr>
      <w:color w:val="918585"/>
      <w:sz w:val="20"/>
    </w:rPr>
  </w:style>
  <w:style w:type="paragraph" w:styleId="Heading6">
    <w:name w:val="heading 6"/>
    <w:basedOn w:val="HeadingBase"/>
    <w:next w:val="Normal"/>
    <w:link w:val="Heading6Char"/>
    <w:qFormat/>
    <w:rsid w:val="00BC36FF"/>
    <w:pPr>
      <w:spacing w:before="60"/>
      <w:outlineLvl w:val="5"/>
    </w:pPr>
    <w:rPr>
      <w:color w:val="918585"/>
      <w:sz w:val="20"/>
    </w:rPr>
  </w:style>
  <w:style w:type="paragraph" w:styleId="Heading7">
    <w:name w:val="heading 7"/>
    <w:basedOn w:val="Normal"/>
    <w:next w:val="Normal"/>
    <w:link w:val="Heading7Char"/>
    <w:qFormat/>
    <w:rsid w:val="00BC36FF"/>
    <w:pPr>
      <w:ind w:left="720"/>
      <w:outlineLvl w:val="6"/>
    </w:pPr>
    <w:rPr>
      <w:i/>
    </w:rPr>
  </w:style>
  <w:style w:type="paragraph" w:styleId="Heading8">
    <w:name w:val="heading 8"/>
    <w:basedOn w:val="Normal"/>
    <w:next w:val="Normal"/>
    <w:link w:val="Heading8Char"/>
    <w:qFormat/>
    <w:rsid w:val="00BC36FF"/>
    <w:pPr>
      <w:ind w:left="720"/>
      <w:outlineLvl w:val="7"/>
    </w:pPr>
    <w:rPr>
      <w:i/>
    </w:rPr>
  </w:style>
  <w:style w:type="paragraph" w:styleId="Heading9">
    <w:name w:val="heading 9"/>
    <w:basedOn w:val="Normal"/>
    <w:next w:val="Normal"/>
    <w:link w:val="Heading9Char"/>
    <w:qFormat/>
    <w:rsid w:val="00BC36FF"/>
    <w:pPr>
      <w:ind w:left="720"/>
      <w:outlineLvl w:val="8"/>
    </w:pPr>
    <w:rPr>
      <w:i/>
    </w:rPr>
  </w:style>
  <w:style w:type="character" w:default="1" w:styleId="DefaultParagraphFont">
    <w:name w:val="Default Paragraph Font"/>
    <w:uiPriority w:val="1"/>
    <w:unhideWhenUsed/>
    <w:rsid w:val="00BC3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6FF"/>
  </w:style>
  <w:style w:type="character" w:customStyle="1" w:styleId="Heading1Char">
    <w:name w:val="Heading 1 Char"/>
    <w:basedOn w:val="DefaultParagraphFont"/>
    <w:link w:val="Heading1"/>
    <w:rsid w:val="00BC36FF"/>
    <w:rPr>
      <w:rFonts w:ascii="Times New Roman" w:eastAsia="Times New Roman" w:hAnsi="Times New Roman" w:cs="Times New Roman"/>
      <w:b/>
      <w:sz w:val="32"/>
      <w:szCs w:val="20"/>
      <w:lang w:eastAsia="en-US"/>
    </w:rPr>
  </w:style>
  <w:style w:type="paragraph" w:styleId="BodyText">
    <w:name w:val="Body Text"/>
    <w:basedOn w:val="Normal"/>
    <w:link w:val="BodyTextChar"/>
    <w:rsid w:val="00BC36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6FF"/>
    <w:rPr>
      <w:rFonts w:ascii="Times New Roman" w:eastAsia="Times New Roman" w:hAnsi="Times New Roman" w:cs="Times New Roman"/>
      <w:sz w:val="24"/>
      <w:lang w:val="en-US" w:eastAsia="en-US"/>
    </w:rPr>
  </w:style>
  <w:style w:type="paragraph" w:styleId="Footer">
    <w:name w:val="footer"/>
    <w:basedOn w:val="Normal"/>
    <w:link w:val="FooterChar"/>
    <w:rsid w:val="00BC3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6FF"/>
    <w:rPr>
      <w:rFonts w:ascii="Times New Roman" w:eastAsia="Times New Roman" w:hAnsi="Times New Roman" w:cs="Times New Roman"/>
      <w:sz w:val="16"/>
      <w:lang w:val="en-US" w:eastAsia="en-US"/>
    </w:rPr>
  </w:style>
  <w:style w:type="paragraph" w:styleId="List">
    <w:name w:val="List"/>
    <w:basedOn w:val="BodyText"/>
    <w:next w:val="BodyText"/>
    <w:rsid w:val="00BC36FF"/>
    <w:pPr>
      <w:tabs>
        <w:tab w:val="left" w:pos="340"/>
      </w:tabs>
      <w:spacing w:before="60" w:after="60"/>
      <w:ind w:left="340" w:hanging="340"/>
    </w:pPr>
  </w:style>
  <w:style w:type="paragraph" w:styleId="ListBullet">
    <w:name w:val="List Bullet"/>
    <w:basedOn w:val="List"/>
    <w:rsid w:val="00BC36FF"/>
    <w:pPr>
      <w:numPr>
        <w:numId w:val="14"/>
      </w:numPr>
      <w:tabs>
        <w:tab w:val="clear" w:pos="340"/>
      </w:tabs>
      <w:spacing w:before="40" w:after="40"/>
    </w:pPr>
  </w:style>
  <w:style w:type="character" w:customStyle="1" w:styleId="SpecialBold">
    <w:name w:val="Special Bold"/>
    <w:basedOn w:val="DefaultParagraphFont"/>
    <w:rsid w:val="00BC36FF"/>
    <w:rPr>
      <w:b/>
      <w:spacing w:val="0"/>
    </w:rPr>
  </w:style>
  <w:style w:type="paragraph" w:styleId="ListBullet2">
    <w:name w:val="List Bullet 2"/>
    <w:basedOn w:val="List2"/>
    <w:rsid w:val="00BC36FF"/>
    <w:pPr>
      <w:numPr>
        <w:numId w:val="15"/>
      </w:numPr>
      <w:tabs>
        <w:tab w:val="clear" w:pos="680"/>
      </w:tabs>
    </w:pPr>
  </w:style>
  <w:style w:type="paragraph" w:styleId="Header">
    <w:name w:val="header"/>
    <w:basedOn w:val="Normal"/>
    <w:link w:val="HeaderChar"/>
    <w:rsid w:val="00BC3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6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36FF"/>
    <w:pPr>
      <w:spacing w:before="240" w:after="120"/>
      <w:outlineLvl w:val="0"/>
    </w:pPr>
    <w:rPr>
      <w:rFonts w:ascii="Times New Roman" w:hAnsi="Times New Roman"/>
      <w:b/>
      <w:sz w:val="28"/>
    </w:rPr>
  </w:style>
  <w:style w:type="paragraph" w:customStyle="1" w:styleId="AllowPageBreak">
    <w:name w:val="AllowPageBreak"/>
    <w:rsid w:val="00BC36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36FF"/>
    <w:pPr>
      <w:tabs>
        <w:tab w:val="left" w:pos="680"/>
      </w:tabs>
      <w:spacing w:before="60" w:after="60"/>
      <w:ind w:left="680" w:hanging="340"/>
    </w:pPr>
  </w:style>
  <w:style w:type="paragraph" w:styleId="ListBullet3">
    <w:name w:val="List Bullet 3"/>
    <w:basedOn w:val="List3"/>
    <w:rsid w:val="00BC36FF"/>
    <w:pPr>
      <w:numPr>
        <w:numId w:val="3"/>
      </w:numPr>
      <w:tabs>
        <w:tab w:val="clear" w:pos="1021"/>
      </w:tabs>
      <w:ind w:left="1037" w:hanging="357"/>
    </w:pPr>
  </w:style>
  <w:style w:type="character" w:customStyle="1" w:styleId="BoldandItalics">
    <w:name w:val="Bold and Italics"/>
    <w:qFormat/>
    <w:rsid w:val="00BC36FF"/>
    <w:rPr>
      <w:b/>
      <w:i/>
      <w:u w:val="none"/>
    </w:rPr>
  </w:style>
  <w:style w:type="character" w:customStyle="1" w:styleId="Heading2Char">
    <w:name w:val="Heading 2 Char"/>
    <w:basedOn w:val="DefaultParagraphFont"/>
    <w:link w:val="Heading2"/>
    <w:rsid w:val="00BC3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6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6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6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36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36FF"/>
    <w:rPr>
      <w:rFonts w:ascii="Courier New" w:eastAsia="Times New Roman" w:hAnsi="Courier New" w:cs="Times New Roman"/>
      <w:i/>
      <w:szCs w:val="20"/>
      <w:lang w:val="en-US" w:eastAsia="en-US"/>
    </w:rPr>
  </w:style>
  <w:style w:type="paragraph" w:customStyle="1" w:styleId="HeadingBase">
    <w:name w:val="Heading Base"/>
    <w:rsid w:val="00BC3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6FF"/>
    <w:pPr>
      <w:tabs>
        <w:tab w:val="right" w:leader="dot" w:pos="9072"/>
      </w:tabs>
      <w:ind w:left="567"/>
    </w:pPr>
    <w:rPr>
      <w:szCs w:val="22"/>
    </w:rPr>
  </w:style>
  <w:style w:type="paragraph" w:customStyle="1" w:styleId="TOCBase">
    <w:name w:val="TOC Base"/>
    <w:rsid w:val="00BC3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6FF"/>
    <w:pPr>
      <w:tabs>
        <w:tab w:val="right" w:leader="dot" w:pos="9072"/>
      </w:tabs>
      <w:spacing w:before="40" w:after="40"/>
      <w:ind w:left="284"/>
    </w:pPr>
    <w:rPr>
      <w:rFonts w:ascii="Times New Roman" w:hAnsi="Times New Roman"/>
    </w:rPr>
  </w:style>
  <w:style w:type="paragraph" w:styleId="TOC1">
    <w:name w:val="toc 1"/>
    <w:basedOn w:val="TOCBase"/>
    <w:next w:val="Normal"/>
    <w:rsid w:val="00BC36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6FF"/>
    <w:pPr>
      <w:spacing w:before="5040"/>
      <w:jc w:val="center"/>
    </w:pPr>
    <w:rPr>
      <w:sz w:val="48"/>
      <w:szCs w:val="72"/>
      <w:lang w:val="en-US"/>
    </w:rPr>
  </w:style>
  <w:style w:type="character" w:customStyle="1" w:styleId="TitleChar">
    <w:name w:val="Title Char"/>
    <w:basedOn w:val="DefaultParagraphFont"/>
    <w:link w:val="Title"/>
    <w:rsid w:val="00BC3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6FF"/>
    <w:pPr>
      <w:tabs>
        <w:tab w:val="left" w:pos="3600"/>
        <w:tab w:val="left" w:pos="3958"/>
      </w:tabs>
    </w:pPr>
  </w:style>
  <w:style w:type="paragraph" w:customStyle="1" w:styleId="Note">
    <w:name w:val="Note"/>
    <w:basedOn w:val="BodyText"/>
    <w:rsid w:val="00BC36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6FF"/>
    <w:pPr>
      <w:framePr w:wrap="auto" w:hAnchor="text" w:y="6049"/>
    </w:pPr>
    <w:rPr>
      <w:color w:val="000000"/>
      <w:sz w:val="40"/>
    </w:rPr>
  </w:style>
  <w:style w:type="paragraph" w:customStyle="1" w:styleId="TOCTitle">
    <w:name w:val="TOCTitle"/>
    <w:basedOn w:val="Heading1"/>
    <w:rsid w:val="00BC36FF"/>
    <w:pPr>
      <w:spacing w:after="240"/>
      <w:jc w:val="center"/>
      <w:outlineLvl w:val="9"/>
    </w:pPr>
    <w:rPr>
      <w:caps/>
    </w:rPr>
  </w:style>
  <w:style w:type="paragraph" w:customStyle="1" w:styleId="Version">
    <w:name w:val="Version"/>
    <w:rsid w:val="00BC36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6FF"/>
    <w:pPr>
      <w:keepNext w:val="0"/>
      <w:tabs>
        <w:tab w:val="right" w:pos="4176"/>
      </w:tabs>
      <w:ind w:left="198" w:hanging="198"/>
    </w:pPr>
    <w:rPr>
      <w:rFonts w:ascii="Garamond" w:hAnsi="Garamond"/>
    </w:rPr>
  </w:style>
  <w:style w:type="paragraph" w:styleId="IndexHeading">
    <w:name w:val="index heading"/>
    <w:basedOn w:val="Normal"/>
    <w:next w:val="Index1"/>
    <w:semiHidden/>
    <w:rsid w:val="00BC36FF"/>
    <w:pPr>
      <w:spacing w:before="120" w:after="120"/>
    </w:pPr>
    <w:rPr>
      <w:rFonts w:ascii="Arial" w:hAnsi="Arial"/>
      <w:b/>
      <w:color w:val="918585"/>
      <w:sz w:val="24"/>
    </w:rPr>
  </w:style>
  <w:style w:type="paragraph" w:customStyle="1" w:styleId="Chapter">
    <w:name w:val="Chapter"/>
    <w:basedOn w:val="Normal"/>
    <w:rsid w:val="00BC36FF"/>
    <w:pPr>
      <w:spacing w:before="240"/>
    </w:pPr>
    <w:rPr>
      <w:rFonts w:ascii="Times New Roman" w:hAnsi="Times New Roman"/>
      <w:smallCaps/>
      <w:spacing w:val="80"/>
      <w:sz w:val="28"/>
    </w:rPr>
  </w:style>
  <w:style w:type="paragraph" w:customStyle="1" w:styleId="InChapter">
    <w:name w:val="InChapter"/>
    <w:basedOn w:val="Heading3"/>
    <w:rsid w:val="00BC36FF"/>
    <w:pPr>
      <w:spacing w:after="240"/>
      <w:outlineLvl w:val="9"/>
    </w:pPr>
    <w:rPr>
      <w:noProof/>
    </w:rPr>
  </w:style>
  <w:style w:type="paragraph" w:styleId="Index2">
    <w:name w:val="index 2"/>
    <w:basedOn w:val="Normal"/>
    <w:next w:val="Normal"/>
    <w:semiHidden/>
    <w:rsid w:val="00BC36FF"/>
    <w:pPr>
      <w:tabs>
        <w:tab w:val="right" w:pos="4176"/>
      </w:tabs>
      <w:ind w:left="568" w:hanging="284"/>
    </w:pPr>
    <w:rPr>
      <w:rFonts w:ascii="Garamond" w:hAnsi="Garamond"/>
    </w:rPr>
  </w:style>
  <w:style w:type="paragraph" w:customStyle="1" w:styleId="Byline">
    <w:name w:val="Byline"/>
    <w:rsid w:val="00BC3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6FF"/>
    <w:pPr>
      <w:tabs>
        <w:tab w:val="clear" w:pos="3600"/>
        <w:tab w:val="clear" w:pos="3958"/>
      </w:tabs>
      <w:jc w:val="right"/>
    </w:pPr>
  </w:style>
  <w:style w:type="character" w:styleId="Emphasis">
    <w:name w:val="Emphasis"/>
    <w:basedOn w:val="DefaultParagraphFont"/>
    <w:qFormat/>
    <w:rsid w:val="00BC36FF"/>
    <w:rPr>
      <w:i/>
    </w:rPr>
  </w:style>
  <w:style w:type="paragraph" w:styleId="Caption">
    <w:name w:val="caption"/>
    <w:basedOn w:val="BodyText"/>
    <w:next w:val="Normal"/>
    <w:qFormat/>
    <w:rsid w:val="00BC36FF"/>
    <w:pPr>
      <w:framePr w:w="2268" w:hSpace="181" w:vSpace="181" w:wrap="around" w:vAnchor="text" w:hAnchor="page" w:x="1135" w:y="285" w:anchorLock="1"/>
    </w:pPr>
    <w:rPr>
      <w:i/>
    </w:rPr>
  </w:style>
  <w:style w:type="paragraph" w:customStyle="1" w:styleId="MiniTOCTitle">
    <w:name w:val="MiniTOCTitle"/>
    <w:basedOn w:val="Heading4"/>
    <w:rsid w:val="00BC36FF"/>
    <w:pPr>
      <w:spacing w:before="240"/>
      <w:outlineLvl w:val="9"/>
    </w:pPr>
    <w:rPr>
      <w:noProof/>
      <w:sz w:val="24"/>
    </w:rPr>
  </w:style>
  <w:style w:type="paragraph" w:customStyle="1" w:styleId="MiniTOCItem">
    <w:name w:val="MiniTOCItem"/>
    <w:basedOn w:val="ListBullet"/>
    <w:rsid w:val="00BC36FF"/>
    <w:pPr>
      <w:numPr>
        <w:numId w:val="0"/>
      </w:numPr>
      <w:tabs>
        <w:tab w:val="right" w:leader="dot" w:pos="6521"/>
      </w:tabs>
      <w:spacing w:before="0" w:after="0"/>
    </w:pPr>
  </w:style>
  <w:style w:type="paragraph" w:customStyle="1" w:styleId="TOFTitle">
    <w:name w:val="TOFTitle"/>
    <w:basedOn w:val="TOCTitle"/>
    <w:rsid w:val="00BC36FF"/>
  </w:style>
  <w:style w:type="paragraph" w:styleId="TableofFigures">
    <w:name w:val="table of figures"/>
    <w:basedOn w:val="Normal"/>
    <w:next w:val="Normal"/>
    <w:semiHidden/>
    <w:rsid w:val="00BC36FF"/>
    <w:pPr>
      <w:tabs>
        <w:tab w:val="right" w:leader="dot" w:pos="9072"/>
      </w:tabs>
      <w:ind w:left="970" w:hanging="403"/>
    </w:pPr>
    <w:rPr>
      <w:rFonts w:ascii="Times New Roman" w:hAnsi="Times New Roman"/>
      <w:b/>
    </w:rPr>
  </w:style>
  <w:style w:type="paragraph" w:styleId="ListNumber">
    <w:name w:val="List Number"/>
    <w:basedOn w:val="List"/>
    <w:rsid w:val="00BC36FF"/>
    <w:pPr>
      <w:numPr>
        <w:numId w:val="12"/>
      </w:numPr>
    </w:pPr>
  </w:style>
  <w:style w:type="character" w:customStyle="1" w:styleId="WingdingSymbols">
    <w:name w:val="Wingding Symbols"/>
    <w:rsid w:val="00BC36FF"/>
    <w:rPr>
      <w:rFonts w:ascii="Wingdings" w:hAnsi="Wingdings"/>
    </w:rPr>
  </w:style>
  <w:style w:type="paragraph" w:customStyle="1" w:styleId="TableHeading">
    <w:name w:val="Table Heading"/>
    <w:basedOn w:val="HeadingBase"/>
    <w:rsid w:val="00BC36FF"/>
    <w:pPr>
      <w:keepLines/>
      <w:pBdr>
        <w:bottom w:val="single" w:sz="6" w:space="1" w:color="918585"/>
      </w:pBdr>
      <w:spacing w:before="240"/>
    </w:pPr>
  </w:style>
  <w:style w:type="character" w:customStyle="1" w:styleId="HotSpot">
    <w:name w:val="HotSpot"/>
    <w:rsid w:val="00BC36FF"/>
    <w:rPr>
      <w:color w:val="0033CC"/>
      <w:u w:val="none"/>
    </w:rPr>
  </w:style>
  <w:style w:type="paragraph" w:customStyle="1" w:styleId="BodyTextRight">
    <w:name w:val="Body Text Right"/>
    <w:basedOn w:val="BodyText"/>
    <w:rsid w:val="00BC36FF"/>
    <w:pPr>
      <w:spacing w:before="0" w:after="0"/>
      <w:jc w:val="right"/>
    </w:pPr>
  </w:style>
  <w:style w:type="paragraph" w:styleId="Index3">
    <w:name w:val="index 3"/>
    <w:basedOn w:val="ListNumber2"/>
    <w:next w:val="Normal"/>
    <w:semiHidden/>
    <w:rsid w:val="00BC36FF"/>
    <w:pPr>
      <w:numPr>
        <w:numId w:val="0"/>
      </w:numPr>
      <w:tabs>
        <w:tab w:val="right" w:leader="dot" w:pos="4176"/>
      </w:tabs>
    </w:pPr>
  </w:style>
  <w:style w:type="paragraph" w:styleId="ListNumber2">
    <w:name w:val="List Number 2"/>
    <w:basedOn w:val="List2"/>
    <w:rsid w:val="00BC36FF"/>
    <w:pPr>
      <w:numPr>
        <w:numId w:val="11"/>
      </w:numPr>
      <w:tabs>
        <w:tab w:val="clear" w:pos="1060"/>
      </w:tabs>
    </w:pPr>
  </w:style>
  <w:style w:type="paragraph" w:customStyle="1" w:styleId="MarginNote">
    <w:name w:val="Margin Note"/>
    <w:basedOn w:val="BodyText"/>
    <w:rsid w:val="00BC3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6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36FF"/>
    <w:rPr>
      <w:sz w:val="32"/>
    </w:rPr>
  </w:style>
  <w:style w:type="paragraph" w:customStyle="1" w:styleId="HeadingProcedure">
    <w:name w:val="Heading Procedure"/>
    <w:basedOn w:val="HeadingBase"/>
    <w:next w:val="Normal"/>
    <w:rsid w:val="00BC36FF"/>
    <w:pPr>
      <w:tabs>
        <w:tab w:val="left" w:pos="0"/>
      </w:tabs>
      <w:spacing w:before="120" w:after="60"/>
    </w:pPr>
    <w:rPr>
      <w:i/>
      <w:color w:val="918585"/>
      <w:sz w:val="22"/>
    </w:rPr>
  </w:style>
  <w:style w:type="paragraph" w:customStyle="1" w:styleId="TableBodyText">
    <w:name w:val="Table Body Text"/>
    <w:basedOn w:val="BodyText"/>
    <w:rsid w:val="00BC36FF"/>
    <w:pPr>
      <w:spacing w:before="60" w:after="60"/>
    </w:pPr>
  </w:style>
  <w:style w:type="paragraph" w:styleId="ListContinue">
    <w:name w:val="List Continue"/>
    <w:basedOn w:val="List"/>
    <w:rsid w:val="00BC36FF"/>
    <w:pPr>
      <w:ind w:firstLine="0"/>
    </w:pPr>
  </w:style>
  <w:style w:type="paragraph" w:customStyle="1" w:styleId="ListNote">
    <w:name w:val="List Note"/>
    <w:basedOn w:val="List"/>
    <w:rsid w:val="00BC36FF"/>
    <w:pPr>
      <w:pBdr>
        <w:top w:val="single" w:sz="6" w:space="2" w:color="918585"/>
        <w:bottom w:val="single" w:sz="6" w:space="2" w:color="918585"/>
      </w:pBdr>
      <w:tabs>
        <w:tab w:val="left" w:pos="1021"/>
      </w:tabs>
      <w:ind w:firstLine="0"/>
    </w:pPr>
  </w:style>
  <w:style w:type="paragraph" w:customStyle="1" w:styleId="Warning">
    <w:name w:val="Warning"/>
    <w:basedOn w:val="BodyText"/>
    <w:rsid w:val="00BC36FF"/>
    <w:pPr>
      <w:shd w:val="clear" w:color="auto" w:fill="D9D9D9"/>
      <w:tabs>
        <w:tab w:val="left" w:pos="992"/>
      </w:tabs>
      <w:ind w:left="119" w:right="119"/>
    </w:pPr>
    <w:rPr>
      <w:sz w:val="20"/>
    </w:rPr>
  </w:style>
  <w:style w:type="paragraph" w:customStyle="1" w:styleId="MarginIcons">
    <w:name w:val="Margin Icons"/>
    <w:basedOn w:val="BodyText"/>
    <w:rsid w:val="00BC3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6FF"/>
    <w:rPr>
      <w:rFonts w:ascii="Courier New" w:hAnsi="Courier New"/>
    </w:rPr>
  </w:style>
  <w:style w:type="paragraph" w:customStyle="1" w:styleId="NoteBullet">
    <w:name w:val="Note Bullet"/>
    <w:basedOn w:val="Note"/>
    <w:rsid w:val="00BC36FF"/>
    <w:pPr>
      <w:tabs>
        <w:tab w:val="clear" w:pos="680"/>
      </w:tabs>
      <w:spacing w:before="60" w:after="60"/>
    </w:pPr>
  </w:style>
  <w:style w:type="paragraph" w:customStyle="1" w:styleId="SubHeading2">
    <w:name w:val="SubHeading2"/>
    <w:basedOn w:val="HeadingBase"/>
    <w:rsid w:val="00BC36FF"/>
    <w:pPr>
      <w:spacing w:before="240" w:after="60"/>
    </w:pPr>
    <w:rPr>
      <w:sz w:val="20"/>
    </w:rPr>
  </w:style>
  <w:style w:type="paragraph" w:customStyle="1" w:styleId="SubHeading1">
    <w:name w:val="SubHeading1"/>
    <w:basedOn w:val="HeadingBase"/>
    <w:rsid w:val="00BC36FF"/>
    <w:pPr>
      <w:spacing w:before="240" w:after="60"/>
    </w:pPr>
    <w:rPr>
      <w:color w:val="918585"/>
      <w:sz w:val="22"/>
    </w:rPr>
  </w:style>
  <w:style w:type="paragraph" w:customStyle="1" w:styleId="SideHeading">
    <w:name w:val="Side Heading"/>
    <w:basedOn w:val="HeadingBase"/>
    <w:rsid w:val="00BC3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6FF"/>
    <w:pPr>
      <w:numPr>
        <w:numId w:val="13"/>
      </w:numPr>
    </w:pPr>
  </w:style>
  <w:style w:type="paragraph" w:styleId="PlainText">
    <w:name w:val="Plain Text"/>
    <w:basedOn w:val="Normal"/>
    <w:link w:val="PlainTextChar"/>
    <w:rsid w:val="00BC36FF"/>
    <w:rPr>
      <w:sz w:val="20"/>
    </w:rPr>
  </w:style>
  <w:style w:type="character" w:customStyle="1" w:styleId="PlainTextChar">
    <w:name w:val="Plain Text Char"/>
    <w:basedOn w:val="DefaultParagraphFont"/>
    <w:link w:val="PlainText"/>
    <w:rsid w:val="00BC36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36FF"/>
    <w:rPr>
      <w:b/>
      <w:smallCaps/>
    </w:rPr>
  </w:style>
  <w:style w:type="paragraph" w:customStyle="1" w:styleId="TableListNumber">
    <w:name w:val="Table List Number"/>
    <w:basedOn w:val="ListNumber"/>
    <w:rsid w:val="00BC36FF"/>
    <w:pPr>
      <w:numPr>
        <w:numId w:val="0"/>
      </w:numPr>
    </w:pPr>
  </w:style>
  <w:style w:type="paragraph" w:styleId="TOC4">
    <w:name w:val="toc 4"/>
    <w:basedOn w:val="TOCBase"/>
    <w:next w:val="Normal"/>
    <w:semiHidden/>
    <w:rsid w:val="00BC36FF"/>
    <w:pPr>
      <w:tabs>
        <w:tab w:val="right" w:leader="dot" w:pos="9071"/>
      </w:tabs>
      <w:ind w:left="1701"/>
    </w:pPr>
  </w:style>
  <w:style w:type="paragraph" w:customStyle="1" w:styleId="ListAlpha">
    <w:name w:val="List Alpha"/>
    <w:basedOn w:val="List"/>
    <w:rsid w:val="00BC36FF"/>
    <w:pPr>
      <w:numPr>
        <w:numId w:val="10"/>
      </w:numPr>
    </w:pPr>
  </w:style>
  <w:style w:type="paragraph" w:customStyle="1" w:styleId="ListAlpha2">
    <w:name w:val="List Alpha 2"/>
    <w:basedOn w:val="List2"/>
    <w:rsid w:val="00BC36FF"/>
    <w:pPr>
      <w:numPr>
        <w:numId w:val="9"/>
      </w:numPr>
    </w:pPr>
  </w:style>
  <w:style w:type="paragraph" w:styleId="List3">
    <w:name w:val="List 3"/>
    <w:basedOn w:val="BodyText"/>
    <w:rsid w:val="00BC36FF"/>
    <w:pPr>
      <w:tabs>
        <w:tab w:val="left" w:pos="1021"/>
      </w:tabs>
      <w:spacing w:before="60" w:after="60"/>
      <w:ind w:left="1020" w:hanging="340"/>
    </w:pPr>
  </w:style>
  <w:style w:type="paragraph" w:styleId="List4">
    <w:name w:val="List 4"/>
    <w:basedOn w:val="BodyText"/>
    <w:rsid w:val="00BC36FF"/>
    <w:pPr>
      <w:tabs>
        <w:tab w:val="left" w:pos="1361"/>
      </w:tabs>
      <w:spacing w:before="60" w:after="60"/>
      <w:ind w:left="1361" w:hanging="340"/>
    </w:pPr>
  </w:style>
  <w:style w:type="paragraph" w:styleId="List5">
    <w:name w:val="List 5"/>
    <w:basedOn w:val="BodyText"/>
    <w:rsid w:val="00BC36FF"/>
    <w:pPr>
      <w:tabs>
        <w:tab w:val="left" w:pos="1701"/>
      </w:tabs>
      <w:spacing w:before="60" w:after="60"/>
      <w:ind w:left="1701" w:hanging="340"/>
    </w:pPr>
  </w:style>
  <w:style w:type="paragraph" w:styleId="ListBullet4">
    <w:name w:val="List Bullet 4"/>
    <w:basedOn w:val="List4"/>
    <w:rsid w:val="00BC36FF"/>
    <w:pPr>
      <w:numPr>
        <w:numId w:val="4"/>
      </w:numPr>
    </w:pPr>
  </w:style>
  <w:style w:type="paragraph" w:styleId="ListBullet5">
    <w:name w:val="List Bullet 5"/>
    <w:basedOn w:val="List5"/>
    <w:rsid w:val="00BC36FF"/>
    <w:pPr>
      <w:numPr>
        <w:numId w:val="5"/>
      </w:numPr>
    </w:pPr>
  </w:style>
  <w:style w:type="paragraph" w:styleId="ListContinue2">
    <w:name w:val="List Continue 2"/>
    <w:basedOn w:val="List2"/>
    <w:rsid w:val="00BC36FF"/>
    <w:pPr>
      <w:ind w:firstLine="0"/>
    </w:pPr>
  </w:style>
  <w:style w:type="paragraph" w:styleId="ListContinue3">
    <w:name w:val="List Continue 3"/>
    <w:basedOn w:val="List3"/>
    <w:rsid w:val="00BC36FF"/>
    <w:pPr>
      <w:ind w:left="1021" w:firstLine="0"/>
    </w:pPr>
  </w:style>
  <w:style w:type="paragraph" w:styleId="ListContinue4">
    <w:name w:val="List Continue 4"/>
    <w:basedOn w:val="List4"/>
    <w:rsid w:val="00BC36FF"/>
    <w:pPr>
      <w:ind w:firstLine="0"/>
    </w:pPr>
  </w:style>
  <w:style w:type="paragraph" w:styleId="ListContinue5">
    <w:name w:val="List Continue 5"/>
    <w:basedOn w:val="List5"/>
    <w:rsid w:val="00BC36FF"/>
    <w:pPr>
      <w:ind w:firstLine="0"/>
    </w:pPr>
  </w:style>
  <w:style w:type="paragraph" w:styleId="ListNumber3">
    <w:name w:val="List Number 3"/>
    <w:basedOn w:val="List3"/>
    <w:rsid w:val="00BC36FF"/>
    <w:pPr>
      <w:numPr>
        <w:numId w:val="6"/>
      </w:numPr>
    </w:pPr>
  </w:style>
  <w:style w:type="paragraph" w:styleId="ListNumber4">
    <w:name w:val="List Number 4"/>
    <w:basedOn w:val="List4"/>
    <w:rsid w:val="00BC36FF"/>
    <w:pPr>
      <w:numPr>
        <w:numId w:val="7"/>
      </w:numPr>
    </w:pPr>
  </w:style>
  <w:style w:type="paragraph" w:styleId="ListNumber5">
    <w:name w:val="List Number 5"/>
    <w:basedOn w:val="List5"/>
    <w:rsid w:val="00BC36FF"/>
    <w:pPr>
      <w:numPr>
        <w:numId w:val="8"/>
      </w:numPr>
    </w:pPr>
  </w:style>
  <w:style w:type="paragraph" w:styleId="BlockText">
    <w:name w:val="Block Text"/>
    <w:basedOn w:val="Normal"/>
    <w:rsid w:val="00BC36FF"/>
    <w:pPr>
      <w:spacing w:after="120"/>
      <w:ind w:left="1440" w:right="1440"/>
    </w:pPr>
  </w:style>
  <w:style w:type="character" w:customStyle="1" w:styleId="Subscript">
    <w:name w:val="Subscript"/>
    <w:basedOn w:val="DefaultParagraphFont"/>
    <w:rsid w:val="00BC36FF"/>
    <w:rPr>
      <w:sz w:val="16"/>
      <w:vertAlign w:val="subscript"/>
    </w:rPr>
  </w:style>
  <w:style w:type="character" w:customStyle="1" w:styleId="Superscript">
    <w:name w:val="Superscript"/>
    <w:basedOn w:val="DefaultParagraphFont"/>
    <w:rsid w:val="00BC36FF"/>
    <w:rPr>
      <w:sz w:val="16"/>
      <w:vertAlign w:val="superscript"/>
    </w:rPr>
  </w:style>
  <w:style w:type="character" w:customStyle="1" w:styleId="Symbols">
    <w:name w:val="Symbols"/>
    <w:basedOn w:val="DefaultParagraphFont"/>
    <w:rsid w:val="00BC36FF"/>
    <w:rPr>
      <w:rFonts w:ascii="Symbol" w:hAnsi="Symbol"/>
    </w:rPr>
  </w:style>
  <w:style w:type="character" w:customStyle="1" w:styleId="MenuOptions">
    <w:name w:val="Menu Options"/>
    <w:basedOn w:val="DefaultParagraphFont"/>
    <w:rsid w:val="00BC36FF"/>
    <w:rPr>
      <w:rFonts w:ascii="Arial Narrow" w:hAnsi="Arial Narrow"/>
      <w:smallCaps/>
    </w:rPr>
  </w:style>
  <w:style w:type="character" w:customStyle="1" w:styleId="Buttons">
    <w:name w:val="Buttons"/>
    <w:basedOn w:val="DefaultParagraphFont"/>
    <w:rsid w:val="00BC36FF"/>
    <w:rPr>
      <w:b/>
    </w:rPr>
  </w:style>
  <w:style w:type="character" w:customStyle="1" w:styleId="Underlined">
    <w:name w:val="Underlined"/>
    <w:basedOn w:val="DefaultParagraphFont"/>
    <w:rsid w:val="00BC36FF"/>
    <w:rPr>
      <w:u w:val="single"/>
    </w:rPr>
  </w:style>
  <w:style w:type="paragraph" w:customStyle="1" w:styleId="TableBodyTextRight">
    <w:name w:val="Table Body Text Right"/>
    <w:basedOn w:val="TableBodyText"/>
    <w:rsid w:val="00BC36FF"/>
    <w:pPr>
      <w:widowControl w:val="0"/>
      <w:autoSpaceDE w:val="0"/>
      <w:autoSpaceDN w:val="0"/>
      <w:adjustRightInd w:val="0"/>
      <w:jc w:val="right"/>
    </w:pPr>
    <w:rPr>
      <w:rFonts w:cs="Arial"/>
      <w:szCs w:val="18"/>
    </w:rPr>
  </w:style>
  <w:style w:type="paragraph" w:customStyle="1" w:styleId="CopyrightText">
    <w:name w:val="Copyright Text"/>
    <w:basedOn w:val="BodyText"/>
    <w:rsid w:val="00BC36FF"/>
    <w:rPr>
      <w:sz w:val="18"/>
    </w:rPr>
  </w:style>
  <w:style w:type="paragraph" w:customStyle="1" w:styleId="BodySmallRight">
    <w:name w:val="Body Small Right"/>
    <w:basedOn w:val="BodyTextRight"/>
    <w:rsid w:val="00BC36FF"/>
    <w:rPr>
      <w:sz w:val="18"/>
      <w:szCs w:val="18"/>
    </w:rPr>
  </w:style>
  <w:style w:type="paragraph" w:customStyle="1" w:styleId="MarginEdition">
    <w:name w:val="Margin Edition"/>
    <w:basedOn w:val="MarginNote"/>
    <w:rsid w:val="00BC36FF"/>
    <w:pPr>
      <w:spacing w:before="0" w:after="0"/>
    </w:pPr>
    <w:rPr>
      <w:rFonts w:ascii="Times New Roman" w:hAnsi="Times New Roman"/>
      <w:color w:val="999999"/>
    </w:rPr>
  </w:style>
  <w:style w:type="paragraph" w:customStyle="1" w:styleId="Spacer">
    <w:name w:val="Spacer"/>
    <w:basedOn w:val="Normal"/>
    <w:rsid w:val="00BC36FF"/>
    <w:rPr>
      <w:sz w:val="2"/>
      <w:szCs w:val="2"/>
    </w:rPr>
  </w:style>
  <w:style w:type="character" w:customStyle="1" w:styleId="Small">
    <w:name w:val="Small"/>
    <w:basedOn w:val="DefaultParagraphFont"/>
    <w:rsid w:val="00BC36FF"/>
    <w:rPr>
      <w:sz w:val="16"/>
    </w:rPr>
  </w:style>
  <w:style w:type="paragraph" w:customStyle="1" w:styleId="WideTable">
    <w:name w:val="Wide Table"/>
    <w:basedOn w:val="Normal"/>
    <w:rsid w:val="00BC36FF"/>
    <w:pPr>
      <w:ind w:left="-1418"/>
    </w:pPr>
    <w:rPr>
      <w:sz w:val="2"/>
      <w:szCs w:val="2"/>
    </w:rPr>
  </w:style>
  <w:style w:type="character" w:styleId="PageNumber">
    <w:name w:val="page number"/>
    <w:basedOn w:val="DefaultParagraphFont"/>
    <w:rsid w:val="00BC36FF"/>
  </w:style>
  <w:style w:type="paragraph" w:styleId="Quote">
    <w:name w:val="Quote"/>
    <w:basedOn w:val="Heading1"/>
    <w:link w:val="QuoteChar"/>
    <w:qFormat/>
    <w:rsid w:val="00BC36FF"/>
    <w:rPr>
      <w:b w:val="0"/>
      <w:sz w:val="72"/>
      <w:szCs w:val="72"/>
      <w:lang w:val="en-NZ"/>
    </w:rPr>
  </w:style>
  <w:style w:type="character" w:customStyle="1" w:styleId="QuoteChar">
    <w:name w:val="Quote Char"/>
    <w:basedOn w:val="DefaultParagraphFont"/>
    <w:link w:val="Quote"/>
    <w:rsid w:val="00BC3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6FF"/>
    <w:pPr>
      <w:pageBreakBefore/>
    </w:pPr>
  </w:style>
  <w:style w:type="paragraph" w:customStyle="1" w:styleId="Border">
    <w:name w:val="Border"/>
    <w:basedOn w:val="Normal"/>
    <w:qFormat/>
    <w:rsid w:val="00BC3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6FF"/>
    <w:rPr>
      <w:b/>
      <w:bCs/>
      <w:i/>
      <w:iCs/>
      <w:color w:val="auto"/>
    </w:rPr>
  </w:style>
  <w:style w:type="paragraph" w:styleId="IntenseQuote">
    <w:name w:val="Intense Quote"/>
    <w:basedOn w:val="Normal"/>
    <w:next w:val="Normal"/>
    <w:link w:val="IntenseQuoteChar"/>
    <w:uiPriority w:val="30"/>
    <w:qFormat/>
    <w:rsid w:val="00BC3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6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36FF"/>
    <w:rPr>
      <w:smallCaps/>
      <w:color w:val="auto"/>
      <w:u w:val="single"/>
    </w:rPr>
  </w:style>
  <w:style w:type="character" w:styleId="IntenseReference">
    <w:name w:val="Intense Reference"/>
    <w:basedOn w:val="DefaultParagraphFont"/>
    <w:uiPriority w:val="32"/>
    <w:qFormat/>
    <w:rsid w:val="00BC36FF"/>
    <w:rPr>
      <w:b/>
      <w:bCs/>
      <w:smallCaps/>
      <w:color w:val="auto"/>
      <w:spacing w:val="5"/>
      <w:u w:val="single"/>
    </w:rPr>
  </w:style>
  <w:style w:type="paragraph" w:customStyle="1" w:styleId="2ColumnHeading">
    <w:name w:val="2Column Heading"/>
    <w:basedOn w:val="BodyText"/>
    <w:qFormat/>
    <w:rsid w:val="00BC36FF"/>
    <w:pPr>
      <w:spacing w:after="60"/>
      <w:ind w:left="-2268"/>
    </w:pPr>
    <w:rPr>
      <w:b/>
    </w:rPr>
  </w:style>
  <w:style w:type="paragraph" w:customStyle="1" w:styleId="Heading1TOC">
    <w:name w:val="Heading1 TOC"/>
    <w:basedOn w:val="Normal"/>
    <w:qFormat/>
    <w:rsid w:val="00BC36FF"/>
    <w:pPr>
      <w:spacing w:before="240" w:after="120"/>
    </w:pPr>
    <w:rPr>
      <w:rFonts w:ascii="Times New Roman" w:hAnsi="Times New Roman"/>
      <w:b/>
      <w:sz w:val="32"/>
    </w:rPr>
  </w:style>
  <w:style w:type="paragraph" w:customStyle="1" w:styleId="Heading2TOC">
    <w:name w:val="Heading2 TOC"/>
    <w:basedOn w:val="Normal"/>
    <w:qFormat/>
    <w:rsid w:val="00BC36FF"/>
    <w:pPr>
      <w:spacing w:before="240" w:after="60"/>
    </w:pPr>
    <w:rPr>
      <w:rFonts w:ascii="Times New Roman" w:hAnsi="Times New Roman"/>
      <w:b/>
      <w:sz w:val="28"/>
    </w:rPr>
  </w:style>
  <w:style w:type="character" w:customStyle="1" w:styleId="Underline">
    <w:name w:val="Underline"/>
    <w:basedOn w:val="DefaultParagraphFont"/>
    <w:qFormat/>
    <w:rsid w:val="00BC36FF"/>
    <w:rPr>
      <w:u w:val="single"/>
    </w:rPr>
  </w:style>
  <w:style w:type="paragraph" w:styleId="BalloonText">
    <w:name w:val="Balloon Text"/>
    <w:basedOn w:val="Normal"/>
    <w:link w:val="BalloonTextChar"/>
    <w:rsid w:val="00BC36FF"/>
    <w:rPr>
      <w:rFonts w:ascii="Tahoma" w:hAnsi="Tahoma" w:cs="Tahoma"/>
      <w:sz w:val="16"/>
      <w:szCs w:val="16"/>
    </w:rPr>
  </w:style>
  <w:style w:type="character" w:customStyle="1" w:styleId="BalloonTextChar">
    <w:name w:val="Balloon Text Char"/>
    <w:basedOn w:val="DefaultParagraphFont"/>
    <w:link w:val="BalloonText"/>
    <w:rsid w:val="00BC36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36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6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1161</Words>
  <Characters>7415</Characters>
  <Application>Microsoft Office Word</Application>
  <DocSecurity>0</DocSecurity>
  <Lines>318</Lines>
  <Paragraphs>179</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ICTRFN8181A Analyse a satellite communications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2012-05-26T07:32:00Z</dcterms:created>
  <dcterms:modified xsi:type="dcterms:W3CDTF">2012-05-26T07:32:00Z</dcterms:modified>
</cp:coreProperties>
</file>