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3D9A" w:rsidP="00D23D9A">
      <w:pPr>
        <w:pStyle w:val="Title"/>
      </w:pPr>
      <w:r>
        <w:fldChar w:fldCharType="begin"/>
      </w:r>
      <w:r>
        <w:instrText xml:space="preserve"> TITLE   \* MERGEFORMAT </w:instrText>
      </w:r>
      <w:r>
        <w:fldChar w:fldCharType="separate"/>
      </w:r>
      <w:r>
        <w:t>ICTRFN4095A Conduct radio frequency measurements</w:t>
      </w:r>
      <w:r>
        <w:fldChar w:fldCharType="end"/>
      </w:r>
    </w:p>
    <w:p w:rsidR="00D23D9A" w:rsidP="00D23D9A">
      <w:pPr>
        <w:pStyle w:val="Version"/>
        <w:sectPr w:rsidSect="00DF4B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4B64" w:rsidP="00DF4B64">
      <w:pPr>
        <w:pStyle w:val="SuperHeading"/>
      </w:pPr>
      <w:r w:rsidRPr="00DF4B64">
        <w:t>ICTRFN4095A Conduct radio frequency measurements</w:t>
      </w:r>
    </w:p>
    <w:p w:rsidR="00000000" w:rsidRPr="00DF4B64" w:rsidP="00DF4B64">
      <w:pPr>
        <w:pStyle w:val="Heading1"/>
      </w:pPr>
      <w:bookmarkStart w:id="1" w:name="O_271839"/>
      <w:bookmarkEnd w:id="1"/>
      <w:r w:rsidRPr="00DF4B64">
        <w:t>Modification History</w:t>
      </w:r>
    </w:p>
    <w:p w:rsidR="00000000" w:rsidRPr="00DF4B64" w:rsidP="00DF4B64">
      <w:pPr>
        <w:pStyle w:val="BodyText"/>
      </w:pPr>
      <w:r w:rsidRPr="00DF4B64">
        <w:t>Not Applicable</w:t>
      </w:r>
    </w:p>
    <w:p w:rsidR="00000000" w:rsidRPr="00DF4B64" w:rsidP="00DF4B64">
      <w:pPr>
        <w:pStyle w:val="AllowPageBreak"/>
      </w:pPr>
    </w:p>
    <w:p w:rsidR="00000000" w:rsidRPr="00DF4B64" w:rsidP="00DF4B64">
      <w:pPr>
        <w:pStyle w:val="Heading1"/>
      </w:pPr>
      <w:bookmarkStart w:id="2" w:name="O_209312"/>
      <w:bookmarkEnd w:id="2"/>
      <w:r w:rsidRPr="00DF4B64">
        <w:t>Unit Descriptor</w:t>
      </w:r>
    </w:p>
    <w:tbl>
      <w:tblPr>
        <w:tblW w:w="0" w:type="auto"/>
        <w:tblLayout w:type="fixed"/>
        <w:tblCellMar>
          <w:left w:w="62" w:type="dxa"/>
          <w:right w:w="62" w:type="dxa"/>
        </w:tblCellMar>
        <w:tblLook w:val="0000"/>
      </w:tblPr>
      <w:tblGrid>
        <w:gridCol w:w="2652"/>
        <w:gridCol w:w="5870"/>
      </w:tblGrid>
      <w:tr w:rsidTr="00D23D9A">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BodyText"/>
              <w:rPr>
                <w:lang w:val="en-NZ"/>
              </w:rPr>
            </w:pPr>
            <w:r w:rsidRPr="00DF4B64">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B64" w:rsidP="00DF4B64">
            <w:pPr>
              <w:pStyle w:val="BodyText"/>
            </w:pPr>
            <w:r w:rsidRPr="00DF4B64">
              <w:t>This unit describes the performance outcomes, skills and knowledge required to conduct and</w:t>
            </w:r>
            <w:r w:rsidRPr="00DF4B64">
              <w:t xml:space="preserve"> analyse radio frequency (RF) measurements.</w:t>
            </w:r>
          </w:p>
          <w:p w:rsidR="00000000" w:rsidRPr="00DF4B64" w:rsidP="00DF4B64">
            <w:pPr>
              <w:pStyle w:val="BodyText"/>
            </w:pPr>
          </w:p>
          <w:p w:rsidR="00000000" w:rsidRPr="00DF4B64" w:rsidP="00DF4B64">
            <w:pPr>
              <w:pStyle w:val="BodyText"/>
            </w:pPr>
            <w:r w:rsidRPr="00DF4B64">
              <w:t>No licensing, legislative, regulatory or certification requirements apply to this unit at the time of endorsement but users should confirm requirements with the relevant federal, state or territory authority.</w:t>
            </w:r>
          </w:p>
        </w:tc>
      </w:tr>
    </w:tbl>
    <w:p w:rsidR="00D23D9A" w:rsidP="00DF4B64">
      <w:pPr>
        <w:pStyle w:val="BodyText"/>
      </w:pPr>
    </w:p>
    <w:p w:rsidR="00D23D9A" w:rsidP="00DF4B64">
      <w:pPr>
        <w:pStyle w:val="BodyText"/>
      </w:pPr>
    </w:p>
    <w:p w:rsidR="00000000" w:rsidRPr="00DF4B64" w:rsidP="00DF4B64">
      <w:pPr>
        <w:pStyle w:val="Heading1"/>
      </w:pPr>
      <w:bookmarkStart w:id="3" w:name="O_209316"/>
      <w:bookmarkEnd w:id="3"/>
      <w:r w:rsidRPr="00DF4B64">
        <w:t>Application of the Unit</w:t>
      </w:r>
    </w:p>
    <w:tbl>
      <w:tblPr>
        <w:tblW w:w="0" w:type="auto"/>
        <w:tblLayout w:type="fixed"/>
        <w:tblCellMar>
          <w:left w:w="62" w:type="dxa"/>
          <w:right w:w="62" w:type="dxa"/>
        </w:tblCellMar>
        <w:tblLook w:val="0000"/>
      </w:tblPr>
      <w:tblGrid>
        <w:gridCol w:w="2747"/>
        <w:gridCol w:w="5775"/>
      </w:tblGrid>
      <w:tr w:rsidTr="00D23D9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BodyText"/>
              <w:rPr>
                <w:lang w:val="en-NZ"/>
              </w:rPr>
            </w:pPr>
            <w:r w:rsidRPr="00DF4B64">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B64" w:rsidP="00DF4B64">
            <w:pPr>
              <w:pStyle w:val="BodyText"/>
            </w:pPr>
            <w:r w:rsidRPr="00DF4B64">
              <w:t xml:space="preserve">Field staff who install, maintain, upgrade and commission telecommunications RF systems apply the skills and knowledge in this unit. </w:t>
            </w:r>
          </w:p>
          <w:p w:rsidR="00000000" w:rsidRPr="00DF4B64" w:rsidP="00DF4B64">
            <w:pPr>
              <w:pStyle w:val="BodyText"/>
            </w:pPr>
          </w:p>
          <w:p w:rsidR="00000000" w:rsidRPr="00DF4B64" w:rsidP="00DF4B64">
            <w:pPr>
              <w:pStyle w:val="BodyText"/>
            </w:pPr>
            <w:r w:rsidRPr="00DF4B64">
              <w:t>Systems that use RF include satellite and microwave, ra</w:t>
            </w:r>
            <w:r w:rsidRPr="00DF4B64">
              <w:t>dio or TV broadcasting, pay TV, free to air TV, radio frequency identification (RFID), mobile radio, cellular and worldwide interoperability for microwave access (WiMAX) networks.</w:t>
            </w:r>
          </w:p>
        </w:tc>
      </w:tr>
    </w:tbl>
    <w:p w:rsidR="00D23D9A" w:rsidP="00DF4B64">
      <w:pPr>
        <w:pStyle w:val="BodyText"/>
      </w:pPr>
    </w:p>
    <w:p w:rsidR="00D23D9A" w:rsidP="00DF4B64">
      <w:pPr>
        <w:pStyle w:val="BodyText"/>
      </w:pPr>
    </w:p>
    <w:p w:rsidR="00000000" w:rsidRPr="00DF4B64" w:rsidP="00DF4B64">
      <w:pPr>
        <w:pStyle w:val="Heading1"/>
      </w:pPr>
      <w:bookmarkStart w:id="4" w:name="O_280099"/>
      <w:bookmarkEnd w:id="4"/>
      <w:r w:rsidRPr="00DF4B64">
        <w:t>Licensing/Regulatory Information</w:t>
      </w:r>
    </w:p>
    <w:p w:rsidR="00000000" w:rsidRPr="00DF4B64" w:rsidP="00DF4B64">
      <w:pPr>
        <w:pStyle w:val="BodyText"/>
      </w:pPr>
      <w:r w:rsidRPr="00DF4B64">
        <w:t>Refer to Unit Descripto</w:t>
      </w:r>
      <w:r w:rsidRPr="00DF4B64">
        <w:t>r</w:t>
      </w:r>
    </w:p>
    <w:p w:rsidR="00000000" w:rsidRPr="00DF4B64" w:rsidP="00DF4B64">
      <w:pPr>
        <w:pStyle w:val="AllowPageBreak"/>
      </w:pPr>
    </w:p>
    <w:p w:rsidR="00000000" w:rsidRPr="00DF4B64" w:rsidP="00DF4B64">
      <w:pPr>
        <w:pStyle w:val="Heading1"/>
      </w:pPr>
      <w:bookmarkStart w:id="5" w:name="O_209314"/>
      <w:bookmarkEnd w:id="5"/>
      <w:r w:rsidRPr="00DF4B64">
        <w:t>Pre-Requisites</w:t>
      </w:r>
    </w:p>
    <w:tbl>
      <w:tblPr>
        <w:tblW w:w="0" w:type="auto"/>
        <w:tblLayout w:type="fixed"/>
        <w:tblCellMar>
          <w:left w:w="62" w:type="dxa"/>
          <w:right w:w="62" w:type="dxa"/>
        </w:tblCellMar>
        <w:tblLook w:val="0000"/>
      </w:tblPr>
      <w:tblGrid>
        <w:gridCol w:w="2775"/>
        <w:gridCol w:w="1295"/>
        <w:gridCol w:w="4452"/>
      </w:tblGrid>
      <w:tr w:rsidTr="00D23D9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BodyText"/>
              <w:rPr>
                <w:lang w:val="en-NZ"/>
              </w:rPr>
            </w:pPr>
            <w:r w:rsidRPr="00DF4B6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BodyText"/>
              <w:rPr>
                <w:lang w:val="en-NZ"/>
              </w:rPr>
            </w:pPr>
          </w:p>
        </w:tc>
      </w:tr>
      <w:tr w:rsidTr="00D23D9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BodyText"/>
              <w:rPr>
                <w:lang w:val="en-NZ"/>
              </w:rPr>
            </w:pPr>
          </w:p>
        </w:tc>
      </w:tr>
      <w:tr w:rsidTr="00D23D9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B64" w:rsidP="00DF4B64">
            <w:pPr>
              <w:pStyle w:val="BodyText"/>
            </w:pPr>
          </w:p>
        </w:tc>
      </w:tr>
    </w:tbl>
    <w:p w:rsidR="00D23D9A" w:rsidP="00DF4B64">
      <w:pPr>
        <w:pStyle w:val="BodyText"/>
      </w:pPr>
    </w:p>
    <w:p w:rsidR="00D23D9A" w:rsidP="00DF4B64">
      <w:pPr>
        <w:pStyle w:val="BodyText"/>
      </w:pPr>
    </w:p>
    <w:p w:rsidR="00000000" w:rsidRPr="00DF4B64" w:rsidP="00DF4B64">
      <w:pPr>
        <w:pStyle w:val="Heading1"/>
      </w:pPr>
      <w:bookmarkStart w:id="6" w:name="O_209313"/>
      <w:bookmarkEnd w:id="6"/>
      <w:r w:rsidRPr="00DF4B64">
        <w:t>Employability Skills Information</w:t>
      </w:r>
    </w:p>
    <w:tbl>
      <w:tblPr>
        <w:tblW w:w="0" w:type="auto"/>
        <w:tblLayout w:type="fixed"/>
        <w:tblCellMar>
          <w:left w:w="62" w:type="dxa"/>
          <w:right w:w="62" w:type="dxa"/>
        </w:tblCellMar>
        <w:tblLook w:val="0000"/>
      </w:tblPr>
      <w:tblGrid>
        <w:gridCol w:w="2802"/>
        <w:gridCol w:w="5720"/>
      </w:tblGrid>
      <w:tr w:rsidTr="00D23D9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BodyText"/>
              <w:rPr>
                <w:lang w:val="en-NZ"/>
              </w:rPr>
            </w:pPr>
            <w:r w:rsidRPr="00DF4B6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B64" w:rsidP="00DF4B64">
            <w:pPr>
              <w:pStyle w:val="BodyText"/>
            </w:pPr>
            <w:r w:rsidRPr="00DF4B64">
              <w:t>This unit contains employability skills.</w:t>
            </w:r>
          </w:p>
        </w:tc>
      </w:tr>
    </w:tbl>
    <w:p w:rsidR="00D23D9A" w:rsidP="00DF4B64">
      <w:pPr>
        <w:pStyle w:val="BodyText"/>
      </w:pPr>
    </w:p>
    <w:p w:rsidR="00D23D9A" w:rsidP="00DF4B64">
      <w:pPr>
        <w:pStyle w:val="BodyText"/>
      </w:pPr>
    </w:p>
    <w:p w:rsidR="00000000" w:rsidRPr="00DF4B64" w:rsidP="00DF4B64">
      <w:pPr>
        <w:pStyle w:val="Heading1"/>
      </w:pPr>
      <w:bookmarkStart w:id="7" w:name="O_289885"/>
      <w:bookmarkEnd w:id="7"/>
      <w:r w:rsidRPr="00DF4B64">
        <w:t>Elements and Performance Criteria Pre-Content</w:t>
      </w:r>
    </w:p>
    <w:tbl>
      <w:tblPr>
        <w:tblW w:w="0" w:type="auto"/>
        <w:tblLayout w:type="fixed"/>
        <w:tblCellMar>
          <w:left w:w="62" w:type="dxa"/>
          <w:right w:w="62" w:type="dxa"/>
        </w:tblCellMar>
        <w:tblLook w:val="0000"/>
      </w:tblPr>
      <w:tblGrid>
        <w:gridCol w:w="2592"/>
        <w:gridCol w:w="5930"/>
      </w:tblGrid>
      <w:tr w:rsidTr="00D23D9A">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BodyText"/>
              <w:rPr>
                <w:lang w:val="en-NZ"/>
              </w:rPr>
            </w:pPr>
            <w:r w:rsidRPr="00DF4B64">
              <w:t>Elements describe the essential outcomes of a unit of competency.</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B64" w:rsidP="00DF4B64">
            <w:pPr>
              <w:pStyle w:val="BodyText"/>
            </w:pPr>
            <w:r w:rsidRPr="00DF4B64">
              <w:t>Performance criteria describe the performance needed to demonstrate achievement of the element. Where bold italicised text is used, further information is detailed in the required skills and</w:t>
            </w:r>
            <w:r w:rsidRPr="00DF4B64">
              <w:t xml:space="preserve"> knowledge section and the range statement. Assessment of performance is to be consistent with the evidence guide.</w:t>
            </w:r>
          </w:p>
        </w:tc>
      </w:tr>
    </w:tbl>
    <w:p w:rsidR="00000000" w:rsidRPr="00DF4B64" w:rsidP="00DF4B64">
      <w:pPr>
        <w:pStyle w:val="BodyText"/>
      </w:pPr>
    </w:p>
    <w:p w:rsidR="00000000" w:rsidRPr="00DF4B64" w:rsidP="00DF4B64">
      <w:pPr>
        <w:pStyle w:val="AllowPageBreak"/>
      </w:pPr>
    </w:p>
    <w:p w:rsidR="00000000" w:rsidRPr="00DF4B64" w:rsidP="00DF4B64">
      <w:pPr>
        <w:pStyle w:val="Heading1"/>
      </w:pPr>
      <w:bookmarkStart w:id="8" w:name="O_236552"/>
      <w:bookmarkEnd w:id="8"/>
      <w:r w:rsidRPr="00DF4B64">
        <w:t>Elements and Performance Criteria</w:t>
      </w:r>
    </w:p>
    <w:tbl>
      <w:tblPr>
        <w:tblW w:w="0" w:type="auto"/>
        <w:tblLayout w:type="fixed"/>
        <w:tblCellMar>
          <w:left w:w="62" w:type="dxa"/>
          <w:right w:w="62" w:type="dxa"/>
        </w:tblCellMar>
        <w:tblLook w:val="0000"/>
      </w:tblPr>
      <w:tblGrid>
        <w:gridCol w:w="2592"/>
        <w:gridCol w:w="5930"/>
      </w:tblGrid>
      <w:tr w:rsidTr="00D23D9A">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B64" w:rsidP="00DF4B64">
            <w:pPr>
              <w:pStyle w:val="BodyText"/>
            </w:pPr>
            <w:r w:rsidRPr="00DF4B64">
              <w:rPr>
                <w:rStyle w:val="SpecialBold"/>
              </w:rPr>
              <w:t>ELEMENT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BodyText"/>
              <w:rPr>
                <w:lang w:val="en-NZ"/>
              </w:rPr>
            </w:pPr>
            <w:r w:rsidRPr="00DF4B64">
              <w:rPr>
                <w:rStyle w:val="SpecialBold"/>
              </w:rPr>
              <w:t>PERFORMANCE CRITERIA</w:t>
            </w:r>
          </w:p>
        </w:tc>
      </w:tr>
      <w:tr w:rsidTr="00D23D9A">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List"/>
              <w:rPr>
                <w:lang w:val="en-NZ"/>
              </w:rPr>
            </w:pPr>
            <w:r w:rsidRPr="00DF4B64">
              <w:t>1.</w:t>
            </w:r>
            <w:r w:rsidRPr="00DF4B64">
              <w:tab/>
              <w:t>Plan to conduct RF measurements</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B64" w:rsidP="00DF4B64">
            <w:pPr>
              <w:pStyle w:val="List2"/>
            </w:pPr>
            <w:r w:rsidRPr="00DF4B64">
              <w:t>1.1.</w:t>
            </w:r>
            <w:r w:rsidRPr="00DF4B64">
              <w:tab/>
            </w:r>
            <w:r w:rsidRPr="00DF4B64">
              <w:t>Arrange access to the site according to required procedure</w:t>
            </w:r>
          </w:p>
          <w:p w:rsidR="00000000" w:rsidRPr="00DF4B64" w:rsidP="00DF4B64">
            <w:pPr>
              <w:pStyle w:val="List2"/>
            </w:pPr>
            <w:r w:rsidRPr="00DF4B64">
              <w:t>1.2.</w:t>
            </w:r>
            <w:r w:rsidRPr="00DF4B64">
              <w:tab/>
              <w:t xml:space="preserve">Determine type of </w:t>
            </w:r>
            <w:r w:rsidRPr="00DF4B64">
              <w:rPr>
                <w:rStyle w:val="BoldandItalics"/>
              </w:rPr>
              <w:t>measurements</w:t>
            </w:r>
            <w:r w:rsidRPr="00DF4B64">
              <w:t xml:space="preserve"> required based on the </w:t>
            </w:r>
            <w:r w:rsidRPr="00DF4B64">
              <w:rPr>
                <w:rStyle w:val="BoldandItalics"/>
              </w:rPr>
              <w:t>industry environment</w:t>
            </w:r>
          </w:p>
          <w:p w:rsidR="00000000" w:rsidRPr="00DF4B64" w:rsidP="00DF4B64">
            <w:pPr>
              <w:pStyle w:val="List2"/>
            </w:pPr>
            <w:r w:rsidRPr="00DF4B64">
              <w:t>1.3.</w:t>
            </w:r>
            <w:r w:rsidRPr="00DF4B64">
              <w:tab/>
              <w:t xml:space="preserve">Assess the impact of conducting measurements on the network and advise customers and </w:t>
            </w:r>
            <w:r w:rsidRPr="00DF4B64">
              <w:rPr>
                <w:rStyle w:val="BoldandItalics"/>
              </w:rPr>
              <w:t>appropriate person</w:t>
            </w:r>
            <w:r w:rsidRPr="00DF4B64">
              <w:t xml:space="preserve"> according</w:t>
            </w:r>
            <w:r w:rsidRPr="00DF4B64">
              <w:t>ly</w:t>
            </w:r>
          </w:p>
          <w:p w:rsidR="00000000" w:rsidP="00DF4B64">
            <w:pPr>
              <w:pStyle w:val="List2"/>
              <w:rPr>
                <w:lang w:val="en-NZ"/>
              </w:rPr>
            </w:pPr>
            <w:r w:rsidRPr="00DF4B64">
              <w:t>1.4.</w:t>
            </w:r>
            <w:r w:rsidRPr="00DF4B64">
              <w:tab/>
              <w:t xml:space="preserve">Assess previous </w:t>
            </w:r>
            <w:r w:rsidRPr="00DF4B64">
              <w:rPr>
                <w:rStyle w:val="BoldandItalics"/>
              </w:rPr>
              <w:t>measurement data</w:t>
            </w:r>
            <w:r w:rsidRPr="00DF4B64">
              <w:t xml:space="preserve"> if available</w:t>
            </w:r>
          </w:p>
        </w:tc>
      </w:tr>
      <w:tr w:rsidTr="00D23D9A">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List"/>
              <w:rPr>
                <w:lang w:val="en-NZ"/>
              </w:rPr>
            </w:pPr>
            <w:r w:rsidRPr="00DF4B64">
              <w:t>2.</w:t>
            </w:r>
            <w:r w:rsidRPr="00DF4B64">
              <w:tab/>
              <w:t>Conduct RF measurements</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B64" w:rsidP="00DF4B64">
            <w:pPr>
              <w:pStyle w:val="List2"/>
            </w:pPr>
            <w:r w:rsidRPr="00DF4B64">
              <w:t>2.1.</w:t>
            </w:r>
            <w:r w:rsidRPr="00DF4B64">
              <w:tab/>
              <w:t>Check that prescribed safety arrangements associated with RF radiation are in place otherwise take corrective action</w:t>
            </w:r>
          </w:p>
          <w:p w:rsidR="00000000" w:rsidRPr="00DF4B64" w:rsidP="00DF4B64">
            <w:pPr>
              <w:pStyle w:val="List2"/>
            </w:pPr>
            <w:r w:rsidRPr="00DF4B64">
              <w:t>2.2.</w:t>
            </w:r>
            <w:r w:rsidRPr="00DF4B64">
              <w:tab/>
              <w:t>Monitor work activity to ensure it meets site s</w:t>
            </w:r>
            <w:r w:rsidRPr="00DF4B64">
              <w:t xml:space="preserve">pecifications, and </w:t>
            </w:r>
            <w:r w:rsidRPr="00DF4B64">
              <w:rPr>
                <w:rStyle w:val="BoldandItalics"/>
              </w:rPr>
              <w:t>relevant legislation</w:t>
            </w:r>
            <w:r w:rsidRPr="00DF4B64">
              <w:t xml:space="preserve">, </w:t>
            </w:r>
            <w:r w:rsidRPr="00DF4B64">
              <w:rPr>
                <w:rStyle w:val="BoldandItalics"/>
              </w:rPr>
              <w:t>codes</w:t>
            </w:r>
            <w:r w:rsidRPr="00DF4B64">
              <w:t xml:space="preserve">, </w:t>
            </w:r>
            <w:r w:rsidRPr="00DF4B64">
              <w:rPr>
                <w:rStyle w:val="BoldandItalics"/>
              </w:rPr>
              <w:t>regulations and standards</w:t>
            </w:r>
            <w:r w:rsidRPr="00DF4B64">
              <w:t xml:space="preserve"> </w:t>
            </w:r>
          </w:p>
          <w:p w:rsidR="00000000" w:rsidRPr="00DF4B64" w:rsidP="00DF4B64">
            <w:pPr>
              <w:pStyle w:val="List2"/>
            </w:pPr>
            <w:r w:rsidRPr="00DF4B64">
              <w:t>2.3.</w:t>
            </w:r>
            <w:r w:rsidRPr="00DF4B64">
              <w:tab/>
              <w:t xml:space="preserve">Configure </w:t>
            </w:r>
            <w:r w:rsidRPr="00DF4B64">
              <w:rPr>
                <w:rStyle w:val="BoldandItalics"/>
              </w:rPr>
              <w:t>test equipment</w:t>
            </w:r>
            <w:r w:rsidRPr="00DF4B64">
              <w:t xml:space="preserve"> according to manufacturer's specifications</w:t>
            </w:r>
          </w:p>
          <w:p w:rsidR="00000000" w:rsidRPr="00DF4B64" w:rsidP="00DF4B64">
            <w:pPr>
              <w:pStyle w:val="List2"/>
            </w:pPr>
            <w:r w:rsidRPr="00DF4B64">
              <w:t>2.4.</w:t>
            </w:r>
            <w:r w:rsidRPr="00DF4B64">
              <w:tab/>
              <w:t xml:space="preserve">Conduct measurements according to planned requirements </w:t>
            </w:r>
          </w:p>
          <w:p w:rsidR="00000000" w:rsidRPr="00DF4B64" w:rsidP="00DF4B64">
            <w:pPr>
              <w:pStyle w:val="List2"/>
            </w:pPr>
            <w:r w:rsidRPr="00DF4B64">
              <w:t>2.5.</w:t>
            </w:r>
            <w:r w:rsidRPr="00DF4B64">
              <w:tab/>
            </w:r>
            <w:r w:rsidRPr="00DF4B64">
              <w:t>Assess RF levels at occupational and non occupational distances</w:t>
            </w:r>
          </w:p>
          <w:p w:rsidR="00000000" w:rsidP="00DF4B64">
            <w:pPr>
              <w:pStyle w:val="List2"/>
              <w:rPr>
                <w:lang w:val="en-NZ"/>
              </w:rPr>
            </w:pPr>
            <w:r w:rsidRPr="00DF4B64">
              <w:t>2.6.</w:t>
            </w:r>
            <w:r w:rsidRPr="00DF4B64">
              <w:tab/>
              <w:t>Record all measurements and test configurations</w:t>
            </w:r>
          </w:p>
        </w:tc>
      </w:tr>
      <w:tr w:rsidTr="00D23D9A">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List"/>
              <w:rPr>
                <w:lang w:val="en-NZ"/>
              </w:rPr>
            </w:pPr>
            <w:r w:rsidRPr="00DF4B64">
              <w:t>3.</w:t>
            </w:r>
            <w:r w:rsidRPr="00DF4B64">
              <w:tab/>
              <w:t>Analyse measurement outcomes</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B64" w:rsidP="00DF4B64">
            <w:pPr>
              <w:pStyle w:val="List2"/>
            </w:pPr>
            <w:r w:rsidRPr="00DF4B64">
              <w:t>3.1.</w:t>
            </w:r>
            <w:r w:rsidRPr="00DF4B64">
              <w:tab/>
              <w:t>Verify measurements against relevant standards and vendor specifications</w:t>
            </w:r>
          </w:p>
          <w:p w:rsidR="00000000" w:rsidRPr="00DF4B64" w:rsidP="00DF4B64">
            <w:pPr>
              <w:pStyle w:val="List2"/>
            </w:pPr>
            <w:r w:rsidRPr="00DF4B64">
              <w:t>3.2.</w:t>
            </w:r>
            <w:r w:rsidRPr="00DF4B64">
              <w:tab/>
              <w:t>Assess problems and var</w:t>
            </w:r>
            <w:r w:rsidRPr="00DF4B64">
              <w:t>iance for corrective action and notify appropriate person according to enterprise procedures</w:t>
            </w:r>
          </w:p>
          <w:p w:rsidR="00000000" w:rsidP="00DF4B64">
            <w:pPr>
              <w:pStyle w:val="List2"/>
              <w:rPr>
                <w:lang w:val="en-NZ"/>
              </w:rPr>
            </w:pPr>
            <w:r w:rsidRPr="00DF4B64">
              <w:t>3.3.</w:t>
            </w:r>
            <w:r w:rsidRPr="00DF4B64">
              <w:tab/>
              <w:t xml:space="preserve">Record processes and recommendations </w:t>
            </w:r>
          </w:p>
        </w:tc>
      </w:tr>
      <w:tr w:rsidTr="00D23D9A">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List"/>
              <w:rPr>
                <w:lang w:val="en-NZ"/>
              </w:rPr>
            </w:pPr>
            <w:r w:rsidRPr="00DF4B64">
              <w:t>4.</w:t>
            </w:r>
            <w:r w:rsidRPr="00DF4B64">
              <w:tab/>
              <w:t>Document measurement results</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B64" w:rsidP="00DF4B64">
            <w:pPr>
              <w:pStyle w:val="List2"/>
            </w:pPr>
            <w:r w:rsidRPr="00DF4B64">
              <w:t>4.1.</w:t>
            </w:r>
            <w:r w:rsidRPr="00DF4B64">
              <w:tab/>
              <w:t>Complete customer documentations</w:t>
            </w:r>
          </w:p>
          <w:p w:rsidR="00000000" w:rsidRPr="00DF4B64" w:rsidP="00DF4B64">
            <w:pPr>
              <w:pStyle w:val="List2"/>
            </w:pPr>
            <w:r w:rsidRPr="00DF4B64">
              <w:t>4.2.</w:t>
            </w:r>
            <w:r w:rsidRPr="00DF4B64">
              <w:tab/>
              <w:t>Notify customer to obtain sign off</w:t>
            </w:r>
          </w:p>
        </w:tc>
      </w:tr>
    </w:tbl>
    <w:p w:rsidR="00D23D9A" w:rsidP="00DF4B64">
      <w:pPr>
        <w:pStyle w:val="BodyText"/>
      </w:pPr>
    </w:p>
    <w:p w:rsidR="00D23D9A" w:rsidP="00DF4B64">
      <w:pPr>
        <w:pStyle w:val="BodyText"/>
      </w:pPr>
    </w:p>
    <w:p w:rsidR="00000000" w:rsidRPr="00DF4B64" w:rsidP="00DF4B64">
      <w:pPr>
        <w:pStyle w:val="Heading1"/>
      </w:pPr>
      <w:bookmarkStart w:id="9" w:name="O_260502"/>
      <w:bookmarkEnd w:id="9"/>
      <w:r w:rsidRPr="00DF4B64">
        <w:t>Required Skills and Knowledge</w:t>
      </w:r>
    </w:p>
    <w:tbl>
      <w:tblPr>
        <w:tblW w:w="0" w:type="auto"/>
        <w:tblLayout w:type="fixed"/>
        <w:tblCellMar>
          <w:left w:w="62" w:type="dxa"/>
          <w:right w:w="62" w:type="dxa"/>
        </w:tblCellMar>
        <w:tblLook w:val="0000"/>
      </w:tblPr>
      <w:tblGrid>
        <w:gridCol w:w="8522"/>
      </w:tblGrid>
      <w:tr w:rsidTr="00D23D9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4B64">
            <w:pPr>
              <w:pStyle w:val="BodyText"/>
              <w:rPr>
                <w:lang w:val="en-NZ"/>
              </w:rPr>
            </w:pPr>
            <w:r w:rsidRPr="00DF4B64">
              <w:rPr>
                <w:rStyle w:val="SpecialBold"/>
              </w:rPr>
              <w:t>REQUIRED SKILLS AND KNOWLEDGE</w:t>
            </w:r>
          </w:p>
        </w:tc>
      </w:tr>
      <w:tr w:rsidTr="00D23D9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BodyText"/>
              <w:rPr>
                <w:lang w:val="en-NZ"/>
              </w:rPr>
            </w:pPr>
            <w:r w:rsidRPr="00DF4B64">
              <w:t>This section describes the skills and knowledge required for this unit.</w:t>
            </w:r>
          </w:p>
        </w:tc>
      </w:tr>
      <w:tr w:rsidTr="00D23D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BodyText"/>
              <w:rPr>
                <w:lang w:val="en-NZ"/>
              </w:rPr>
            </w:pPr>
            <w:r w:rsidRPr="00DF4B64">
              <w:rPr>
                <w:rStyle w:val="SpecialBold"/>
              </w:rPr>
              <w:t>Required skills</w:t>
            </w:r>
          </w:p>
        </w:tc>
      </w:tr>
      <w:tr w:rsidTr="00D23D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B64" w:rsidP="00DF4B64">
            <w:pPr>
              <w:pStyle w:val="ListBullet"/>
            </w:pPr>
            <w:r w:rsidRPr="00DF4B64">
              <w:t xml:space="preserve">analytical skills to review and evaluate measurements </w:t>
            </w:r>
          </w:p>
          <w:p w:rsidR="00000000" w:rsidRPr="00DF4B64" w:rsidP="00DF4B64">
            <w:pPr>
              <w:pStyle w:val="ListBullet"/>
            </w:pPr>
            <w:r w:rsidRPr="00DF4B64">
              <w:t>communication skills to provide advice and guidance to others or to seek assistance</w:t>
            </w:r>
          </w:p>
          <w:p w:rsidR="00000000" w:rsidRPr="00DF4B64" w:rsidP="00DF4B64">
            <w:pPr>
              <w:pStyle w:val="ListBullet"/>
            </w:pPr>
            <w:r w:rsidRPr="00DF4B64">
              <w:t>literacy skills to interpret technical documentation</w:t>
            </w:r>
          </w:p>
          <w:p w:rsidR="00000000" w:rsidRPr="00DF4B64" w:rsidP="00DF4B64">
            <w:pPr>
              <w:pStyle w:val="ListBullet"/>
            </w:pPr>
            <w:r w:rsidRPr="00DF4B64">
              <w:t>numeracy skills to check that equipment is calibrated, to take RF measurements, interpret results and evaluate differen</w:t>
            </w:r>
            <w:r w:rsidRPr="00DF4B64">
              <w:t>t types of technical data</w:t>
            </w:r>
          </w:p>
          <w:p w:rsidR="00000000" w:rsidRPr="00DF4B64" w:rsidP="00DF4B64">
            <w:pPr>
              <w:pStyle w:val="ListBullet"/>
            </w:pPr>
            <w:r w:rsidRPr="00DF4B64">
              <w:t>planning and organisational skills to organise and prepare for measurements</w:t>
            </w:r>
          </w:p>
          <w:p w:rsidR="00000000" w:rsidRPr="00DF4B64" w:rsidP="00DF4B64">
            <w:pPr>
              <w:pStyle w:val="ListBullet"/>
            </w:pPr>
            <w:r w:rsidRPr="00DF4B64">
              <w:t>problem solving skills to minimise measurement errors</w:t>
            </w:r>
          </w:p>
          <w:p w:rsidR="00000000" w:rsidRPr="00DF4B64" w:rsidP="00DF4B64">
            <w:pPr>
              <w:pStyle w:val="ListBullet"/>
            </w:pPr>
            <w:r w:rsidRPr="00DF4B64">
              <w:t>task management skills to work logically and systematically with required attention to detail when f</w:t>
            </w:r>
            <w:r w:rsidRPr="00DF4B64">
              <w:t>ollowing complex test procedures</w:t>
            </w:r>
          </w:p>
          <w:p w:rsidR="00000000" w:rsidRPr="00DF4B64" w:rsidP="00DF4B64">
            <w:pPr>
              <w:pStyle w:val="ListBullet"/>
            </w:pPr>
            <w:r w:rsidRPr="00DF4B64">
              <w:t>technical skills to:</w:t>
            </w:r>
          </w:p>
          <w:p w:rsidR="00000000" w:rsidRPr="00DF4B64" w:rsidP="00DF4B64">
            <w:pPr>
              <w:pStyle w:val="ListBullet2"/>
            </w:pPr>
            <w:r w:rsidRPr="00DF4B64">
              <w:t xml:space="preserve">operate a range of specialised radio frequency test equipment and </w:t>
            </w:r>
          </w:p>
          <w:p w:rsidR="00000000" w:rsidRPr="00DF4B64" w:rsidP="00DF4B64">
            <w:pPr>
              <w:pStyle w:val="ListBullet2"/>
            </w:pPr>
            <w:r w:rsidRPr="00DF4B64">
              <w:t>perform diagnostic procedures</w:t>
            </w:r>
          </w:p>
          <w:p w:rsidR="00000000" w:rsidP="00DF4B64">
            <w:pPr>
              <w:pStyle w:val="ListBullet2"/>
              <w:rPr>
                <w:lang w:val="en-NZ"/>
              </w:rPr>
            </w:pPr>
            <w:r w:rsidRPr="00DF4B64">
              <w:t>use hand and power tools</w:t>
            </w:r>
          </w:p>
        </w:tc>
      </w:tr>
      <w:tr w:rsidTr="00D23D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BodyText"/>
              <w:rPr>
                <w:lang w:val="en-NZ"/>
              </w:rPr>
            </w:pPr>
            <w:r w:rsidRPr="00DF4B64">
              <w:rPr>
                <w:rStyle w:val="SpecialBold"/>
              </w:rPr>
              <w:t>Required knowledge</w:t>
            </w:r>
          </w:p>
        </w:tc>
      </w:tr>
      <w:tr w:rsidTr="00D23D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B64" w:rsidP="00DF4B64">
            <w:pPr>
              <w:pStyle w:val="ListBullet"/>
            </w:pPr>
            <w:r w:rsidRPr="00DF4B64">
              <w:t>detailed knowledge of:</w:t>
            </w:r>
          </w:p>
          <w:p w:rsidR="00000000" w:rsidRPr="00DF4B64" w:rsidP="00DF4B64">
            <w:pPr>
              <w:pStyle w:val="ListBullet2"/>
            </w:pPr>
            <w:r w:rsidRPr="00DF4B64">
              <w:t>analog and digital modulation methods</w:t>
            </w:r>
          </w:p>
          <w:p w:rsidR="00000000" w:rsidRPr="00DF4B64" w:rsidP="00DF4B64">
            <w:pPr>
              <w:pStyle w:val="ListBullet2"/>
            </w:pPr>
            <w:r w:rsidRPr="00DF4B64">
              <w:t>logarithmic units</w:t>
            </w:r>
          </w:p>
          <w:p w:rsidR="00000000" w:rsidRPr="00DF4B64" w:rsidP="00DF4B64">
            <w:pPr>
              <w:pStyle w:val="ListBullet2"/>
            </w:pPr>
            <w:r w:rsidRPr="00DF4B64">
              <w:t>standard test procedures and test setups</w:t>
            </w:r>
          </w:p>
          <w:p w:rsidR="00000000" w:rsidRPr="00DF4B64" w:rsidP="00DF4B64">
            <w:pPr>
              <w:pStyle w:val="ListBullet2"/>
            </w:pPr>
            <w:r w:rsidRPr="00DF4B64">
              <w:t>transmitter and receiver architectures</w:t>
            </w:r>
          </w:p>
          <w:p w:rsidR="00000000" w:rsidRPr="00DF4B64" w:rsidP="00DF4B64">
            <w:pPr>
              <w:pStyle w:val="ListBullet"/>
            </w:pPr>
            <w:r w:rsidRPr="00DF4B64">
              <w:t>RF:</w:t>
            </w:r>
          </w:p>
          <w:p w:rsidR="00000000" w:rsidRPr="00DF4B64" w:rsidP="00DF4B64">
            <w:pPr>
              <w:pStyle w:val="ListBullet2"/>
            </w:pPr>
            <w:r w:rsidRPr="00DF4B64">
              <w:t xml:space="preserve">instrument and features and types </w:t>
            </w:r>
          </w:p>
          <w:p w:rsidR="00000000" w:rsidRPr="00DF4B64" w:rsidP="00DF4B64">
            <w:pPr>
              <w:pStyle w:val="ListBullet2"/>
            </w:pPr>
            <w:r w:rsidRPr="00DF4B64">
              <w:t>radiation hazards</w:t>
            </w:r>
          </w:p>
          <w:p w:rsidR="00000000" w:rsidRPr="00DF4B64" w:rsidP="00DF4B64">
            <w:pPr>
              <w:pStyle w:val="ListBullet2"/>
            </w:pPr>
            <w:r w:rsidRPr="00DF4B64">
              <w:t>safety practices</w:t>
            </w:r>
          </w:p>
        </w:tc>
      </w:tr>
    </w:tbl>
    <w:p w:rsidR="00D23D9A" w:rsidP="00DF4B64">
      <w:pPr>
        <w:pStyle w:val="BodyText"/>
      </w:pPr>
    </w:p>
    <w:p w:rsidR="00D23D9A" w:rsidP="00DF4B64">
      <w:pPr>
        <w:pStyle w:val="BodyText"/>
      </w:pPr>
    </w:p>
    <w:p w:rsidR="00000000" w:rsidRPr="00DF4B64" w:rsidP="00DF4B64">
      <w:pPr>
        <w:pStyle w:val="AllowPageBreak"/>
      </w:pPr>
    </w:p>
    <w:p w:rsidR="00000000" w:rsidRPr="00DF4B64" w:rsidP="00DF4B64">
      <w:pPr>
        <w:pStyle w:val="Heading1"/>
      </w:pPr>
      <w:bookmarkStart w:id="10" w:name="O_244536"/>
      <w:bookmarkEnd w:id="10"/>
      <w:r w:rsidRPr="00DF4B64">
        <w:t>Evidence Guide</w:t>
      </w:r>
    </w:p>
    <w:tbl>
      <w:tblPr>
        <w:tblW w:w="9570" w:type="dxa"/>
        <w:tblLayout w:type="fixed"/>
        <w:tblCellMar>
          <w:left w:w="62" w:type="dxa"/>
          <w:right w:w="62" w:type="dxa"/>
        </w:tblCellMar>
        <w:tblLook w:val="0000"/>
      </w:tblPr>
      <w:tblGrid>
        <w:gridCol w:w="3908"/>
        <w:gridCol w:w="5662"/>
      </w:tblGrid>
      <w:tr w:rsidTr="00D23D9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BodyText"/>
              <w:rPr>
                <w:lang w:val="en-NZ"/>
              </w:rPr>
            </w:pPr>
            <w:r w:rsidRPr="00DF4B64">
              <w:rPr>
                <w:rStyle w:val="SpecialBold"/>
              </w:rPr>
              <w:t>EVIDENCE GUIDE</w:t>
            </w:r>
          </w:p>
        </w:tc>
      </w:tr>
      <w:tr w:rsidTr="00D23D9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BodyText"/>
              <w:rPr>
                <w:lang w:val="en-NZ"/>
              </w:rPr>
            </w:pPr>
            <w:r w:rsidRPr="00DF4B64">
              <w:t>The evidence guide provides advice on assessment and must be read in conjunction with the performance criteria, required skills and knowledge, range statement and the Assessment Guidelines for the Training Package.</w:t>
            </w:r>
          </w:p>
        </w:tc>
      </w:tr>
      <w:tr w:rsidTr="00D23D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BodyText"/>
              <w:rPr>
                <w:lang w:val="en-NZ"/>
              </w:rPr>
            </w:pPr>
            <w:r w:rsidRPr="00DF4B64">
              <w:rPr>
                <w:rStyle w:val="SpecialBold"/>
              </w:rPr>
              <w:t>Overvie</w:t>
            </w:r>
            <w:r w:rsidRPr="00DF4B64">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BodyText"/>
              <w:rPr>
                <w:lang w:val="en-NZ"/>
              </w:rPr>
            </w:pPr>
          </w:p>
        </w:tc>
      </w:tr>
      <w:tr w:rsidTr="00D23D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BodyText"/>
              <w:rPr>
                <w:lang w:val="en-NZ"/>
              </w:rPr>
            </w:pPr>
            <w:r w:rsidRPr="00DF4B6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B64" w:rsidP="00DF4B64">
            <w:pPr>
              <w:pStyle w:val="BodyText"/>
            </w:pPr>
            <w:r w:rsidRPr="00DF4B64">
              <w:t>Evidence of the ability to:</w:t>
            </w:r>
          </w:p>
          <w:p w:rsidR="00000000" w:rsidRPr="00DF4B64" w:rsidP="00DF4B64">
            <w:pPr>
              <w:pStyle w:val="ListBullet"/>
            </w:pPr>
            <w:r w:rsidRPr="00DF4B64">
              <w:t>plan and conduct RF test using RF test equipment and instruments</w:t>
            </w:r>
          </w:p>
          <w:p w:rsidR="00000000" w:rsidRPr="00DF4B64" w:rsidP="00DF4B64">
            <w:pPr>
              <w:pStyle w:val="ListBullet"/>
            </w:pPr>
            <w:r w:rsidRPr="00DF4B64">
              <w:t xml:space="preserve">measure, record and interpret test results </w:t>
            </w:r>
          </w:p>
          <w:p w:rsidR="00000000" w:rsidP="00DF4B64">
            <w:pPr>
              <w:pStyle w:val="ListBullet"/>
              <w:rPr>
                <w:lang w:val="en-NZ"/>
              </w:rPr>
            </w:pPr>
            <w:r w:rsidRPr="00DF4B64">
              <w:t>monitor work to meet related OHS requirements and work practices.</w:t>
            </w:r>
          </w:p>
        </w:tc>
      </w:tr>
      <w:tr w:rsidTr="00D23D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BodyText"/>
              <w:rPr>
                <w:lang w:val="en-NZ"/>
              </w:rPr>
            </w:pPr>
            <w:r w:rsidRPr="00DF4B6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B64" w:rsidP="00DF4B64">
            <w:pPr>
              <w:pStyle w:val="BodyText"/>
            </w:pPr>
            <w:r w:rsidRPr="00DF4B64">
              <w:t>Assessment must ensure:</w:t>
            </w:r>
          </w:p>
          <w:p w:rsidR="00000000" w:rsidRPr="00DF4B64" w:rsidP="00DF4B64">
            <w:pPr>
              <w:pStyle w:val="ListBullet"/>
            </w:pPr>
            <w:r w:rsidRPr="00DF4B64">
              <w:t>site for RF measurements</w:t>
            </w:r>
          </w:p>
          <w:p w:rsidR="00000000" w:rsidRPr="00DF4B64" w:rsidP="00DF4B64">
            <w:pPr>
              <w:pStyle w:val="ListBullet"/>
            </w:pPr>
            <w:r w:rsidRPr="00DF4B64">
              <w:t>a range of test equipment and items to test</w:t>
            </w:r>
          </w:p>
          <w:p w:rsidR="00000000" w:rsidP="00DF4B64">
            <w:pPr>
              <w:pStyle w:val="ListBullet"/>
              <w:rPr>
                <w:lang w:val="en-NZ"/>
              </w:rPr>
            </w:pPr>
            <w:r w:rsidRPr="00DF4B64">
              <w:t>relevant regulatory and equipment documentatio</w:t>
            </w:r>
            <w:r w:rsidRPr="00DF4B64">
              <w:t>n that impact on work activities.</w:t>
            </w:r>
          </w:p>
        </w:tc>
      </w:tr>
      <w:tr w:rsidTr="00D23D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BodyText"/>
              <w:rPr>
                <w:lang w:val="en-NZ"/>
              </w:rPr>
            </w:pPr>
            <w:r w:rsidRPr="00DF4B6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B64" w:rsidP="00DF4B64">
            <w:pPr>
              <w:pStyle w:val="BodyText"/>
            </w:pPr>
            <w:r w:rsidRPr="00DF4B64">
              <w:t>A range of assessment methods should be used to assess practical skills and knowledge. the following examples are appropriate for this unit:</w:t>
            </w:r>
          </w:p>
          <w:p w:rsidR="00000000" w:rsidRPr="00DF4B64" w:rsidP="00DF4B64">
            <w:pPr>
              <w:pStyle w:val="ListBullet"/>
            </w:pPr>
            <w:r w:rsidRPr="00DF4B64">
              <w:t>direct observation of the candidate setting up equipment and performing RF measurements</w:t>
            </w:r>
          </w:p>
          <w:p w:rsidR="00000000" w:rsidRPr="00DF4B64" w:rsidP="00DF4B64">
            <w:pPr>
              <w:pStyle w:val="ListBullet"/>
            </w:pPr>
            <w:r w:rsidRPr="00DF4B64">
              <w:t xml:space="preserve">review report of RF measurements prepared by candidate </w:t>
            </w:r>
          </w:p>
          <w:p w:rsidR="00000000" w:rsidRPr="00DF4B64" w:rsidP="00DF4B64">
            <w:pPr>
              <w:pStyle w:val="ListBullet"/>
            </w:pPr>
            <w:r w:rsidRPr="00DF4B64">
              <w:t xml:space="preserve">oral or written questioning of the candidate to support the above measurement results </w:t>
            </w:r>
          </w:p>
          <w:p w:rsidR="00000000" w:rsidP="00DF4B64">
            <w:pPr>
              <w:pStyle w:val="ListBullet"/>
              <w:rPr>
                <w:lang w:val="en-NZ"/>
              </w:rPr>
            </w:pPr>
            <w:r w:rsidRPr="00DF4B64">
              <w:t>candidate report on findi</w:t>
            </w:r>
            <w:r w:rsidRPr="00DF4B64">
              <w:t>ngs and making recommendations.</w:t>
            </w:r>
          </w:p>
        </w:tc>
      </w:tr>
      <w:tr w:rsidTr="00D23D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BodyText"/>
              <w:rPr>
                <w:lang w:val="en-NZ"/>
              </w:rPr>
            </w:pPr>
            <w:r w:rsidRPr="00DF4B6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B64" w:rsidP="00DF4B64">
            <w:pPr>
              <w:pStyle w:val="BodyText"/>
            </w:pPr>
            <w:r w:rsidRPr="00DF4B64">
              <w:t>Holistic assessment with other units relevant to the industry sector, workplace and job role is recommended, for example:</w:t>
            </w:r>
          </w:p>
          <w:p w:rsidR="00000000" w:rsidRPr="00DF4B64" w:rsidP="00DF4B64">
            <w:pPr>
              <w:pStyle w:val="ListBullet"/>
            </w:pPr>
            <w:r w:rsidRPr="00DF4B64">
              <w:t>ICTRFN4158A Select an antenna system for radio communications</w:t>
            </w:r>
          </w:p>
          <w:p w:rsidR="00000000" w:rsidRPr="00DF4B64" w:rsidP="00DF4B64">
            <w:pPr>
              <w:pStyle w:val="ListBullet"/>
            </w:pPr>
            <w:r w:rsidRPr="00DF4B64">
              <w:t>IC</w:t>
            </w:r>
            <w:r w:rsidRPr="00DF4B64">
              <w:t>TRFN4159A Identify and test cellular network equipment</w:t>
            </w:r>
          </w:p>
          <w:p w:rsidR="00000000" w:rsidRPr="00DF4B64" w:rsidP="00DF4B64">
            <w:pPr>
              <w:pStyle w:val="ListBullet"/>
            </w:pPr>
            <w:r w:rsidRPr="00DF4B64">
              <w:t>ICTRFN4174A Undertake radio communications signals monitoring</w:t>
            </w:r>
          </w:p>
          <w:p w:rsidR="00000000" w:rsidRPr="00DF4B64" w:rsidP="00DF4B64">
            <w:pPr>
              <w:pStyle w:val="ListBullet"/>
            </w:pPr>
            <w:r w:rsidRPr="00DF4B64">
              <w:t>ICTRFN4177A Install radio communications base station equipment</w:t>
            </w:r>
          </w:p>
          <w:p w:rsidR="00000000" w:rsidRPr="00DF4B64" w:rsidP="00DF4B64">
            <w:pPr>
              <w:pStyle w:val="ListBullet"/>
            </w:pPr>
            <w:r w:rsidRPr="00DF4B64">
              <w:t>ICTRFN4178A Maintain hybrid fibre coaxial broadband cable network</w:t>
            </w:r>
          </w:p>
          <w:p w:rsidR="00000000" w:rsidRPr="00DF4B64" w:rsidP="00DF4B64">
            <w:pPr>
              <w:pStyle w:val="ListBullet"/>
            </w:pPr>
            <w:r w:rsidRPr="00DF4B64">
              <w:t>ICTTEN420</w:t>
            </w:r>
            <w:r w:rsidRPr="00DF4B64">
              <w:t>2A Install and test an radio frequency identification system</w:t>
            </w:r>
          </w:p>
          <w:p w:rsidR="00000000" w:rsidRPr="00DF4B64" w:rsidP="00DF4B64">
            <w:pPr>
              <w:pStyle w:val="ListBullet"/>
            </w:pPr>
            <w:r w:rsidRPr="00DF4B64">
              <w:t>ICTRFN3175A Operate and maintain radio communications technical instruments and field equipment</w:t>
            </w:r>
          </w:p>
          <w:p w:rsidR="00000000" w:rsidRPr="00DF4B64" w:rsidP="00DF4B64">
            <w:pPr>
              <w:pStyle w:val="ListBullet"/>
            </w:pPr>
            <w:r w:rsidRPr="00DF4B64">
              <w:t>ICTCMP5176A Undertake radio communications site audit.</w:t>
            </w:r>
          </w:p>
          <w:p w:rsidR="00000000" w:rsidRPr="00DF4B64" w:rsidP="00DF4B64">
            <w:pPr>
              <w:pStyle w:val="BodyText"/>
            </w:pPr>
          </w:p>
          <w:p w:rsidR="00000000" w:rsidRPr="00DF4B64" w:rsidP="00DF4B64">
            <w:pPr>
              <w:pStyle w:val="BodyText"/>
            </w:pPr>
            <w:r w:rsidRPr="00DF4B64">
              <w:t>Aboriginal people and other people from a n</w:t>
            </w:r>
            <w:r w:rsidRPr="00DF4B64">
              <w:t>on-English speaking background may have second language issues.</w:t>
            </w:r>
          </w:p>
          <w:p w:rsidR="00000000" w:rsidRPr="00DF4B64" w:rsidP="00DF4B64">
            <w:pPr>
              <w:pStyle w:val="BodyText"/>
            </w:pPr>
          </w:p>
          <w:p w:rsidR="00000000" w:rsidRPr="00DF4B64" w:rsidP="00DF4B64">
            <w:pPr>
              <w:pStyle w:val="BodyText"/>
            </w:pPr>
            <w:r w:rsidRPr="00DF4B64">
              <w:t xml:space="preserve">Access must be provided to appropriate learning and assessment support when required. </w:t>
            </w:r>
          </w:p>
          <w:p w:rsidR="00000000" w:rsidRPr="00DF4B64" w:rsidP="00DF4B64">
            <w:pPr>
              <w:pStyle w:val="BodyText"/>
            </w:pPr>
          </w:p>
          <w:p w:rsidR="00000000" w:rsidRPr="00DF4B64" w:rsidP="00DF4B64">
            <w:pPr>
              <w:pStyle w:val="BodyText"/>
            </w:pPr>
            <w:r w:rsidRPr="00DF4B64">
              <w:t>Assessment processes and techniques must be culturally appropriate, and appropriate to the oral communi</w:t>
            </w:r>
            <w:r w:rsidRPr="00DF4B64">
              <w:t>cation skill level, and language and literacy capacity of the candidate and the work being performed.</w:t>
            </w:r>
          </w:p>
          <w:p w:rsidR="00000000" w:rsidRPr="00DF4B64" w:rsidP="00DF4B64">
            <w:pPr>
              <w:pStyle w:val="BodyText"/>
            </w:pPr>
          </w:p>
          <w:p w:rsidR="00000000" w:rsidRPr="00DF4B64" w:rsidP="00DF4B64">
            <w:pPr>
              <w:pStyle w:val="BodyText"/>
            </w:pPr>
            <w:r w:rsidRPr="00DF4B64">
              <w:t>In all cases where practical assessment is used it will be combined with targeted questioning to assess required knowledge. Questioning techniques should</w:t>
            </w:r>
            <w:r w:rsidRPr="00DF4B64">
              <w:t xml:space="preserve"> not require language, literacy and numeracy skills beyond those required in this unit of competency. </w:t>
            </w:r>
          </w:p>
          <w:p w:rsidR="00000000" w:rsidRPr="00DF4B64" w:rsidP="00DF4B64">
            <w:pPr>
              <w:pStyle w:val="BodyText"/>
            </w:pPr>
          </w:p>
          <w:p w:rsidR="00000000" w:rsidRPr="00DF4B64" w:rsidP="00DF4B64">
            <w:pPr>
              <w:pStyle w:val="BodyText"/>
            </w:pPr>
            <w:r w:rsidRPr="00DF4B64">
              <w:t>Where applicable, physical resources should include equipment modified for people with special needs.</w:t>
            </w:r>
          </w:p>
          <w:p w:rsidR="00000000" w:rsidRPr="00DF4B64" w:rsidP="00DF4B64">
            <w:pPr>
              <w:pStyle w:val="BodyText"/>
            </w:pPr>
          </w:p>
        </w:tc>
      </w:tr>
    </w:tbl>
    <w:p w:rsidR="00D23D9A" w:rsidP="00DF4B64">
      <w:pPr>
        <w:pStyle w:val="BodyText"/>
      </w:pPr>
    </w:p>
    <w:p w:rsidR="00D23D9A" w:rsidP="00DF4B64">
      <w:pPr>
        <w:pStyle w:val="BodyText"/>
      </w:pPr>
    </w:p>
    <w:p w:rsidR="00000000" w:rsidRPr="00DF4B64" w:rsidP="00DF4B64">
      <w:pPr>
        <w:pStyle w:val="Heading1"/>
      </w:pPr>
      <w:bookmarkStart w:id="11" w:name="O_252519"/>
      <w:bookmarkEnd w:id="11"/>
      <w:r w:rsidRPr="00DF4B64">
        <w:t>Range Statement</w:t>
      </w:r>
    </w:p>
    <w:tbl>
      <w:tblPr>
        <w:tblW w:w="0" w:type="auto"/>
        <w:tblLayout w:type="fixed"/>
        <w:tblCellMar>
          <w:left w:w="62" w:type="dxa"/>
          <w:right w:w="62" w:type="dxa"/>
        </w:tblCellMar>
        <w:tblLook w:val="0000"/>
      </w:tblPr>
      <w:tblGrid>
        <w:gridCol w:w="3446"/>
        <w:gridCol w:w="5076"/>
      </w:tblGrid>
      <w:tr w:rsidTr="00D23D9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BodyText"/>
              <w:rPr>
                <w:lang w:val="en-NZ"/>
              </w:rPr>
            </w:pPr>
            <w:r w:rsidRPr="00DF4B64">
              <w:rPr>
                <w:rStyle w:val="SpecialBold"/>
              </w:rPr>
              <w:t>RANGE STATEMENT</w:t>
            </w:r>
          </w:p>
        </w:tc>
      </w:tr>
      <w:tr w:rsidTr="00D23D9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BodyText"/>
              <w:rPr>
                <w:lang w:val="en-NZ"/>
              </w:rPr>
            </w:pPr>
            <w:r w:rsidRPr="00DF4B64">
              <w:t>The range statement relates to the unit of competency as a whole. It allows for different work environments and situations that may affect performance. Bold italicised wording, if used in the performance criteria, is detailed below. Essen</w:t>
            </w:r>
            <w:r w:rsidRPr="00DF4B64">
              <w:t>tial operating conditions that may be present with training and assessment (depending on the work situation, needs of the candidate, accessibility of the item, and local industry and regional contexts) may also be included.</w:t>
            </w:r>
          </w:p>
        </w:tc>
      </w:tr>
      <w:tr w:rsidTr="00D23D9A">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BodyText"/>
              <w:rPr>
                <w:lang w:val="en-NZ"/>
              </w:rPr>
            </w:pPr>
            <w:r w:rsidRPr="00DF4B64">
              <w:rPr>
                <w:rStyle w:val="BoldandItalics"/>
              </w:rPr>
              <w:t>Measurements</w:t>
            </w:r>
            <w:r w:rsidRPr="00DF4B64">
              <w:t xml:space="preserve"> may relate to:</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B64" w:rsidP="00DF4B64">
            <w:pPr>
              <w:pStyle w:val="ListBullet"/>
            </w:pPr>
            <w:r w:rsidRPr="00DF4B64">
              <w:t>a</w:t>
            </w:r>
            <w:r w:rsidRPr="00DF4B64">
              <w:t xml:space="preserve">ntenna </w:t>
            </w:r>
          </w:p>
          <w:p w:rsidR="00000000" w:rsidRPr="00DF4B64" w:rsidP="00DF4B64">
            <w:pPr>
              <w:pStyle w:val="ListBullet2"/>
            </w:pPr>
            <w:r w:rsidRPr="00DF4B64">
              <w:t>bandwidth</w:t>
            </w:r>
          </w:p>
          <w:p w:rsidR="00000000" w:rsidRPr="00DF4B64" w:rsidP="00DF4B64">
            <w:pPr>
              <w:pStyle w:val="ListBullet2"/>
            </w:pPr>
            <w:r w:rsidRPr="00DF4B64">
              <w:t>beamwidth</w:t>
            </w:r>
          </w:p>
          <w:p w:rsidR="00000000" w:rsidRPr="00DF4B64" w:rsidP="00DF4B64">
            <w:pPr>
              <w:pStyle w:val="ListBullet2"/>
            </w:pPr>
            <w:r w:rsidRPr="00DF4B64">
              <w:t>impedance</w:t>
            </w:r>
          </w:p>
          <w:p w:rsidR="00000000" w:rsidRPr="00DF4B64" w:rsidP="00DF4B64">
            <w:pPr>
              <w:pStyle w:val="ListBullet2"/>
            </w:pPr>
            <w:r w:rsidRPr="00DF4B64">
              <w:t>radiation pattern</w:t>
            </w:r>
          </w:p>
          <w:p w:rsidR="00000000" w:rsidRPr="00DF4B64" w:rsidP="00DF4B64">
            <w:pPr>
              <w:pStyle w:val="ListBullet2"/>
            </w:pPr>
            <w:r w:rsidRPr="00DF4B64">
              <w:t>return loss</w:t>
            </w:r>
          </w:p>
          <w:p w:rsidR="00000000" w:rsidRPr="00DF4B64" w:rsidP="00DF4B64">
            <w:pPr>
              <w:pStyle w:val="ListBullet"/>
            </w:pPr>
            <w:r w:rsidRPr="00DF4B64">
              <w:t>bit error rate (BER) as a function of received signal level (RSL)</w:t>
            </w:r>
          </w:p>
          <w:p w:rsidR="00000000" w:rsidRPr="00DF4B64" w:rsidP="00DF4B64">
            <w:pPr>
              <w:pStyle w:val="ListBullet"/>
            </w:pPr>
            <w:r w:rsidRPr="00DF4B64">
              <w:t>carrier to noise ratio</w:t>
            </w:r>
          </w:p>
          <w:p w:rsidR="00000000" w:rsidRPr="00DF4B64" w:rsidP="00DF4B64">
            <w:pPr>
              <w:pStyle w:val="ListBullet"/>
            </w:pPr>
            <w:r w:rsidRPr="00DF4B64">
              <w:t>electric field strength</w:t>
            </w:r>
          </w:p>
          <w:p w:rsidR="00000000" w:rsidRPr="00DF4B64" w:rsidP="00DF4B64">
            <w:pPr>
              <w:pStyle w:val="ListBullet"/>
            </w:pPr>
            <w:r w:rsidRPr="00DF4B64">
              <w:t>electromagnetic interference (EMI) and electromagnetic compatibility (EMC) measurements:</w:t>
            </w:r>
          </w:p>
          <w:p w:rsidR="00000000" w:rsidRPr="00DF4B64" w:rsidP="00DF4B64">
            <w:pPr>
              <w:pStyle w:val="ListBullet2"/>
            </w:pPr>
            <w:r w:rsidRPr="00DF4B64">
              <w:t>conducted</w:t>
            </w:r>
          </w:p>
          <w:p w:rsidR="00000000" w:rsidRPr="00DF4B64" w:rsidP="00DF4B64">
            <w:pPr>
              <w:pStyle w:val="ListBullet2"/>
            </w:pPr>
            <w:r w:rsidRPr="00DF4B64">
              <w:t>radiated</w:t>
            </w:r>
          </w:p>
          <w:p w:rsidR="00000000" w:rsidRPr="00DF4B64" w:rsidP="00DF4B64">
            <w:pPr>
              <w:pStyle w:val="ListBullet"/>
            </w:pPr>
            <w:r w:rsidRPr="00DF4B64">
              <w:t>impedance</w:t>
            </w:r>
          </w:p>
          <w:p w:rsidR="00000000" w:rsidRPr="00DF4B64" w:rsidP="00DF4B64">
            <w:pPr>
              <w:pStyle w:val="ListBullet"/>
            </w:pPr>
            <w:r w:rsidRPr="00DF4B64">
              <w:t>modulation error rate (MER)</w:t>
            </w:r>
          </w:p>
          <w:p w:rsidR="00000000" w:rsidRPr="00DF4B64" w:rsidP="00DF4B64">
            <w:pPr>
              <w:pStyle w:val="ListBullet"/>
            </w:pPr>
            <w:r w:rsidRPr="00DF4B64">
              <w:t>receiver:</w:t>
            </w:r>
          </w:p>
          <w:p w:rsidR="00000000" w:rsidRPr="00DF4B64" w:rsidP="00DF4B64">
            <w:pPr>
              <w:pStyle w:val="ListBullet2"/>
            </w:pPr>
            <w:r w:rsidRPr="00DF4B64">
              <w:t>20 dB quieting</w:t>
            </w:r>
          </w:p>
          <w:p w:rsidR="00000000" w:rsidRPr="00DF4B64" w:rsidP="00DF4B64">
            <w:pPr>
              <w:pStyle w:val="ListBullet2"/>
            </w:pPr>
            <w:r w:rsidRPr="00DF4B64">
              <w:t>blocking</w:t>
            </w:r>
          </w:p>
          <w:p w:rsidR="00000000" w:rsidRPr="00DF4B64" w:rsidP="00DF4B64">
            <w:pPr>
              <w:pStyle w:val="ListBullet2"/>
            </w:pPr>
            <w:r w:rsidRPr="00DF4B64">
              <w:t>cross modulation</w:t>
            </w:r>
          </w:p>
          <w:p w:rsidR="00000000" w:rsidRPr="00DF4B64" w:rsidP="00DF4B64">
            <w:pPr>
              <w:pStyle w:val="ListBullet2"/>
            </w:pPr>
            <w:r w:rsidRPr="00DF4B64">
              <w:t>image frequency</w:t>
            </w:r>
          </w:p>
          <w:p w:rsidR="00000000" w:rsidRPr="00DF4B64" w:rsidP="00DF4B64">
            <w:pPr>
              <w:pStyle w:val="ListBullet2"/>
            </w:pPr>
            <w:r w:rsidRPr="00DF4B64">
              <w:t>intermodulation</w:t>
            </w:r>
          </w:p>
          <w:p w:rsidR="00000000" w:rsidRPr="00DF4B64" w:rsidP="00DF4B64">
            <w:pPr>
              <w:pStyle w:val="ListBullet2"/>
            </w:pPr>
            <w:r w:rsidRPr="00DF4B64">
              <w:t>sensitivity</w:t>
            </w:r>
          </w:p>
          <w:p w:rsidR="00000000" w:rsidRPr="00DF4B64" w:rsidP="00DF4B64">
            <w:pPr>
              <w:pStyle w:val="ListBullet2"/>
            </w:pPr>
            <w:r w:rsidRPr="00DF4B64">
              <w:t>SINAD</w:t>
            </w:r>
          </w:p>
          <w:p w:rsidR="00000000" w:rsidRPr="00DF4B64" w:rsidP="00DF4B64">
            <w:pPr>
              <w:pStyle w:val="ListBullet2"/>
            </w:pPr>
            <w:r w:rsidRPr="00DF4B64">
              <w:t>total harmonic distortion</w:t>
            </w:r>
          </w:p>
          <w:p w:rsidR="00000000" w:rsidRPr="00DF4B64" w:rsidP="00DF4B64">
            <w:pPr>
              <w:pStyle w:val="ListBullet"/>
            </w:pPr>
            <w:r w:rsidRPr="00DF4B64">
              <w:t>RF amplifier:</w:t>
            </w:r>
          </w:p>
          <w:p w:rsidR="00000000" w:rsidRPr="00DF4B64" w:rsidP="00DF4B64">
            <w:pPr>
              <w:pStyle w:val="ListBullet2"/>
            </w:pPr>
            <w:r w:rsidRPr="00DF4B64">
              <w:t>gain</w:t>
            </w:r>
          </w:p>
          <w:p w:rsidR="00000000" w:rsidRPr="00DF4B64" w:rsidP="00DF4B64">
            <w:pPr>
              <w:pStyle w:val="ListBullet2"/>
            </w:pPr>
            <w:r w:rsidRPr="00DF4B64">
              <w:t xml:space="preserve">stability of RF amplifier when </w:t>
            </w:r>
          </w:p>
          <w:p w:rsidR="00000000" w:rsidRPr="00DF4B64" w:rsidP="00DF4B64">
            <w:pPr>
              <w:pStyle w:val="ListBullet3"/>
            </w:pPr>
            <w:r w:rsidRPr="00DF4B64">
              <w:t>operating at 10% higher or lower supply voltage</w:t>
            </w:r>
          </w:p>
          <w:p w:rsidR="00000000" w:rsidRPr="00DF4B64" w:rsidP="00DF4B64">
            <w:pPr>
              <w:pStyle w:val="ListBullet3"/>
            </w:pPr>
            <w:r w:rsidRPr="00DF4B64">
              <w:t>operating at extreme humidity</w:t>
            </w:r>
          </w:p>
          <w:p w:rsidR="00000000" w:rsidRPr="00DF4B64" w:rsidP="00DF4B64">
            <w:pPr>
              <w:pStyle w:val="ListBullet3"/>
            </w:pPr>
            <w:r w:rsidRPr="00DF4B64">
              <w:t>operating at extreme temperatures</w:t>
            </w:r>
          </w:p>
          <w:p w:rsidR="00000000" w:rsidRPr="00DF4B64" w:rsidP="00DF4B64">
            <w:pPr>
              <w:pStyle w:val="ListBullet2"/>
            </w:pPr>
            <w:r w:rsidRPr="00DF4B64">
              <w:t>operating into a complex load impedance noise figure</w:t>
            </w:r>
          </w:p>
          <w:p w:rsidR="00000000" w:rsidRPr="00DF4B64" w:rsidP="00DF4B64">
            <w:pPr>
              <w:pStyle w:val="ListBullet"/>
            </w:pPr>
            <w:r w:rsidRPr="00DF4B64">
              <w:t>RF hazard measurements:</w:t>
            </w:r>
          </w:p>
          <w:p w:rsidR="00000000" w:rsidRPr="00DF4B64" w:rsidP="00DF4B64">
            <w:pPr>
              <w:pStyle w:val="ListBullet2"/>
            </w:pPr>
            <w:r w:rsidRPr="00DF4B64">
              <w:t>non-occupational worker</w:t>
            </w:r>
          </w:p>
          <w:p w:rsidR="00000000" w:rsidRPr="00DF4B64" w:rsidP="00DF4B64">
            <w:pPr>
              <w:pStyle w:val="ListBullet2"/>
            </w:pPr>
            <w:r w:rsidRPr="00DF4B64">
              <w:t>occupational worker</w:t>
            </w:r>
          </w:p>
          <w:p w:rsidR="00000000" w:rsidRPr="00DF4B64" w:rsidP="00DF4B64">
            <w:pPr>
              <w:pStyle w:val="ListBullet"/>
            </w:pPr>
            <w:r w:rsidRPr="00DF4B64">
              <w:t>RF measurements on passive devices:</w:t>
            </w:r>
          </w:p>
          <w:p w:rsidR="00000000" w:rsidRPr="00DF4B64" w:rsidP="00DF4B64">
            <w:pPr>
              <w:pStyle w:val="ListBullet2"/>
            </w:pPr>
            <w:r w:rsidRPr="00DF4B64">
              <w:t>return loss</w:t>
            </w:r>
          </w:p>
          <w:p w:rsidR="00000000" w:rsidRPr="00DF4B64" w:rsidP="00DF4B64">
            <w:pPr>
              <w:pStyle w:val="ListBullet2"/>
            </w:pPr>
            <w:r w:rsidRPr="00DF4B64">
              <w:t>S parameters</w:t>
            </w:r>
          </w:p>
          <w:p w:rsidR="00000000" w:rsidRPr="00DF4B64" w:rsidP="00DF4B64">
            <w:pPr>
              <w:pStyle w:val="ListBullet2"/>
            </w:pPr>
            <w:r w:rsidRPr="00DF4B64">
              <w:t>transmission loss</w:t>
            </w:r>
          </w:p>
          <w:p w:rsidR="00000000" w:rsidRPr="00DF4B64" w:rsidP="00DF4B64">
            <w:pPr>
              <w:pStyle w:val="ListBullet"/>
            </w:pPr>
            <w:r w:rsidRPr="00DF4B64">
              <w:t>spectrum surveillance</w:t>
            </w:r>
          </w:p>
          <w:p w:rsidR="00000000" w:rsidRPr="00DF4B64" w:rsidP="00DF4B64">
            <w:pPr>
              <w:pStyle w:val="ListBullet"/>
            </w:pPr>
            <w:r w:rsidRPr="00DF4B64">
              <w:t>sweep measurements</w:t>
            </w:r>
          </w:p>
          <w:p w:rsidR="00000000" w:rsidRPr="00DF4B64" w:rsidP="00DF4B64">
            <w:pPr>
              <w:pStyle w:val="ListBullet"/>
            </w:pPr>
            <w:r w:rsidRPr="00DF4B64">
              <w:t>transmission line measurements</w:t>
            </w:r>
          </w:p>
          <w:p w:rsidR="00000000" w:rsidRPr="00DF4B64" w:rsidP="00DF4B64">
            <w:pPr>
              <w:pStyle w:val="ListBullet"/>
            </w:pPr>
            <w:r w:rsidRPr="00DF4B64">
              <w:t>transmitter:</w:t>
            </w:r>
          </w:p>
          <w:p w:rsidR="00000000" w:rsidRPr="00DF4B64" w:rsidP="00DF4B64">
            <w:pPr>
              <w:pStyle w:val="ListBullet2"/>
            </w:pPr>
            <w:r w:rsidRPr="00DF4B64">
              <w:t>adjacent channel power</w:t>
            </w:r>
          </w:p>
          <w:p w:rsidR="00000000" w:rsidRPr="00DF4B64" w:rsidP="00DF4B64">
            <w:pPr>
              <w:pStyle w:val="ListBullet2"/>
            </w:pPr>
            <w:r w:rsidRPr="00DF4B64">
              <w:t>carrier frequency</w:t>
            </w:r>
          </w:p>
          <w:p w:rsidR="00000000" w:rsidRPr="00DF4B64" w:rsidP="00DF4B64">
            <w:pPr>
              <w:pStyle w:val="ListBullet2"/>
            </w:pPr>
            <w:r w:rsidRPr="00DF4B64">
              <w:t>carrier frequency stability</w:t>
            </w:r>
          </w:p>
          <w:p w:rsidR="00000000" w:rsidRPr="00DF4B64" w:rsidP="00DF4B64">
            <w:pPr>
              <w:pStyle w:val="ListBullet2"/>
            </w:pPr>
            <w:r w:rsidRPr="00DF4B64">
              <w:t>carrier power level</w:t>
            </w:r>
          </w:p>
          <w:p w:rsidR="00000000" w:rsidRPr="00DF4B64" w:rsidP="00DF4B64">
            <w:pPr>
              <w:pStyle w:val="ListBullet2"/>
            </w:pPr>
            <w:r w:rsidRPr="00DF4B64">
              <w:t>deviation limiting</w:t>
            </w:r>
          </w:p>
          <w:p w:rsidR="00000000" w:rsidRPr="00DF4B64" w:rsidP="00DF4B64">
            <w:pPr>
              <w:pStyle w:val="ListBullet2"/>
            </w:pPr>
            <w:r w:rsidRPr="00DF4B64">
              <w:t>frequency deviation</w:t>
            </w:r>
          </w:p>
          <w:p w:rsidR="00000000" w:rsidRPr="00DF4B64" w:rsidP="00DF4B64">
            <w:pPr>
              <w:pStyle w:val="ListBullet2"/>
            </w:pPr>
            <w:r w:rsidRPr="00DF4B64">
              <w:t>harmonic power level</w:t>
            </w:r>
          </w:p>
          <w:p w:rsidR="00000000" w:rsidRPr="00DF4B64" w:rsidP="00DF4B64">
            <w:pPr>
              <w:pStyle w:val="ListBullet2"/>
            </w:pPr>
            <w:r w:rsidRPr="00DF4B64">
              <w:t>modulation depth</w:t>
            </w:r>
          </w:p>
          <w:p w:rsidR="00000000" w:rsidRPr="00DF4B64" w:rsidP="00DF4B64">
            <w:pPr>
              <w:pStyle w:val="ListBullet2"/>
            </w:pPr>
            <w:r w:rsidRPr="00DF4B64">
              <w:t>modulation response</w:t>
            </w:r>
          </w:p>
          <w:p w:rsidR="00000000" w:rsidRPr="00DF4B64" w:rsidP="00DF4B64">
            <w:pPr>
              <w:pStyle w:val="ListBullet2"/>
            </w:pPr>
            <w:r w:rsidRPr="00DF4B64">
              <w:t>occupied bandwidth</w:t>
            </w:r>
          </w:p>
          <w:p w:rsidR="00000000" w:rsidRPr="00DF4B64" w:rsidP="00DF4B64">
            <w:pPr>
              <w:pStyle w:val="ListBullet2"/>
            </w:pPr>
            <w:r w:rsidRPr="00DF4B64">
              <w:t>out of band spurious emissions</w:t>
            </w:r>
          </w:p>
          <w:p w:rsidR="00000000" w:rsidRPr="00DF4B64" w:rsidP="00DF4B64">
            <w:pPr>
              <w:pStyle w:val="ListBullet2"/>
            </w:pPr>
            <w:r w:rsidRPr="00DF4B64">
              <w:t>phase deviation</w:t>
            </w:r>
          </w:p>
          <w:p w:rsidR="00000000" w:rsidRPr="00DF4B64" w:rsidP="00DF4B64">
            <w:pPr>
              <w:pStyle w:val="ListBullet2"/>
            </w:pPr>
            <w:r w:rsidRPr="00DF4B64">
              <w:t>phase noise</w:t>
            </w:r>
          </w:p>
          <w:p w:rsidR="00000000" w:rsidRPr="00DF4B64" w:rsidP="00DF4B64">
            <w:pPr>
              <w:pStyle w:val="ListBullet2"/>
            </w:pPr>
            <w:r w:rsidRPr="00DF4B64">
              <w:t>spectrum mask</w:t>
            </w:r>
          </w:p>
          <w:p w:rsidR="00000000" w:rsidRPr="00DF4B64" w:rsidP="00DF4B64">
            <w:pPr>
              <w:pStyle w:val="ListBullet2"/>
            </w:pPr>
            <w:r w:rsidRPr="00DF4B64">
              <w:t>transient frequency behaviour</w:t>
            </w:r>
          </w:p>
          <w:p w:rsidR="00000000" w:rsidRPr="00DF4B64" w:rsidP="00DF4B64">
            <w:pPr>
              <w:pStyle w:val="ListBullet2"/>
            </w:pPr>
            <w:r w:rsidRPr="00DF4B64">
              <w:t>two-tone intermodulation distortion</w:t>
            </w:r>
          </w:p>
          <w:p w:rsidR="00000000" w:rsidP="00DF4B64">
            <w:pPr>
              <w:pStyle w:val="ListBullet2"/>
              <w:rPr>
                <w:lang w:val="en-NZ"/>
              </w:rPr>
            </w:pPr>
            <w:r w:rsidRPr="00DF4B64">
              <w:t>unwanted spurious emissions.</w:t>
            </w:r>
          </w:p>
        </w:tc>
      </w:tr>
      <w:tr w:rsidTr="00D23D9A">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BodyText"/>
              <w:rPr>
                <w:lang w:val="en-NZ"/>
              </w:rPr>
            </w:pPr>
            <w:r w:rsidRPr="00DF4B64">
              <w:rPr>
                <w:rStyle w:val="BoldandItalics"/>
              </w:rPr>
              <w:t>Industry environment</w:t>
            </w:r>
            <w:r w:rsidRPr="00DF4B64">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B64" w:rsidP="00DF4B64">
            <w:pPr>
              <w:pStyle w:val="ListBullet"/>
            </w:pPr>
            <w:r w:rsidRPr="00DF4B64">
              <w:t>aeronautical</w:t>
            </w:r>
          </w:p>
          <w:p w:rsidR="00000000" w:rsidRPr="00DF4B64" w:rsidP="00DF4B64">
            <w:pPr>
              <w:pStyle w:val="ListBullet"/>
            </w:pPr>
            <w:r w:rsidRPr="00DF4B64">
              <w:t>aerospace</w:t>
            </w:r>
          </w:p>
          <w:p w:rsidR="00000000" w:rsidRPr="00DF4B64" w:rsidP="00DF4B64">
            <w:pPr>
              <w:pStyle w:val="ListBullet"/>
            </w:pPr>
            <w:r w:rsidRPr="00DF4B64">
              <w:t>broadcasting:</w:t>
            </w:r>
          </w:p>
          <w:p w:rsidR="00000000" w:rsidRPr="00DF4B64" w:rsidP="00DF4B64">
            <w:pPr>
              <w:pStyle w:val="ListBullet2"/>
            </w:pPr>
            <w:r w:rsidRPr="00DF4B64">
              <w:t>AM in MW band</w:t>
            </w:r>
          </w:p>
          <w:p w:rsidR="00000000" w:rsidRPr="00DF4B64" w:rsidP="00DF4B64">
            <w:pPr>
              <w:pStyle w:val="ListBullet2"/>
            </w:pPr>
            <w:r w:rsidRPr="00DF4B64">
              <w:t>analog</w:t>
            </w:r>
          </w:p>
          <w:p w:rsidR="00000000" w:rsidRPr="00DF4B64" w:rsidP="00DF4B64">
            <w:pPr>
              <w:pStyle w:val="ListBullet2"/>
            </w:pPr>
            <w:r w:rsidRPr="00DF4B64">
              <w:t>cable</w:t>
            </w:r>
          </w:p>
          <w:p w:rsidR="00000000" w:rsidRPr="00DF4B64" w:rsidP="00DF4B64">
            <w:pPr>
              <w:pStyle w:val="ListBullet2"/>
            </w:pPr>
            <w:r w:rsidRPr="00DF4B64">
              <w:t>digital DAB+</w:t>
            </w:r>
          </w:p>
          <w:p w:rsidR="00000000" w:rsidRPr="00DF4B64" w:rsidP="00DF4B64">
            <w:pPr>
              <w:pStyle w:val="ListBullet2"/>
            </w:pPr>
            <w:r w:rsidRPr="00DF4B64">
              <w:t>digital DRM</w:t>
            </w:r>
          </w:p>
          <w:p w:rsidR="00000000" w:rsidRPr="00DF4B64" w:rsidP="00DF4B64">
            <w:pPr>
              <w:pStyle w:val="ListBullet2"/>
            </w:pPr>
            <w:r w:rsidRPr="00DF4B64">
              <w:t>digital DVB</w:t>
            </w:r>
          </w:p>
          <w:p w:rsidR="00000000" w:rsidRPr="00DF4B64" w:rsidP="00DF4B64">
            <w:pPr>
              <w:pStyle w:val="ListBullet2"/>
            </w:pPr>
            <w:r w:rsidRPr="00DF4B64">
              <w:t>FM stereo in VHF band</w:t>
            </w:r>
          </w:p>
          <w:p w:rsidR="00000000" w:rsidRPr="00DF4B64" w:rsidP="00DF4B64">
            <w:pPr>
              <w:pStyle w:val="ListBullet2"/>
            </w:pPr>
            <w:r w:rsidRPr="00DF4B64">
              <w:t>global positioning system (GPS)</w:t>
            </w:r>
          </w:p>
          <w:p w:rsidR="00000000" w:rsidRPr="00DF4B64" w:rsidP="00DF4B64">
            <w:pPr>
              <w:pStyle w:val="ListBullet2"/>
            </w:pPr>
            <w:r w:rsidRPr="00DF4B64">
              <w:t>short wave (HF)</w:t>
            </w:r>
          </w:p>
          <w:p w:rsidR="00000000" w:rsidRPr="00DF4B64" w:rsidP="00DF4B64">
            <w:pPr>
              <w:pStyle w:val="ListBullet2"/>
            </w:pPr>
            <w:r w:rsidRPr="00DF4B64">
              <w:t>low power open narrowcasting (LPON)</w:t>
            </w:r>
          </w:p>
          <w:p w:rsidR="00000000" w:rsidRPr="00DF4B64" w:rsidP="00DF4B64">
            <w:pPr>
              <w:pStyle w:val="ListBullet2"/>
            </w:pPr>
            <w:r w:rsidRPr="00DF4B64">
              <w:t>radio</w:t>
            </w:r>
          </w:p>
          <w:p w:rsidR="00000000" w:rsidRPr="00DF4B64" w:rsidP="00DF4B64">
            <w:pPr>
              <w:pStyle w:val="ListBullet2"/>
            </w:pPr>
            <w:r w:rsidRPr="00DF4B64">
              <w:t>satellite</w:t>
            </w:r>
          </w:p>
          <w:p w:rsidR="00000000" w:rsidRPr="00DF4B64" w:rsidP="00DF4B64">
            <w:pPr>
              <w:pStyle w:val="ListBullet2"/>
            </w:pPr>
            <w:r w:rsidRPr="00DF4B64">
              <w:t>television</w:t>
            </w:r>
          </w:p>
          <w:p w:rsidR="00000000" w:rsidRPr="00DF4B64" w:rsidP="00DF4B64">
            <w:pPr>
              <w:pStyle w:val="ListBullet"/>
            </w:pPr>
            <w:r w:rsidRPr="00DF4B64">
              <w:t>Bluetooth</w:t>
            </w:r>
          </w:p>
          <w:p w:rsidR="00000000" w:rsidRPr="00DF4B64" w:rsidP="00DF4B64">
            <w:pPr>
              <w:pStyle w:val="ListBullet"/>
            </w:pPr>
            <w:r w:rsidRPr="00DF4B64">
              <w:t>cellular mobile telephony</w:t>
            </w:r>
          </w:p>
          <w:p w:rsidR="00000000" w:rsidRPr="00DF4B64" w:rsidP="00DF4B64">
            <w:pPr>
              <w:pStyle w:val="ListBullet"/>
            </w:pPr>
            <w:r w:rsidRPr="00DF4B64">
              <w:t>fixed service</w:t>
            </w:r>
          </w:p>
          <w:p w:rsidR="00000000" w:rsidRPr="00DF4B64" w:rsidP="00DF4B64">
            <w:pPr>
              <w:pStyle w:val="ListBullet"/>
            </w:pPr>
            <w:r w:rsidRPr="00DF4B64">
              <w:t>industrial and scientific</w:t>
            </w:r>
          </w:p>
          <w:p w:rsidR="00000000" w:rsidRPr="00DF4B64" w:rsidP="00DF4B64">
            <w:pPr>
              <w:pStyle w:val="ListBullet"/>
            </w:pPr>
            <w:r w:rsidRPr="00DF4B64">
              <w:t>land mobile</w:t>
            </w:r>
          </w:p>
          <w:p w:rsidR="00000000" w:rsidRPr="00DF4B64" w:rsidP="00DF4B64">
            <w:pPr>
              <w:pStyle w:val="ListBullet"/>
            </w:pPr>
            <w:r w:rsidRPr="00DF4B64">
              <w:t>licence-free ISM</w:t>
            </w:r>
          </w:p>
          <w:p w:rsidR="00000000" w:rsidRPr="00DF4B64" w:rsidP="00DF4B64">
            <w:pPr>
              <w:pStyle w:val="ListBullet"/>
            </w:pPr>
            <w:r w:rsidRPr="00DF4B64">
              <w:t>marine</w:t>
            </w:r>
          </w:p>
          <w:p w:rsidR="00000000" w:rsidRPr="00DF4B64" w:rsidP="00DF4B64">
            <w:pPr>
              <w:pStyle w:val="ListBullet"/>
            </w:pPr>
            <w:r w:rsidRPr="00DF4B64">
              <w:t>medical</w:t>
            </w:r>
          </w:p>
          <w:p w:rsidR="00000000" w:rsidRPr="00DF4B64" w:rsidP="00DF4B64">
            <w:pPr>
              <w:pStyle w:val="ListBullet"/>
            </w:pPr>
            <w:r w:rsidRPr="00DF4B64">
              <w:t>microwave point to point</w:t>
            </w:r>
          </w:p>
          <w:p w:rsidR="00000000" w:rsidRPr="00DF4B64" w:rsidP="00DF4B64">
            <w:pPr>
              <w:pStyle w:val="ListBullet"/>
            </w:pPr>
            <w:r w:rsidRPr="00DF4B64">
              <w:t>radio paging systems</w:t>
            </w:r>
          </w:p>
          <w:p w:rsidR="00000000" w:rsidRPr="00DF4B64" w:rsidP="00DF4B64">
            <w:pPr>
              <w:pStyle w:val="ListBullet"/>
            </w:pPr>
            <w:r w:rsidRPr="00DF4B64">
              <w:t>RFID</w:t>
            </w:r>
          </w:p>
          <w:p w:rsidR="00000000" w:rsidRPr="00DF4B64" w:rsidP="00DF4B64">
            <w:pPr>
              <w:pStyle w:val="ListBullet"/>
            </w:pPr>
            <w:r w:rsidRPr="00DF4B64">
              <w:t>WiMAX IEEE 802.16</w:t>
            </w:r>
          </w:p>
          <w:p w:rsidR="00000000" w:rsidRPr="00DF4B64" w:rsidP="00DF4B64">
            <w:pPr>
              <w:pStyle w:val="ListBullet"/>
            </w:pPr>
            <w:r w:rsidRPr="00DF4B64">
              <w:t>WiFi IEEE 802.11</w:t>
            </w:r>
          </w:p>
          <w:p w:rsidR="00000000" w:rsidP="00DF4B64">
            <w:pPr>
              <w:pStyle w:val="ListBullet"/>
              <w:rPr>
                <w:lang w:val="en-NZ"/>
              </w:rPr>
            </w:pPr>
            <w:r w:rsidRPr="00DF4B64">
              <w:t>ZigBee IEEE 802.15.4-2003.</w:t>
            </w:r>
          </w:p>
        </w:tc>
      </w:tr>
      <w:tr w:rsidTr="00D23D9A">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BodyText"/>
              <w:rPr>
                <w:lang w:val="en-NZ"/>
              </w:rPr>
            </w:pPr>
            <w:r w:rsidRPr="00DF4B64">
              <w:rPr>
                <w:rStyle w:val="BoldandItalics"/>
              </w:rPr>
              <w:t>Appropriate person</w:t>
            </w:r>
            <w:r w:rsidRPr="00DF4B64">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B64" w:rsidP="00DF4B64">
            <w:pPr>
              <w:pStyle w:val="ListBullet"/>
            </w:pPr>
            <w:r w:rsidRPr="00DF4B64">
              <w:t>ACMA representative</w:t>
            </w:r>
          </w:p>
          <w:p w:rsidR="00000000" w:rsidRPr="00DF4B64" w:rsidP="00DF4B64">
            <w:pPr>
              <w:pStyle w:val="ListBullet"/>
            </w:pPr>
            <w:r w:rsidRPr="00DF4B64">
              <w:t>consultant</w:t>
            </w:r>
          </w:p>
          <w:p w:rsidR="00000000" w:rsidRPr="00DF4B64" w:rsidP="00DF4B64">
            <w:pPr>
              <w:pStyle w:val="ListBullet"/>
            </w:pPr>
            <w:r w:rsidRPr="00DF4B64">
              <w:t>engineer</w:t>
            </w:r>
          </w:p>
          <w:p w:rsidR="00000000" w:rsidP="00DF4B64">
            <w:pPr>
              <w:pStyle w:val="ListBullet"/>
              <w:rPr>
                <w:lang w:val="en-NZ"/>
              </w:rPr>
            </w:pPr>
            <w:r w:rsidRPr="00DF4B64">
              <w:t>supervisor.</w:t>
            </w:r>
          </w:p>
        </w:tc>
      </w:tr>
      <w:tr w:rsidTr="00D23D9A">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BodyText"/>
              <w:rPr>
                <w:lang w:val="en-NZ"/>
              </w:rPr>
            </w:pPr>
            <w:r w:rsidRPr="00DF4B64">
              <w:rPr>
                <w:rStyle w:val="BoldandItalics"/>
              </w:rPr>
              <w:t>Measurement data</w:t>
            </w:r>
            <w:r w:rsidRPr="00DF4B64">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B64" w:rsidP="00DF4B64">
            <w:pPr>
              <w:pStyle w:val="ListBullet"/>
            </w:pPr>
            <w:r w:rsidRPr="00DF4B64">
              <w:t>date</w:t>
            </w:r>
          </w:p>
          <w:p w:rsidR="00000000" w:rsidRPr="00DF4B64" w:rsidP="00DF4B64">
            <w:pPr>
              <w:pStyle w:val="ListBullet"/>
            </w:pPr>
            <w:r w:rsidRPr="00DF4B64">
              <w:t>time</w:t>
            </w:r>
          </w:p>
          <w:p w:rsidR="00000000" w:rsidRPr="00DF4B64" w:rsidP="00DF4B64">
            <w:pPr>
              <w:pStyle w:val="ListBullet"/>
            </w:pPr>
            <w:r w:rsidRPr="00DF4B64">
              <w:t>location</w:t>
            </w:r>
          </w:p>
          <w:p w:rsidR="00000000" w:rsidRPr="00DF4B64" w:rsidP="00DF4B64">
            <w:pPr>
              <w:pStyle w:val="ListBullet"/>
            </w:pPr>
            <w:r w:rsidRPr="00DF4B64">
              <w:t>test configuration</w:t>
            </w:r>
          </w:p>
          <w:p w:rsidR="00000000" w:rsidRPr="00DF4B64" w:rsidP="00DF4B64">
            <w:pPr>
              <w:pStyle w:val="ListBullet"/>
            </w:pPr>
            <w:r w:rsidRPr="00DF4B64">
              <w:t xml:space="preserve">measurement results </w:t>
            </w:r>
          </w:p>
          <w:p w:rsidR="00000000" w:rsidRPr="00DF4B64" w:rsidP="00DF4B64">
            <w:pPr>
              <w:pStyle w:val="ListBullet"/>
            </w:pPr>
            <w:r w:rsidRPr="00DF4B64">
              <w:t>test equipment:</w:t>
            </w:r>
          </w:p>
          <w:p w:rsidR="00000000" w:rsidRPr="00DF4B64" w:rsidP="00DF4B64">
            <w:pPr>
              <w:pStyle w:val="ListBullet2"/>
            </w:pPr>
            <w:r w:rsidRPr="00DF4B64">
              <w:t>manufacturer</w:t>
            </w:r>
          </w:p>
          <w:p w:rsidR="00000000" w:rsidRPr="00DF4B64" w:rsidP="00DF4B64">
            <w:pPr>
              <w:pStyle w:val="ListBullet2"/>
            </w:pPr>
            <w:r w:rsidRPr="00DF4B64">
              <w:t xml:space="preserve">model </w:t>
            </w:r>
          </w:p>
          <w:p w:rsidR="00000000" w:rsidP="00DF4B64">
            <w:pPr>
              <w:pStyle w:val="ListBullet2"/>
              <w:rPr>
                <w:lang w:val="en-NZ"/>
              </w:rPr>
            </w:pPr>
            <w:r w:rsidRPr="00DF4B64">
              <w:t>serial number.</w:t>
            </w:r>
          </w:p>
        </w:tc>
      </w:tr>
      <w:tr w:rsidTr="00D23D9A">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BodyText"/>
              <w:rPr>
                <w:lang w:val="en-NZ"/>
              </w:rPr>
            </w:pPr>
            <w:r w:rsidRPr="00DF4B64">
              <w:rPr>
                <w:rStyle w:val="BoldandItalics"/>
              </w:rPr>
              <w:t>Relevant legislation</w:t>
            </w:r>
            <w:r w:rsidRPr="00DF4B64">
              <w:t xml:space="preserve">, </w:t>
            </w:r>
            <w:r w:rsidRPr="00DF4B64">
              <w:rPr>
                <w:rStyle w:val="BoldandItalics"/>
              </w:rPr>
              <w:t>codes</w:t>
            </w:r>
            <w:r w:rsidRPr="00DF4B64">
              <w:t xml:space="preserve">, </w:t>
            </w:r>
            <w:r w:rsidRPr="00DF4B64">
              <w:rPr>
                <w:rStyle w:val="BoldandItalics"/>
              </w:rPr>
              <w:t>regulations and standards</w:t>
            </w:r>
            <w:r w:rsidRPr="00DF4B64">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B64" w:rsidP="00DF4B64">
            <w:pPr>
              <w:pStyle w:val="ListBullet"/>
            </w:pPr>
            <w:r w:rsidRPr="00DF4B64">
              <w:t>Australian Communications Industry Forum (ACIF) standards and codes</w:t>
            </w:r>
          </w:p>
          <w:p w:rsidR="00000000" w:rsidRPr="00DF4B64" w:rsidP="00DF4B64">
            <w:pPr>
              <w:pStyle w:val="ListBullet"/>
            </w:pPr>
            <w:r w:rsidRPr="00DF4B64">
              <w:t>Australian Communications and Media Authority (ACMA) technical standards</w:t>
            </w:r>
          </w:p>
          <w:p w:rsidR="00000000" w:rsidRPr="00DF4B64" w:rsidP="00DF4B64">
            <w:pPr>
              <w:pStyle w:val="ListBullet"/>
            </w:pPr>
            <w:r w:rsidRPr="00DF4B64">
              <w:t>Australian Radiation Protections and Nuclear Safety Agency (ARPANSA (EMR) standard</w:t>
            </w:r>
          </w:p>
          <w:p w:rsidR="00000000" w:rsidRPr="00DF4B64" w:rsidP="00DF4B64">
            <w:pPr>
              <w:pStyle w:val="ListBullet"/>
            </w:pPr>
            <w:r w:rsidRPr="00DF4B64">
              <w:t xml:space="preserve">AS/NZS 4268:2008 </w:t>
            </w:r>
          </w:p>
          <w:p w:rsidR="00000000" w:rsidRPr="00DF4B64" w:rsidP="00DF4B64">
            <w:pPr>
              <w:pStyle w:val="ListBullet"/>
            </w:pPr>
            <w:r w:rsidRPr="00DF4B64">
              <w:t>AS/NZS 4295:2004</w:t>
            </w:r>
          </w:p>
          <w:p w:rsidR="00000000" w:rsidRPr="00DF4B64" w:rsidP="00DF4B64">
            <w:pPr>
              <w:pStyle w:val="ListBullet"/>
            </w:pPr>
            <w:r w:rsidRPr="00DF4B64">
              <w:t>AS/NZS 4415.1:2003</w:t>
            </w:r>
          </w:p>
          <w:p w:rsidR="00000000" w:rsidRPr="00DF4B64" w:rsidP="00DF4B64">
            <w:pPr>
              <w:pStyle w:val="ListBullet"/>
            </w:pPr>
            <w:r w:rsidRPr="00DF4B64">
              <w:t>AS/NZS 4582:1999</w:t>
            </w:r>
          </w:p>
          <w:p w:rsidR="00000000" w:rsidRPr="00DF4B64" w:rsidP="00DF4B64">
            <w:pPr>
              <w:pStyle w:val="ListBullet"/>
            </w:pPr>
            <w:r w:rsidRPr="00DF4B64">
              <w:t>AS/NZS 4583:1999</w:t>
            </w:r>
          </w:p>
          <w:p w:rsidR="00000000" w:rsidRPr="00DF4B64" w:rsidP="00DF4B64">
            <w:pPr>
              <w:pStyle w:val="ListBullet"/>
            </w:pPr>
            <w:r w:rsidRPr="00DF4B64">
              <w:t>AS/NZS 4769.1:2000</w:t>
            </w:r>
          </w:p>
          <w:p w:rsidR="00000000" w:rsidRPr="00DF4B64" w:rsidP="00DF4B64">
            <w:pPr>
              <w:pStyle w:val="ListBullet"/>
            </w:pPr>
            <w:r w:rsidRPr="00DF4B64">
              <w:t>AS/NZS 4770:2000</w:t>
            </w:r>
          </w:p>
          <w:p w:rsidR="00000000" w:rsidRPr="00DF4B64" w:rsidP="00DF4B64">
            <w:pPr>
              <w:pStyle w:val="ListBullet"/>
            </w:pPr>
            <w:r w:rsidRPr="00DF4B64">
              <w:t>Australian building codes and regulations</w:t>
            </w:r>
          </w:p>
          <w:p w:rsidR="00000000" w:rsidRPr="00DF4B64" w:rsidP="00DF4B64">
            <w:pPr>
              <w:pStyle w:val="ListBullet"/>
            </w:pPr>
            <w:r w:rsidRPr="00DF4B64">
              <w:t>Australian standards</w:t>
            </w:r>
          </w:p>
          <w:p w:rsidR="00000000" w:rsidRPr="00DF4B64" w:rsidP="00DF4B64">
            <w:pPr>
              <w:pStyle w:val="ListBullet"/>
            </w:pPr>
            <w:r w:rsidRPr="00DF4B64">
              <w:t>enterprise standards</w:t>
            </w:r>
          </w:p>
          <w:p w:rsidR="00000000" w:rsidRPr="00DF4B64" w:rsidP="00DF4B64">
            <w:pPr>
              <w:pStyle w:val="ListBullet"/>
            </w:pPr>
            <w:r w:rsidRPr="00DF4B64">
              <w:t>environmental protection</w:t>
            </w:r>
          </w:p>
          <w:p w:rsidR="00000000" w:rsidRPr="00DF4B64" w:rsidP="00DF4B64">
            <w:pPr>
              <w:pStyle w:val="ListBullet"/>
            </w:pPr>
            <w:r w:rsidRPr="00DF4B64">
              <w:t>equipment standards</w:t>
            </w:r>
          </w:p>
          <w:p w:rsidR="00000000" w:rsidRPr="00DF4B64" w:rsidP="00DF4B64">
            <w:pPr>
              <w:pStyle w:val="ListBullet"/>
            </w:pPr>
            <w:r w:rsidRPr="00DF4B64">
              <w:t>European Telecommunications Standards Institute (ETSI) EN 300 220-1 Year?</w:t>
            </w:r>
          </w:p>
          <w:p w:rsidR="00000000" w:rsidRPr="00DF4B64" w:rsidP="00DF4B64">
            <w:pPr>
              <w:pStyle w:val="ListBullet"/>
            </w:pPr>
            <w:r w:rsidRPr="00DF4B64">
              <w:t>ETSI EN 301 406 Y</w:t>
            </w:r>
            <w:r w:rsidRPr="00DF4B64">
              <w:t>ear?</w:t>
            </w:r>
          </w:p>
          <w:p w:rsidR="00000000" w:rsidRPr="00DF4B64" w:rsidP="00DF4B64">
            <w:pPr>
              <w:pStyle w:val="ListBullet"/>
            </w:pPr>
            <w:r w:rsidRPr="00DF4B64">
              <w:t>fire regulations</w:t>
            </w:r>
          </w:p>
          <w:p w:rsidR="00000000" w:rsidRPr="00DF4B64" w:rsidP="00DF4B64">
            <w:pPr>
              <w:pStyle w:val="ListBullet"/>
            </w:pPr>
            <w:r w:rsidRPr="00DF4B64">
              <w:t>heritage legislation</w:t>
            </w:r>
          </w:p>
          <w:p w:rsidR="00000000" w:rsidRPr="00DF4B64" w:rsidP="00DF4B64">
            <w:pPr>
              <w:pStyle w:val="ListBullet"/>
            </w:pPr>
            <w:r w:rsidRPr="00DF4B64">
              <w:t>international standards</w:t>
            </w:r>
          </w:p>
          <w:p w:rsidR="00000000" w:rsidRPr="00DF4B64" w:rsidP="00DF4B64">
            <w:pPr>
              <w:pStyle w:val="ListBullet"/>
            </w:pPr>
            <w:r w:rsidRPr="00DF4B64">
              <w:t>intrinsically safe lightning protection</w:t>
            </w:r>
          </w:p>
          <w:p w:rsidR="00000000" w:rsidRPr="00DF4B64" w:rsidP="00DF4B64">
            <w:pPr>
              <w:pStyle w:val="ListBullet"/>
            </w:pPr>
            <w:r w:rsidRPr="00DF4B64">
              <w:t>local government</w:t>
            </w:r>
          </w:p>
          <w:p w:rsidR="00000000" w:rsidRPr="00DF4B64" w:rsidP="00DF4B64">
            <w:pPr>
              <w:pStyle w:val="ListBullet"/>
            </w:pPr>
            <w:r w:rsidRPr="00DF4B64">
              <w:t>OHS</w:t>
            </w:r>
          </w:p>
          <w:p w:rsidR="00000000" w:rsidRPr="00DF4B64" w:rsidP="00DF4B64">
            <w:pPr>
              <w:pStyle w:val="ListBullet"/>
            </w:pPr>
            <w:r w:rsidRPr="00DF4B64">
              <w:t>Radcoms Act</w:t>
            </w:r>
          </w:p>
          <w:p w:rsidR="00000000" w:rsidRPr="00DF4B64" w:rsidP="00DF4B64">
            <w:pPr>
              <w:pStyle w:val="ListBullet"/>
            </w:pPr>
            <w:r w:rsidRPr="00DF4B64">
              <w:t>RSS-119</w:t>
            </w:r>
          </w:p>
          <w:p w:rsidR="00000000" w:rsidRPr="00DF4B64" w:rsidP="00DF4B64">
            <w:pPr>
              <w:pStyle w:val="ListBullet"/>
            </w:pPr>
            <w:r w:rsidRPr="00DF4B64">
              <w:t>site engineering standards</w:t>
            </w:r>
          </w:p>
          <w:p w:rsidR="00000000" w:rsidRPr="00DF4B64" w:rsidP="00DF4B64">
            <w:pPr>
              <w:pStyle w:val="ListBullet"/>
            </w:pPr>
            <w:r w:rsidRPr="00DF4B64">
              <w:t>spectrum planning reports</w:t>
            </w:r>
          </w:p>
          <w:p w:rsidR="00000000" w:rsidRPr="00DF4B64" w:rsidP="00DF4B64">
            <w:pPr>
              <w:pStyle w:val="ListBullet"/>
            </w:pPr>
            <w:r w:rsidRPr="00DF4B64">
              <w:t xml:space="preserve">Telecommunications Act </w:t>
            </w:r>
          </w:p>
          <w:p w:rsidR="00000000" w:rsidP="00DF4B64">
            <w:pPr>
              <w:pStyle w:val="ListBullet"/>
              <w:rPr>
                <w:lang w:val="en-NZ"/>
              </w:rPr>
            </w:pPr>
            <w:r w:rsidRPr="00DF4B64">
              <w:t>Telecommunications Industry Alliance and Electronic Industries Alliance (TIA/EIA) standards.</w:t>
            </w:r>
          </w:p>
        </w:tc>
      </w:tr>
      <w:tr w:rsidTr="00D23D9A">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BodyText"/>
              <w:rPr>
                <w:lang w:val="en-NZ"/>
              </w:rPr>
            </w:pPr>
            <w:r w:rsidRPr="00DF4B64">
              <w:rPr>
                <w:rStyle w:val="BoldandItalics"/>
              </w:rPr>
              <w:t>Test equipment</w:t>
            </w:r>
            <w:r w:rsidRPr="00DF4B64">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B64" w:rsidP="00DF4B64">
            <w:pPr>
              <w:pStyle w:val="ListBullet"/>
            </w:pPr>
            <w:r w:rsidRPr="00DF4B64">
              <w:t>antenna analyser</w:t>
            </w:r>
          </w:p>
          <w:p w:rsidR="00000000" w:rsidRPr="00DF4B64" w:rsidP="00DF4B64">
            <w:pPr>
              <w:pStyle w:val="ListBullet"/>
            </w:pPr>
            <w:r w:rsidRPr="00DF4B64">
              <w:t>BER tester</w:t>
            </w:r>
          </w:p>
          <w:p w:rsidR="00000000" w:rsidRPr="00DF4B64" w:rsidP="00DF4B64">
            <w:pPr>
              <w:pStyle w:val="ListBullet"/>
            </w:pPr>
            <w:r w:rsidRPr="00DF4B64">
              <w:t>cellular radio test set</w:t>
            </w:r>
          </w:p>
          <w:p w:rsidR="00000000" w:rsidRPr="00DF4B64" w:rsidP="00DF4B64">
            <w:pPr>
              <w:pStyle w:val="ListBullet"/>
            </w:pPr>
            <w:r w:rsidRPr="00DF4B64">
              <w:t>constellation analysers</w:t>
            </w:r>
          </w:p>
          <w:p w:rsidR="00000000" w:rsidRPr="00DF4B64" w:rsidP="00DF4B64">
            <w:pPr>
              <w:pStyle w:val="ListBullet"/>
            </w:pPr>
            <w:r w:rsidRPr="00DF4B64">
              <w:t>digital signal level meter</w:t>
            </w:r>
          </w:p>
          <w:p w:rsidR="00000000" w:rsidRPr="00DF4B64" w:rsidP="00DF4B64">
            <w:pPr>
              <w:pStyle w:val="ListBullet"/>
            </w:pPr>
            <w:r w:rsidRPr="00DF4B64">
              <w:t>digital transmission analyser</w:t>
            </w:r>
          </w:p>
          <w:p w:rsidR="00000000" w:rsidRPr="00DF4B64" w:rsidP="00DF4B64">
            <w:pPr>
              <w:pStyle w:val="ListBullet"/>
            </w:pPr>
            <w:r w:rsidRPr="00DF4B64">
              <w:t>directional RF power meter</w:t>
            </w:r>
          </w:p>
          <w:p w:rsidR="00000000" w:rsidRPr="00DF4B64" w:rsidP="00DF4B64">
            <w:pPr>
              <w:pStyle w:val="ListBullet"/>
            </w:pPr>
            <w:r w:rsidRPr="00DF4B64">
              <w:t>dummy load</w:t>
            </w:r>
          </w:p>
          <w:p w:rsidR="00000000" w:rsidRPr="00DF4B64" w:rsidP="00DF4B64">
            <w:pPr>
              <w:pStyle w:val="ListBullet"/>
            </w:pPr>
            <w:r w:rsidRPr="00DF4B64">
              <w:t>termination</w:t>
            </w:r>
          </w:p>
          <w:p w:rsidR="00000000" w:rsidRPr="00DF4B64" w:rsidP="00DF4B64">
            <w:pPr>
              <w:pStyle w:val="ListBullet"/>
            </w:pPr>
            <w:r w:rsidRPr="00DF4B64">
              <w:t>EMI test receiver</w:t>
            </w:r>
          </w:p>
          <w:p w:rsidR="00000000" w:rsidRPr="00DF4B64" w:rsidP="00DF4B64">
            <w:pPr>
              <w:pStyle w:val="ListBullet"/>
            </w:pPr>
            <w:r w:rsidRPr="00DF4B64">
              <w:t>frequency counter</w:t>
            </w:r>
          </w:p>
          <w:p w:rsidR="00000000" w:rsidRPr="00DF4B64" w:rsidP="00DF4B64">
            <w:pPr>
              <w:pStyle w:val="ListBullet"/>
            </w:pPr>
            <w:r w:rsidRPr="00DF4B64">
              <w:t>multimeter</w:t>
            </w:r>
          </w:p>
          <w:p w:rsidR="00000000" w:rsidRPr="00DF4B64" w:rsidP="00DF4B64">
            <w:pPr>
              <w:pStyle w:val="ListBullet"/>
            </w:pPr>
            <w:r w:rsidRPr="00DF4B64">
              <w:t>noise and distortion meter</w:t>
            </w:r>
          </w:p>
          <w:p w:rsidR="00000000" w:rsidRPr="00DF4B64" w:rsidP="00DF4B64">
            <w:pPr>
              <w:pStyle w:val="ListBullet"/>
            </w:pPr>
            <w:r w:rsidRPr="00DF4B64">
              <w:t>oscilloscope</w:t>
            </w:r>
          </w:p>
          <w:p w:rsidR="00000000" w:rsidRPr="00DF4B64" w:rsidP="00DF4B64">
            <w:pPr>
              <w:pStyle w:val="ListBullet"/>
            </w:pPr>
            <w:r w:rsidRPr="00DF4B64">
              <w:t>RF connectors and adaptors</w:t>
            </w:r>
          </w:p>
          <w:p w:rsidR="00000000" w:rsidRPr="00DF4B64" w:rsidP="00DF4B64">
            <w:pPr>
              <w:pStyle w:val="ListBullet"/>
            </w:pPr>
            <w:r w:rsidRPr="00DF4B64">
              <w:t>RF test cables</w:t>
            </w:r>
          </w:p>
          <w:p w:rsidR="00000000" w:rsidRPr="00DF4B64" w:rsidP="00DF4B64">
            <w:pPr>
              <w:pStyle w:val="ListBullet"/>
            </w:pPr>
            <w:r w:rsidRPr="00DF4B64">
              <w:t>return loss measuring equipment</w:t>
            </w:r>
          </w:p>
          <w:p w:rsidR="00000000" w:rsidRPr="00DF4B64" w:rsidP="00DF4B64">
            <w:pPr>
              <w:pStyle w:val="ListBullet"/>
            </w:pPr>
            <w:r w:rsidRPr="00DF4B64">
              <w:t>RF power meter</w:t>
            </w:r>
          </w:p>
          <w:p w:rsidR="00000000" w:rsidRPr="00DF4B64" w:rsidP="00DF4B64">
            <w:pPr>
              <w:pStyle w:val="ListBullet"/>
            </w:pPr>
            <w:r w:rsidRPr="00DF4B64">
              <w:t>RF radiation meter</w:t>
            </w:r>
          </w:p>
          <w:p w:rsidR="00000000" w:rsidRPr="00DF4B64" w:rsidP="00DF4B64">
            <w:pPr>
              <w:pStyle w:val="ListBullet"/>
            </w:pPr>
            <w:r w:rsidRPr="00DF4B64">
              <w:t>RF scalar network analyser</w:t>
            </w:r>
          </w:p>
          <w:p w:rsidR="00000000" w:rsidRPr="00DF4B64" w:rsidP="00DF4B64">
            <w:pPr>
              <w:pStyle w:val="ListBullet"/>
            </w:pPr>
            <w:r w:rsidRPr="00DF4B64">
              <w:t>RF termination</w:t>
            </w:r>
          </w:p>
          <w:p w:rsidR="00000000" w:rsidRPr="00DF4B64" w:rsidP="00DF4B64">
            <w:pPr>
              <w:pStyle w:val="ListBullet"/>
            </w:pPr>
            <w:r w:rsidRPr="00DF4B64">
              <w:t>RF vector network analyser</w:t>
            </w:r>
          </w:p>
          <w:p w:rsidR="00000000" w:rsidRPr="00DF4B64" w:rsidP="00DF4B64">
            <w:pPr>
              <w:pStyle w:val="ListBullet"/>
            </w:pPr>
            <w:r w:rsidRPr="00DF4B64">
              <w:t>spectrum analyser</w:t>
            </w:r>
          </w:p>
          <w:p w:rsidR="00000000" w:rsidRPr="00DF4B64" w:rsidP="00DF4B64">
            <w:pPr>
              <w:pStyle w:val="ListBullet"/>
            </w:pPr>
            <w:r w:rsidRPr="00DF4B64">
              <w:t>switched or variable attenuator.</w:t>
            </w:r>
          </w:p>
        </w:tc>
      </w:tr>
    </w:tbl>
    <w:p w:rsidR="00D23D9A" w:rsidP="00DF4B64">
      <w:pPr>
        <w:pStyle w:val="BodyText"/>
      </w:pPr>
    </w:p>
    <w:p w:rsidR="00D23D9A" w:rsidP="00DF4B64">
      <w:pPr>
        <w:pStyle w:val="BodyText"/>
      </w:pPr>
    </w:p>
    <w:p w:rsidR="00000000" w:rsidRPr="00DF4B64" w:rsidP="00DF4B64">
      <w:pPr>
        <w:pStyle w:val="Heading1"/>
      </w:pPr>
      <w:bookmarkStart w:id="12" w:name="O_209318"/>
      <w:bookmarkEnd w:id="12"/>
      <w:r w:rsidRPr="00DF4B64">
        <w:t>Unit Sector(s)</w:t>
      </w:r>
    </w:p>
    <w:tbl>
      <w:tblPr>
        <w:tblW w:w="0" w:type="auto"/>
        <w:tblLayout w:type="fixed"/>
        <w:tblCellMar>
          <w:left w:w="62" w:type="dxa"/>
          <w:right w:w="62" w:type="dxa"/>
        </w:tblCellMar>
        <w:tblLook w:val="0000"/>
      </w:tblPr>
      <w:tblGrid>
        <w:gridCol w:w="2570"/>
        <w:gridCol w:w="5952"/>
      </w:tblGrid>
      <w:tr w:rsidTr="00D23D9A">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BodyText"/>
              <w:rPr>
                <w:lang w:val="en-NZ"/>
              </w:rPr>
            </w:pPr>
            <w:r w:rsidRPr="00DF4B64">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B64" w:rsidP="00DF4B64">
            <w:pPr>
              <w:pStyle w:val="BodyText"/>
            </w:pPr>
            <w:r w:rsidRPr="00DF4B64">
              <w:t>Telecommunications</w:t>
            </w:r>
          </w:p>
        </w:tc>
      </w:tr>
    </w:tbl>
    <w:p w:rsidR="00D23D9A" w:rsidP="00DF4B64">
      <w:pPr>
        <w:pStyle w:val="BodyText"/>
      </w:pPr>
    </w:p>
    <w:p w:rsidR="00D23D9A" w:rsidP="00DF4B64">
      <w:pPr>
        <w:pStyle w:val="BodyText"/>
      </w:pPr>
    </w:p>
    <w:p w:rsidR="00000000" w:rsidRPr="00DF4B64" w:rsidP="00DF4B64">
      <w:pPr>
        <w:pStyle w:val="Heading1"/>
      </w:pPr>
      <w:bookmarkStart w:id="13" w:name="O_209315"/>
      <w:bookmarkEnd w:id="13"/>
      <w:r w:rsidRPr="00DF4B64">
        <w:t>Co-requisite units</w:t>
      </w:r>
    </w:p>
    <w:tbl>
      <w:tblPr>
        <w:tblW w:w="0" w:type="auto"/>
        <w:tblLayout w:type="fixed"/>
        <w:tblCellMar>
          <w:left w:w="62" w:type="dxa"/>
          <w:right w:w="62" w:type="dxa"/>
        </w:tblCellMar>
        <w:tblLook w:val="0000"/>
      </w:tblPr>
      <w:tblGrid>
        <w:gridCol w:w="2641"/>
        <w:gridCol w:w="1322"/>
        <w:gridCol w:w="4559"/>
      </w:tblGrid>
      <w:tr w:rsidTr="00D23D9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BodyText"/>
              <w:rPr>
                <w:lang w:val="en-NZ"/>
              </w:rPr>
            </w:pPr>
            <w:r w:rsidRPr="00DF4B6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BodyText"/>
              <w:rPr>
                <w:lang w:val="en-NZ"/>
              </w:rPr>
            </w:pPr>
          </w:p>
        </w:tc>
      </w:tr>
      <w:tr w:rsidTr="00D23D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BodyText"/>
              <w:rPr>
                <w:lang w:val="en-NZ"/>
              </w:rPr>
            </w:pPr>
          </w:p>
        </w:tc>
      </w:tr>
      <w:tr w:rsidTr="00D23D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B64" w:rsidP="00DF4B64">
            <w:pPr>
              <w:pStyle w:val="BodyText"/>
            </w:pPr>
          </w:p>
        </w:tc>
      </w:tr>
    </w:tbl>
    <w:p w:rsidR="00D23D9A" w:rsidP="00DF4B64">
      <w:pPr>
        <w:pStyle w:val="BodyText"/>
      </w:pPr>
    </w:p>
    <w:p w:rsidR="00D23D9A" w:rsidP="00DF4B64">
      <w:pPr>
        <w:pStyle w:val="BodyText"/>
      </w:pPr>
    </w:p>
    <w:p w:rsidR="00000000" w:rsidRPr="00DF4B64" w:rsidP="00DF4B64">
      <w:pPr>
        <w:pStyle w:val="Heading1"/>
      </w:pPr>
      <w:bookmarkStart w:id="14" w:name="O_209317"/>
      <w:bookmarkEnd w:id="14"/>
      <w:r w:rsidRPr="00DF4B64">
        <w:t>Competency field</w:t>
      </w:r>
    </w:p>
    <w:tbl>
      <w:tblPr>
        <w:tblW w:w="0" w:type="auto"/>
        <w:tblLayout w:type="fixed"/>
        <w:tblCellMar>
          <w:left w:w="62" w:type="dxa"/>
          <w:right w:w="62" w:type="dxa"/>
        </w:tblCellMar>
        <w:tblLook w:val="0000"/>
      </w:tblPr>
      <w:tblGrid>
        <w:gridCol w:w="2779"/>
        <w:gridCol w:w="5743"/>
      </w:tblGrid>
      <w:tr w:rsidTr="00D23D9A">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4">
            <w:pPr>
              <w:pStyle w:val="BodyText"/>
              <w:rPr>
                <w:lang w:val="en-NZ"/>
              </w:rPr>
            </w:pPr>
            <w:r w:rsidRPr="00DF4B64">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B64" w:rsidP="00DF4B64">
            <w:pPr>
              <w:pStyle w:val="BodyText"/>
            </w:pPr>
            <w:r w:rsidRPr="00DF4B64">
              <w:t>Radio frequency networks</w:t>
            </w:r>
          </w:p>
        </w:tc>
      </w:tr>
    </w:tbl>
    <w:p w:rsidR="00D23D9A" w:rsidP="00DF4B64">
      <w:pPr>
        <w:pStyle w:val="BodyText"/>
      </w:pPr>
    </w:p>
    <w:p w:rsidR="00D23D9A" w:rsidP="00DF4B64">
      <w:pPr>
        <w:pStyle w:val="BodyText"/>
      </w:pPr>
    </w:p>
    <w:p w:rsidR="00000000" w:rsidRPr="00DF4B64" w:rsidP="00DF4B64"/>
    <w:sectPr w:rsidSect="00DF4B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B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3D9A" w:rsidP="00D23D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B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D9A" w:rsidP="00DF4B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23D9A" w:rsidP="00DF4B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23D9A" w:rsidP="00DF4B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B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3D9A" w:rsidP="00D23D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B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D9A" w:rsidP="00DF4B64">
    <w:pPr>
      <w:pStyle w:val="Header"/>
      <w:framePr w:wrap="around"/>
    </w:pPr>
    <w:r>
      <w:fldChar w:fldCharType="begin"/>
    </w:r>
    <w:r>
      <w:instrText xml:space="preserve"> TITLE   \* MERGEFORMAT </w:instrText>
    </w:r>
    <w:r>
      <w:fldChar w:fldCharType="separate"/>
    </w:r>
    <w:r>
      <w:t>ICTRFN4095A Conduct radio frequency measurements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23D9A" w:rsidP="00DF4B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B61F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3840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AAE6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B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4B64"/>
    <w:pPr>
      <w:spacing w:before="360" w:after="60"/>
      <w:outlineLvl w:val="0"/>
    </w:pPr>
    <w:rPr>
      <w:sz w:val="32"/>
    </w:rPr>
  </w:style>
  <w:style w:type="paragraph" w:styleId="Heading2">
    <w:name w:val="heading 2"/>
    <w:basedOn w:val="HeadingBase"/>
    <w:next w:val="BodyText"/>
    <w:link w:val="Heading2Char"/>
    <w:qFormat/>
    <w:rsid w:val="00DF4B64"/>
    <w:pPr>
      <w:keepLines/>
      <w:spacing w:before="240" w:after="120"/>
      <w:outlineLvl w:val="1"/>
    </w:pPr>
    <w:rPr>
      <w:sz w:val="28"/>
      <w:szCs w:val="40"/>
    </w:rPr>
  </w:style>
  <w:style w:type="paragraph" w:styleId="Heading3">
    <w:name w:val="heading 3"/>
    <w:basedOn w:val="HeadingBase"/>
    <w:next w:val="BodyText"/>
    <w:link w:val="Heading3Char"/>
    <w:qFormat/>
    <w:rsid w:val="00DF4B64"/>
    <w:pPr>
      <w:spacing w:before="180" w:after="120"/>
      <w:outlineLvl w:val="2"/>
    </w:pPr>
    <w:rPr>
      <w:spacing w:val="-10"/>
      <w:kern w:val="32"/>
    </w:rPr>
  </w:style>
  <w:style w:type="paragraph" w:styleId="Heading4">
    <w:name w:val="heading 4"/>
    <w:basedOn w:val="HeadingBase"/>
    <w:next w:val="BodyText"/>
    <w:link w:val="Heading4Char"/>
    <w:qFormat/>
    <w:rsid w:val="00DF4B64"/>
    <w:pPr>
      <w:spacing w:before="160" w:after="120"/>
      <w:outlineLvl w:val="3"/>
    </w:pPr>
    <w:rPr>
      <w:sz w:val="22"/>
    </w:rPr>
  </w:style>
  <w:style w:type="paragraph" w:styleId="Heading5">
    <w:name w:val="heading 5"/>
    <w:basedOn w:val="HeadingBase"/>
    <w:next w:val="Normal"/>
    <w:link w:val="Heading5Char"/>
    <w:qFormat/>
    <w:rsid w:val="00DF4B64"/>
    <w:pPr>
      <w:spacing w:before="80"/>
      <w:outlineLvl w:val="4"/>
    </w:pPr>
    <w:rPr>
      <w:color w:val="918585"/>
      <w:sz w:val="20"/>
    </w:rPr>
  </w:style>
  <w:style w:type="paragraph" w:styleId="Heading6">
    <w:name w:val="heading 6"/>
    <w:basedOn w:val="HeadingBase"/>
    <w:next w:val="Normal"/>
    <w:link w:val="Heading6Char"/>
    <w:qFormat/>
    <w:rsid w:val="00DF4B64"/>
    <w:pPr>
      <w:spacing w:before="60"/>
      <w:outlineLvl w:val="5"/>
    </w:pPr>
    <w:rPr>
      <w:color w:val="918585"/>
      <w:sz w:val="20"/>
    </w:rPr>
  </w:style>
  <w:style w:type="paragraph" w:styleId="Heading7">
    <w:name w:val="heading 7"/>
    <w:basedOn w:val="Normal"/>
    <w:next w:val="Normal"/>
    <w:link w:val="Heading7Char"/>
    <w:qFormat/>
    <w:rsid w:val="00DF4B64"/>
    <w:pPr>
      <w:ind w:left="720"/>
      <w:outlineLvl w:val="6"/>
    </w:pPr>
    <w:rPr>
      <w:i/>
    </w:rPr>
  </w:style>
  <w:style w:type="paragraph" w:styleId="Heading8">
    <w:name w:val="heading 8"/>
    <w:basedOn w:val="Normal"/>
    <w:next w:val="Normal"/>
    <w:link w:val="Heading8Char"/>
    <w:qFormat/>
    <w:rsid w:val="00DF4B64"/>
    <w:pPr>
      <w:ind w:left="720"/>
      <w:outlineLvl w:val="7"/>
    </w:pPr>
    <w:rPr>
      <w:i/>
    </w:rPr>
  </w:style>
  <w:style w:type="paragraph" w:styleId="Heading9">
    <w:name w:val="heading 9"/>
    <w:basedOn w:val="Normal"/>
    <w:next w:val="Normal"/>
    <w:link w:val="Heading9Char"/>
    <w:qFormat/>
    <w:rsid w:val="00DF4B64"/>
    <w:pPr>
      <w:ind w:left="720"/>
      <w:outlineLvl w:val="8"/>
    </w:pPr>
    <w:rPr>
      <w:i/>
    </w:rPr>
  </w:style>
  <w:style w:type="character" w:default="1" w:styleId="DefaultParagraphFont">
    <w:name w:val="Default Paragraph Font"/>
    <w:uiPriority w:val="1"/>
    <w:unhideWhenUsed/>
    <w:rsid w:val="00DF4B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B64"/>
  </w:style>
  <w:style w:type="character" w:customStyle="1" w:styleId="Heading1Char">
    <w:name w:val="Heading 1 Char"/>
    <w:basedOn w:val="DefaultParagraphFont"/>
    <w:link w:val="Heading1"/>
    <w:rsid w:val="00DF4B64"/>
    <w:rPr>
      <w:rFonts w:ascii="Times New Roman" w:eastAsia="Times New Roman" w:hAnsi="Times New Roman" w:cs="Times New Roman"/>
      <w:b/>
      <w:sz w:val="32"/>
      <w:szCs w:val="20"/>
      <w:lang w:eastAsia="en-US"/>
    </w:rPr>
  </w:style>
  <w:style w:type="paragraph" w:styleId="BodyText">
    <w:name w:val="Body Text"/>
    <w:basedOn w:val="Normal"/>
    <w:link w:val="BodyTextChar"/>
    <w:rsid w:val="00DF4B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4B64"/>
    <w:rPr>
      <w:rFonts w:ascii="Times New Roman" w:eastAsia="Times New Roman" w:hAnsi="Times New Roman" w:cs="Times New Roman"/>
      <w:sz w:val="24"/>
      <w:lang w:val="en-US" w:eastAsia="en-US"/>
    </w:rPr>
  </w:style>
  <w:style w:type="paragraph" w:styleId="Footer">
    <w:name w:val="footer"/>
    <w:basedOn w:val="Normal"/>
    <w:link w:val="FooterChar"/>
    <w:rsid w:val="00DF4B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4B64"/>
    <w:rPr>
      <w:rFonts w:ascii="Times New Roman" w:eastAsia="Times New Roman" w:hAnsi="Times New Roman" w:cs="Times New Roman"/>
      <w:sz w:val="16"/>
      <w:lang w:val="en-US" w:eastAsia="en-US"/>
    </w:rPr>
  </w:style>
  <w:style w:type="paragraph" w:styleId="List">
    <w:name w:val="List"/>
    <w:basedOn w:val="BodyText"/>
    <w:next w:val="BodyText"/>
    <w:rsid w:val="00DF4B64"/>
    <w:pPr>
      <w:tabs>
        <w:tab w:val="left" w:pos="340"/>
      </w:tabs>
      <w:spacing w:before="60" w:after="60"/>
      <w:ind w:left="340" w:hanging="340"/>
    </w:pPr>
  </w:style>
  <w:style w:type="paragraph" w:styleId="ListBullet">
    <w:name w:val="List Bullet"/>
    <w:basedOn w:val="List"/>
    <w:rsid w:val="00DF4B64"/>
    <w:pPr>
      <w:numPr>
        <w:numId w:val="14"/>
      </w:numPr>
      <w:tabs>
        <w:tab w:val="clear" w:pos="340"/>
      </w:tabs>
      <w:spacing w:before="40" w:after="40"/>
    </w:pPr>
  </w:style>
  <w:style w:type="character" w:customStyle="1" w:styleId="SpecialBold">
    <w:name w:val="Special Bold"/>
    <w:basedOn w:val="DefaultParagraphFont"/>
    <w:rsid w:val="00DF4B64"/>
    <w:rPr>
      <w:b/>
      <w:spacing w:val="0"/>
    </w:rPr>
  </w:style>
  <w:style w:type="paragraph" w:styleId="ListBullet2">
    <w:name w:val="List Bullet 2"/>
    <w:basedOn w:val="List2"/>
    <w:rsid w:val="00DF4B64"/>
    <w:pPr>
      <w:numPr>
        <w:numId w:val="15"/>
      </w:numPr>
      <w:tabs>
        <w:tab w:val="clear" w:pos="680"/>
      </w:tabs>
    </w:pPr>
  </w:style>
  <w:style w:type="paragraph" w:styleId="Header">
    <w:name w:val="header"/>
    <w:basedOn w:val="Normal"/>
    <w:link w:val="HeaderChar"/>
    <w:rsid w:val="00DF4B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4B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4B64"/>
    <w:pPr>
      <w:spacing w:before="240" w:after="120"/>
      <w:outlineLvl w:val="0"/>
    </w:pPr>
    <w:rPr>
      <w:rFonts w:ascii="Times New Roman" w:hAnsi="Times New Roman"/>
      <w:b/>
      <w:sz w:val="28"/>
    </w:rPr>
  </w:style>
  <w:style w:type="paragraph" w:customStyle="1" w:styleId="AllowPageBreak">
    <w:name w:val="AllowPageBreak"/>
    <w:rsid w:val="00DF4B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4B64"/>
    <w:pPr>
      <w:tabs>
        <w:tab w:val="left" w:pos="680"/>
      </w:tabs>
      <w:spacing w:before="60" w:after="60"/>
      <w:ind w:left="680" w:hanging="340"/>
    </w:pPr>
  </w:style>
  <w:style w:type="paragraph" w:styleId="ListBullet3">
    <w:name w:val="List Bullet 3"/>
    <w:basedOn w:val="List3"/>
    <w:rsid w:val="00DF4B64"/>
    <w:pPr>
      <w:numPr>
        <w:numId w:val="3"/>
      </w:numPr>
      <w:tabs>
        <w:tab w:val="clear" w:pos="1021"/>
      </w:tabs>
      <w:ind w:left="1037" w:hanging="357"/>
    </w:pPr>
  </w:style>
  <w:style w:type="character" w:customStyle="1" w:styleId="BoldandItalics">
    <w:name w:val="Bold and Italics"/>
    <w:qFormat/>
    <w:rsid w:val="00DF4B64"/>
    <w:rPr>
      <w:b/>
      <w:i/>
      <w:u w:val="none"/>
    </w:rPr>
  </w:style>
  <w:style w:type="character" w:customStyle="1" w:styleId="Heading2Char">
    <w:name w:val="Heading 2 Char"/>
    <w:basedOn w:val="DefaultParagraphFont"/>
    <w:link w:val="Heading2"/>
    <w:rsid w:val="00DF4B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4B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4B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4B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4B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B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4B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4B64"/>
    <w:rPr>
      <w:rFonts w:ascii="Courier New" w:eastAsia="Times New Roman" w:hAnsi="Courier New" w:cs="Times New Roman"/>
      <w:i/>
      <w:szCs w:val="20"/>
      <w:lang w:val="en-US" w:eastAsia="en-US"/>
    </w:rPr>
  </w:style>
  <w:style w:type="paragraph" w:customStyle="1" w:styleId="HeadingBase">
    <w:name w:val="Heading Base"/>
    <w:rsid w:val="00DF4B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B64"/>
    <w:pPr>
      <w:tabs>
        <w:tab w:val="right" w:leader="dot" w:pos="9072"/>
      </w:tabs>
      <w:ind w:left="567"/>
    </w:pPr>
    <w:rPr>
      <w:szCs w:val="22"/>
    </w:rPr>
  </w:style>
  <w:style w:type="paragraph" w:customStyle="1" w:styleId="TOCBase">
    <w:name w:val="TOC Base"/>
    <w:rsid w:val="00DF4B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B64"/>
    <w:pPr>
      <w:tabs>
        <w:tab w:val="right" w:leader="dot" w:pos="9072"/>
      </w:tabs>
      <w:spacing w:before="40" w:after="40"/>
      <w:ind w:left="284"/>
    </w:pPr>
    <w:rPr>
      <w:rFonts w:ascii="Times New Roman" w:hAnsi="Times New Roman"/>
    </w:rPr>
  </w:style>
  <w:style w:type="paragraph" w:styleId="TOC1">
    <w:name w:val="toc 1"/>
    <w:basedOn w:val="TOCBase"/>
    <w:next w:val="Normal"/>
    <w:rsid w:val="00DF4B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4B64"/>
    <w:pPr>
      <w:spacing w:before="5040"/>
      <w:jc w:val="center"/>
    </w:pPr>
    <w:rPr>
      <w:sz w:val="48"/>
      <w:szCs w:val="72"/>
      <w:lang w:val="en-US"/>
    </w:rPr>
  </w:style>
  <w:style w:type="character" w:customStyle="1" w:styleId="TitleChar">
    <w:name w:val="Title Char"/>
    <w:basedOn w:val="DefaultParagraphFont"/>
    <w:link w:val="Title"/>
    <w:rsid w:val="00DF4B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B64"/>
    <w:pPr>
      <w:tabs>
        <w:tab w:val="left" w:pos="3600"/>
        <w:tab w:val="left" w:pos="3958"/>
      </w:tabs>
    </w:pPr>
  </w:style>
  <w:style w:type="paragraph" w:customStyle="1" w:styleId="Note">
    <w:name w:val="Note"/>
    <w:basedOn w:val="BodyText"/>
    <w:rsid w:val="00DF4B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B64"/>
    <w:pPr>
      <w:framePr w:wrap="auto" w:hAnchor="text" w:y="6049"/>
    </w:pPr>
    <w:rPr>
      <w:color w:val="000000"/>
      <w:sz w:val="40"/>
    </w:rPr>
  </w:style>
  <w:style w:type="paragraph" w:customStyle="1" w:styleId="TOCTitle">
    <w:name w:val="TOCTitle"/>
    <w:basedOn w:val="Heading1"/>
    <w:rsid w:val="00DF4B64"/>
    <w:pPr>
      <w:spacing w:after="240"/>
      <w:jc w:val="center"/>
      <w:outlineLvl w:val="9"/>
    </w:pPr>
    <w:rPr>
      <w:caps/>
    </w:rPr>
  </w:style>
  <w:style w:type="paragraph" w:customStyle="1" w:styleId="Version">
    <w:name w:val="Version"/>
    <w:rsid w:val="00DF4B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4B64"/>
    <w:pPr>
      <w:keepNext w:val="0"/>
      <w:tabs>
        <w:tab w:val="right" w:pos="4176"/>
      </w:tabs>
      <w:ind w:left="198" w:hanging="198"/>
    </w:pPr>
    <w:rPr>
      <w:rFonts w:ascii="Garamond" w:hAnsi="Garamond"/>
    </w:rPr>
  </w:style>
  <w:style w:type="paragraph" w:styleId="IndexHeading">
    <w:name w:val="index heading"/>
    <w:basedOn w:val="Normal"/>
    <w:next w:val="Index1"/>
    <w:semiHidden/>
    <w:rsid w:val="00DF4B64"/>
    <w:pPr>
      <w:spacing w:before="120" w:after="120"/>
    </w:pPr>
    <w:rPr>
      <w:rFonts w:ascii="Arial" w:hAnsi="Arial"/>
      <w:b/>
      <w:color w:val="918585"/>
      <w:sz w:val="24"/>
    </w:rPr>
  </w:style>
  <w:style w:type="paragraph" w:customStyle="1" w:styleId="Chapter">
    <w:name w:val="Chapter"/>
    <w:basedOn w:val="Normal"/>
    <w:rsid w:val="00DF4B64"/>
    <w:pPr>
      <w:spacing w:before="240"/>
    </w:pPr>
    <w:rPr>
      <w:rFonts w:ascii="Times New Roman" w:hAnsi="Times New Roman"/>
      <w:smallCaps/>
      <w:spacing w:val="80"/>
      <w:sz w:val="28"/>
    </w:rPr>
  </w:style>
  <w:style w:type="paragraph" w:customStyle="1" w:styleId="InChapter">
    <w:name w:val="InChapter"/>
    <w:basedOn w:val="Heading3"/>
    <w:rsid w:val="00DF4B64"/>
    <w:pPr>
      <w:spacing w:after="240"/>
      <w:outlineLvl w:val="9"/>
    </w:pPr>
    <w:rPr>
      <w:noProof/>
    </w:rPr>
  </w:style>
  <w:style w:type="paragraph" w:styleId="Index2">
    <w:name w:val="index 2"/>
    <w:basedOn w:val="Normal"/>
    <w:next w:val="Normal"/>
    <w:semiHidden/>
    <w:rsid w:val="00DF4B64"/>
    <w:pPr>
      <w:tabs>
        <w:tab w:val="right" w:pos="4176"/>
      </w:tabs>
      <w:ind w:left="568" w:hanging="284"/>
    </w:pPr>
    <w:rPr>
      <w:rFonts w:ascii="Garamond" w:hAnsi="Garamond"/>
    </w:rPr>
  </w:style>
  <w:style w:type="paragraph" w:customStyle="1" w:styleId="Byline">
    <w:name w:val="Byline"/>
    <w:rsid w:val="00DF4B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B64"/>
    <w:pPr>
      <w:tabs>
        <w:tab w:val="clear" w:pos="3600"/>
        <w:tab w:val="clear" w:pos="3958"/>
      </w:tabs>
      <w:jc w:val="right"/>
    </w:pPr>
  </w:style>
  <w:style w:type="character" w:styleId="Emphasis">
    <w:name w:val="Emphasis"/>
    <w:basedOn w:val="DefaultParagraphFont"/>
    <w:qFormat/>
    <w:rsid w:val="00DF4B64"/>
    <w:rPr>
      <w:i/>
    </w:rPr>
  </w:style>
  <w:style w:type="paragraph" w:styleId="Caption">
    <w:name w:val="caption"/>
    <w:basedOn w:val="BodyText"/>
    <w:next w:val="Normal"/>
    <w:qFormat/>
    <w:rsid w:val="00DF4B64"/>
    <w:pPr>
      <w:framePr w:w="2268" w:hSpace="181" w:vSpace="181" w:wrap="around" w:vAnchor="text" w:hAnchor="page" w:x="1135" w:y="285" w:anchorLock="1"/>
    </w:pPr>
    <w:rPr>
      <w:i/>
    </w:rPr>
  </w:style>
  <w:style w:type="paragraph" w:customStyle="1" w:styleId="MiniTOCTitle">
    <w:name w:val="MiniTOCTitle"/>
    <w:basedOn w:val="Heading4"/>
    <w:rsid w:val="00DF4B64"/>
    <w:pPr>
      <w:spacing w:before="240"/>
      <w:outlineLvl w:val="9"/>
    </w:pPr>
    <w:rPr>
      <w:noProof/>
      <w:sz w:val="24"/>
    </w:rPr>
  </w:style>
  <w:style w:type="paragraph" w:customStyle="1" w:styleId="MiniTOCItem">
    <w:name w:val="MiniTOCItem"/>
    <w:basedOn w:val="ListBullet"/>
    <w:rsid w:val="00DF4B64"/>
    <w:pPr>
      <w:numPr>
        <w:numId w:val="0"/>
      </w:numPr>
      <w:tabs>
        <w:tab w:val="right" w:leader="dot" w:pos="6521"/>
      </w:tabs>
      <w:spacing w:before="0" w:after="0"/>
    </w:pPr>
  </w:style>
  <w:style w:type="paragraph" w:customStyle="1" w:styleId="TOFTitle">
    <w:name w:val="TOFTitle"/>
    <w:basedOn w:val="TOCTitle"/>
    <w:rsid w:val="00DF4B64"/>
  </w:style>
  <w:style w:type="paragraph" w:styleId="TableofFigures">
    <w:name w:val="table of figures"/>
    <w:basedOn w:val="Normal"/>
    <w:next w:val="Normal"/>
    <w:semiHidden/>
    <w:rsid w:val="00DF4B64"/>
    <w:pPr>
      <w:tabs>
        <w:tab w:val="right" w:leader="dot" w:pos="9072"/>
      </w:tabs>
      <w:ind w:left="970" w:hanging="403"/>
    </w:pPr>
    <w:rPr>
      <w:rFonts w:ascii="Times New Roman" w:hAnsi="Times New Roman"/>
      <w:b/>
    </w:rPr>
  </w:style>
  <w:style w:type="paragraph" w:styleId="ListNumber">
    <w:name w:val="List Number"/>
    <w:basedOn w:val="List"/>
    <w:rsid w:val="00DF4B64"/>
    <w:pPr>
      <w:numPr>
        <w:numId w:val="12"/>
      </w:numPr>
    </w:pPr>
  </w:style>
  <w:style w:type="character" w:customStyle="1" w:styleId="WingdingSymbols">
    <w:name w:val="Wingding Symbols"/>
    <w:rsid w:val="00DF4B64"/>
    <w:rPr>
      <w:rFonts w:ascii="Wingdings" w:hAnsi="Wingdings"/>
    </w:rPr>
  </w:style>
  <w:style w:type="paragraph" w:customStyle="1" w:styleId="TableHeading">
    <w:name w:val="Table Heading"/>
    <w:basedOn w:val="HeadingBase"/>
    <w:rsid w:val="00DF4B64"/>
    <w:pPr>
      <w:keepLines/>
      <w:pBdr>
        <w:bottom w:val="single" w:sz="6" w:space="1" w:color="918585"/>
      </w:pBdr>
      <w:spacing w:before="240"/>
    </w:pPr>
  </w:style>
  <w:style w:type="character" w:customStyle="1" w:styleId="HotSpot">
    <w:name w:val="HotSpot"/>
    <w:rsid w:val="00DF4B64"/>
    <w:rPr>
      <w:color w:val="0033CC"/>
      <w:u w:val="none"/>
    </w:rPr>
  </w:style>
  <w:style w:type="paragraph" w:customStyle="1" w:styleId="BodyTextRight">
    <w:name w:val="Body Text Right"/>
    <w:basedOn w:val="BodyText"/>
    <w:rsid w:val="00DF4B64"/>
    <w:pPr>
      <w:spacing w:before="0" w:after="0"/>
      <w:jc w:val="right"/>
    </w:pPr>
  </w:style>
  <w:style w:type="paragraph" w:styleId="Index3">
    <w:name w:val="index 3"/>
    <w:basedOn w:val="ListNumber2"/>
    <w:next w:val="Normal"/>
    <w:semiHidden/>
    <w:rsid w:val="00DF4B64"/>
    <w:pPr>
      <w:numPr>
        <w:numId w:val="0"/>
      </w:numPr>
      <w:tabs>
        <w:tab w:val="right" w:leader="dot" w:pos="4176"/>
      </w:tabs>
    </w:pPr>
  </w:style>
  <w:style w:type="paragraph" w:styleId="ListNumber2">
    <w:name w:val="List Number 2"/>
    <w:basedOn w:val="List2"/>
    <w:rsid w:val="00DF4B64"/>
    <w:pPr>
      <w:numPr>
        <w:numId w:val="11"/>
      </w:numPr>
      <w:tabs>
        <w:tab w:val="clear" w:pos="1060"/>
      </w:tabs>
    </w:pPr>
  </w:style>
  <w:style w:type="paragraph" w:customStyle="1" w:styleId="MarginNote">
    <w:name w:val="Margin Note"/>
    <w:basedOn w:val="BodyText"/>
    <w:rsid w:val="00DF4B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B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4B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4B64"/>
    <w:rPr>
      <w:sz w:val="32"/>
    </w:rPr>
  </w:style>
  <w:style w:type="paragraph" w:customStyle="1" w:styleId="HeadingProcedure">
    <w:name w:val="Heading Procedure"/>
    <w:basedOn w:val="HeadingBase"/>
    <w:next w:val="Normal"/>
    <w:rsid w:val="00DF4B64"/>
    <w:pPr>
      <w:tabs>
        <w:tab w:val="left" w:pos="0"/>
      </w:tabs>
      <w:spacing w:before="120" w:after="60"/>
    </w:pPr>
    <w:rPr>
      <w:i/>
      <w:color w:val="918585"/>
      <w:sz w:val="22"/>
    </w:rPr>
  </w:style>
  <w:style w:type="paragraph" w:customStyle="1" w:styleId="TableBodyText">
    <w:name w:val="Table Body Text"/>
    <w:basedOn w:val="BodyText"/>
    <w:rsid w:val="00DF4B64"/>
    <w:pPr>
      <w:spacing w:before="60" w:after="60"/>
    </w:pPr>
  </w:style>
  <w:style w:type="paragraph" w:styleId="ListContinue">
    <w:name w:val="List Continue"/>
    <w:basedOn w:val="List"/>
    <w:rsid w:val="00DF4B64"/>
    <w:pPr>
      <w:ind w:firstLine="0"/>
    </w:pPr>
  </w:style>
  <w:style w:type="paragraph" w:customStyle="1" w:styleId="ListNote">
    <w:name w:val="List Note"/>
    <w:basedOn w:val="List"/>
    <w:rsid w:val="00DF4B64"/>
    <w:pPr>
      <w:pBdr>
        <w:top w:val="single" w:sz="6" w:space="2" w:color="918585"/>
        <w:bottom w:val="single" w:sz="6" w:space="2" w:color="918585"/>
      </w:pBdr>
      <w:tabs>
        <w:tab w:val="left" w:pos="1021"/>
      </w:tabs>
      <w:ind w:firstLine="0"/>
    </w:pPr>
  </w:style>
  <w:style w:type="paragraph" w:customStyle="1" w:styleId="Warning">
    <w:name w:val="Warning"/>
    <w:basedOn w:val="BodyText"/>
    <w:rsid w:val="00DF4B64"/>
    <w:pPr>
      <w:shd w:val="clear" w:color="auto" w:fill="D9D9D9"/>
      <w:tabs>
        <w:tab w:val="left" w:pos="992"/>
      </w:tabs>
      <w:ind w:left="119" w:right="119"/>
    </w:pPr>
    <w:rPr>
      <w:sz w:val="20"/>
    </w:rPr>
  </w:style>
  <w:style w:type="paragraph" w:customStyle="1" w:styleId="MarginIcons">
    <w:name w:val="Margin Icons"/>
    <w:basedOn w:val="BodyText"/>
    <w:rsid w:val="00DF4B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4B64"/>
    <w:rPr>
      <w:rFonts w:ascii="Courier New" w:hAnsi="Courier New"/>
    </w:rPr>
  </w:style>
  <w:style w:type="paragraph" w:customStyle="1" w:styleId="NoteBullet">
    <w:name w:val="Note Bullet"/>
    <w:basedOn w:val="Note"/>
    <w:rsid w:val="00DF4B64"/>
    <w:pPr>
      <w:tabs>
        <w:tab w:val="clear" w:pos="680"/>
      </w:tabs>
      <w:spacing w:before="60" w:after="60"/>
    </w:pPr>
  </w:style>
  <w:style w:type="paragraph" w:customStyle="1" w:styleId="SubHeading2">
    <w:name w:val="SubHeading2"/>
    <w:basedOn w:val="HeadingBase"/>
    <w:rsid w:val="00DF4B64"/>
    <w:pPr>
      <w:spacing w:before="240" w:after="60"/>
    </w:pPr>
    <w:rPr>
      <w:sz w:val="20"/>
    </w:rPr>
  </w:style>
  <w:style w:type="paragraph" w:customStyle="1" w:styleId="SubHeading1">
    <w:name w:val="SubHeading1"/>
    <w:basedOn w:val="HeadingBase"/>
    <w:rsid w:val="00DF4B64"/>
    <w:pPr>
      <w:spacing w:before="240" w:after="60"/>
    </w:pPr>
    <w:rPr>
      <w:color w:val="918585"/>
      <w:sz w:val="22"/>
    </w:rPr>
  </w:style>
  <w:style w:type="paragraph" w:customStyle="1" w:styleId="SideHeading">
    <w:name w:val="Side Heading"/>
    <w:basedOn w:val="HeadingBase"/>
    <w:rsid w:val="00DF4B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B64"/>
    <w:pPr>
      <w:numPr>
        <w:numId w:val="13"/>
      </w:numPr>
    </w:pPr>
  </w:style>
  <w:style w:type="paragraph" w:styleId="PlainText">
    <w:name w:val="Plain Text"/>
    <w:basedOn w:val="Normal"/>
    <w:link w:val="PlainTextChar"/>
    <w:rsid w:val="00DF4B64"/>
    <w:rPr>
      <w:sz w:val="20"/>
    </w:rPr>
  </w:style>
  <w:style w:type="character" w:customStyle="1" w:styleId="PlainTextChar">
    <w:name w:val="Plain Text Char"/>
    <w:basedOn w:val="DefaultParagraphFont"/>
    <w:link w:val="PlainText"/>
    <w:rsid w:val="00DF4B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4B64"/>
    <w:rPr>
      <w:b/>
      <w:smallCaps/>
    </w:rPr>
  </w:style>
  <w:style w:type="paragraph" w:customStyle="1" w:styleId="TableListNumber">
    <w:name w:val="Table List Number"/>
    <w:basedOn w:val="ListNumber"/>
    <w:rsid w:val="00DF4B64"/>
    <w:pPr>
      <w:numPr>
        <w:numId w:val="0"/>
      </w:numPr>
    </w:pPr>
  </w:style>
  <w:style w:type="paragraph" w:styleId="TOC4">
    <w:name w:val="toc 4"/>
    <w:basedOn w:val="TOCBase"/>
    <w:next w:val="Normal"/>
    <w:semiHidden/>
    <w:rsid w:val="00DF4B64"/>
    <w:pPr>
      <w:tabs>
        <w:tab w:val="right" w:leader="dot" w:pos="9071"/>
      </w:tabs>
      <w:ind w:left="1701"/>
    </w:pPr>
  </w:style>
  <w:style w:type="paragraph" w:customStyle="1" w:styleId="ListAlpha">
    <w:name w:val="List Alpha"/>
    <w:basedOn w:val="List"/>
    <w:rsid w:val="00DF4B64"/>
    <w:pPr>
      <w:numPr>
        <w:numId w:val="10"/>
      </w:numPr>
    </w:pPr>
  </w:style>
  <w:style w:type="paragraph" w:customStyle="1" w:styleId="ListAlpha2">
    <w:name w:val="List Alpha 2"/>
    <w:basedOn w:val="List2"/>
    <w:rsid w:val="00DF4B64"/>
    <w:pPr>
      <w:numPr>
        <w:numId w:val="9"/>
      </w:numPr>
    </w:pPr>
  </w:style>
  <w:style w:type="paragraph" w:styleId="List3">
    <w:name w:val="List 3"/>
    <w:basedOn w:val="BodyText"/>
    <w:rsid w:val="00DF4B64"/>
    <w:pPr>
      <w:tabs>
        <w:tab w:val="left" w:pos="1021"/>
      </w:tabs>
      <w:spacing w:before="60" w:after="60"/>
      <w:ind w:left="1020" w:hanging="340"/>
    </w:pPr>
  </w:style>
  <w:style w:type="paragraph" w:styleId="List4">
    <w:name w:val="List 4"/>
    <w:basedOn w:val="BodyText"/>
    <w:rsid w:val="00DF4B64"/>
    <w:pPr>
      <w:tabs>
        <w:tab w:val="left" w:pos="1361"/>
      </w:tabs>
      <w:spacing w:before="60" w:after="60"/>
      <w:ind w:left="1361" w:hanging="340"/>
    </w:pPr>
  </w:style>
  <w:style w:type="paragraph" w:styleId="List5">
    <w:name w:val="List 5"/>
    <w:basedOn w:val="BodyText"/>
    <w:rsid w:val="00DF4B64"/>
    <w:pPr>
      <w:tabs>
        <w:tab w:val="left" w:pos="1701"/>
      </w:tabs>
      <w:spacing w:before="60" w:after="60"/>
      <w:ind w:left="1701" w:hanging="340"/>
    </w:pPr>
  </w:style>
  <w:style w:type="paragraph" w:styleId="ListBullet4">
    <w:name w:val="List Bullet 4"/>
    <w:basedOn w:val="List4"/>
    <w:rsid w:val="00DF4B64"/>
    <w:pPr>
      <w:numPr>
        <w:numId w:val="4"/>
      </w:numPr>
    </w:pPr>
  </w:style>
  <w:style w:type="paragraph" w:styleId="ListBullet5">
    <w:name w:val="List Bullet 5"/>
    <w:basedOn w:val="List5"/>
    <w:rsid w:val="00DF4B64"/>
    <w:pPr>
      <w:numPr>
        <w:numId w:val="5"/>
      </w:numPr>
    </w:pPr>
  </w:style>
  <w:style w:type="paragraph" w:styleId="ListContinue2">
    <w:name w:val="List Continue 2"/>
    <w:basedOn w:val="List2"/>
    <w:rsid w:val="00DF4B64"/>
    <w:pPr>
      <w:ind w:firstLine="0"/>
    </w:pPr>
  </w:style>
  <w:style w:type="paragraph" w:styleId="ListContinue3">
    <w:name w:val="List Continue 3"/>
    <w:basedOn w:val="List3"/>
    <w:rsid w:val="00DF4B64"/>
    <w:pPr>
      <w:ind w:left="1021" w:firstLine="0"/>
    </w:pPr>
  </w:style>
  <w:style w:type="paragraph" w:styleId="ListContinue4">
    <w:name w:val="List Continue 4"/>
    <w:basedOn w:val="List4"/>
    <w:rsid w:val="00DF4B64"/>
    <w:pPr>
      <w:ind w:firstLine="0"/>
    </w:pPr>
  </w:style>
  <w:style w:type="paragraph" w:styleId="ListContinue5">
    <w:name w:val="List Continue 5"/>
    <w:basedOn w:val="List5"/>
    <w:rsid w:val="00DF4B64"/>
    <w:pPr>
      <w:ind w:firstLine="0"/>
    </w:pPr>
  </w:style>
  <w:style w:type="paragraph" w:styleId="ListNumber3">
    <w:name w:val="List Number 3"/>
    <w:basedOn w:val="List3"/>
    <w:rsid w:val="00DF4B64"/>
    <w:pPr>
      <w:numPr>
        <w:numId w:val="6"/>
      </w:numPr>
    </w:pPr>
  </w:style>
  <w:style w:type="paragraph" w:styleId="ListNumber4">
    <w:name w:val="List Number 4"/>
    <w:basedOn w:val="List4"/>
    <w:rsid w:val="00DF4B64"/>
    <w:pPr>
      <w:numPr>
        <w:numId w:val="7"/>
      </w:numPr>
    </w:pPr>
  </w:style>
  <w:style w:type="paragraph" w:styleId="ListNumber5">
    <w:name w:val="List Number 5"/>
    <w:basedOn w:val="List5"/>
    <w:rsid w:val="00DF4B64"/>
    <w:pPr>
      <w:numPr>
        <w:numId w:val="8"/>
      </w:numPr>
    </w:pPr>
  </w:style>
  <w:style w:type="paragraph" w:styleId="BlockText">
    <w:name w:val="Block Text"/>
    <w:basedOn w:val="Normal"/>
    <w:rsid w:val="00DF4B64"/>
    <w:pPr>
      <w:spacing w:after="120"/>
      <w:ind w:left="1440" w:right="1440"/>
    </w:pPr>
  </w:style>
  <w:style w:type="character" w:customStyle="1" w:styleId="Subscript">
    <w:name w:val="Subscript"/>
    <w:basedOn w:val="DefaultParagraphFont"/>
    <w:rsid w:val="00DF4B64"/>
    <w:rPr>
      <w:sz w:val="16"/>
      <w:vertAlign w:val="subscript"/>
    </w:rPr>
  </w:style>
  <w:style w:type="character" w:customStyle="1" w:styleId="Superscript">
    <w:name w:val="Superscript"/>
    <w:basedOn w:val="DefaultParagraphFont"/>
    <w:rsid w:val="00DF4B64"/>
    <w:rPr>
      <w:sz w:val="16"/>
      <w:vertAlign w:val="superscript"/>
    </w:rPr>
  </w:style>
  <w:style w:type="character" w:customStyle="1" w:styleId="Symbols">
    <w:name w:val="Symbols"/>
    <w:basedOn w:val="DefaultParagraphFont"/>
    <w:rsid w:val="00DF4B64"/>
    <w:rPr>
      <w:rFonts w:ascii="Symbol" w:hAnsi="Symbol"/>
    </w:rPr>
  </w:style>
  <w:style w:type="character" w:customStyle="1" w:styleId="MenuOptions">
    <w:name w:val="Menu Options"/>
    <w:basedOn w:val="DefaultParagraphFont"/>
    <w:rsid w:val="00DF4B64"/>
    <w:rPr>
      <w:rFonts w:ascii="Arial Narrow" w:hAnsi="Arial Narrow"/>
      <w:smallCaps/>
    </w:rPr>
  </w:style>
  <w:style w:type="character" w:customStyle="1" w:styleId="Buttons">
    <w:name w:val="Buttons"/>
    <w:basedOn w:val="DefaultParagraphFont"/>
    <w:rsid w:val="00DF4B64"/>
    <w:rPr>
      <w:b/>
    </w:rPr>
  </w:style>
  <w:style w:type="character" w:customStyle="1" w:styleId="Underlined">
    <w:name w:val="Underlined"/>
    <w:basedOn w:val="DefaultParagraphFont"/>
    <w:rsid w:val="00DF4B64"/>
    <w:rPr>
      <w:u w:val="single"/>
    </w:rPr>
  </w:style>
  <w:style w:type="paragraph" w:customStyle="1" w:styleId="TableBodyTextRight">
    <w:name w:val="Table Body Text Right"/>
    <w:basedOn w:val="TableBodyText"/>
    <w:rsid w:val="00DF4B64"/>
    <w:pPr>
      <w:widowControl w:val="0"/>
      <w:autoSpaceDE w:val="0"/>
      <w:autoSpaceDN w:val="0"/>
      <w:adjustRightInd w:val="0"/>
      <w:jc w:val="right"/>
    </w:pPr>
    <w:rPr>
      <w:rFonts w:cs="Arial"/>
      <w:szCs w:val="18"/>
    </w:rPr>
  </w:style>
  <w:style w:type="paragraph" w:customStyle="1" w:styleId="CopyrightText">
    <w:name w:val="Copyright Text"/>
    <w:basedOn w:val="BodyText"/>
    <w:rsid w:val="00DF4B64"/>
    <w:rPr>
      <w:sz w:val="18"/>
    </w:rPr>
  </w:style>
  <w:style w:type="paragraph" w:customStyle="1" w:styleId="BodySmallRight">
    <w:name w:val="Body Small Right"/>
    <w:basedOn w:val="BodyTextRight"/>
    <w:rsid w:val="00DF4B64"/>
    <w:rPr>
      <w:sz w:val="18"/>
      <w:szCs w:val="18"/>
    </w:rPr>
  </w:style>
  <w:style w:type="paragraph" w:customStyle="1" w:styleId="MarginEdition">
    <w:name w:val="Margin Edition"/>
    <w:basedOn w:val="MarginNote"/>
    <w:rsid w:val="00DF4B64"/>
    <w:pPr>
      <w:spacing w:before="0" w:after="0"/>
    </w:pPr>
    <w:rPr>
      <w:rFonts w:ascii="Times New Roman" w:hAnsi="Times New Roman"/>
      <w:color w:val="999999"/>
    </w:rPr>
  </w:style>
  <w:style w:type="paragraph" w:customStyle="1" w:styleId="Spacer">
    <w:name w:val="Spacer"/>
    <w:basedOn w:val="Normal"/>
    <w:rsid w:val="00DF4B64"/>
    <w:rPr>
      <w:sz w:val="2"/>
      <w:szCs w:val="2"/>
    </w:rPr>
  </w:style>
  <w:style w:type="character" w:customStyle="1" w:styleId="Small">
    <w:name w:val="Small"/>
    <w:basedOn w:val="DefaultParagraphFont"/>
    <w:rsid w:val="00DF4B64"/>
    <w:rPr>
      <w:sz w:val="16"/>
    </w:rPr>
  </w:style>
  <w:style w:type="paragraph" w:customStyle="1" w:styleId="WideTable">
    <w:name w:val="Wide Table"/>
    <w:basedOn w:val="Normal"/>
    <w:rsid w:val="00DF4B64"/>
    <w:pPr>
      <w:ind w:left="-1418"/>
    </w:pPr>
    <w:rPr>
      <w:sz w:val="2"/>
      <w:szCs w:val="2"/>
    </w:rPr>
  </w:style>
  <w:style w:type="character" w:styleId="PageNumber">
    <w:name w:val="page number"/>
    <w:basedOn w:val="DefaultParagraphFont"/>
    <w:rsid w:val="00DF4B64"/>
  </w:style>
  <w:style w:type="paragraph" w:styleId="Quote">
    <w:name w:val="Quote"/>
    <w:basedOn w:val="Heading1"/>
    <w:link w:val="QuoteChar"/>
    <w:qFormat/>
    <w:rsid w:val="00DF4B64"/>
    <w:rPr>
      <w:b w:val="0"/>
      <w:sz w:val="72"/>
      <w:szCs w:val="72"/>
      <w:lang w:val="en-NZ"/>
    </w:rPr>
  </w:style>
  <w:style w:type="character" w:customStyle="1" w:styleId="QuoteChar">
    <w:name w:val="Quote Char"/>
    <w:basedOn w:val="DefaultParagraphFont"/>
    <w:link w:val="Quote"/>
    <w:rsid w:val="00DF4B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B64"/>
    <w:pPr>
      <w:pageBreakBefore/>
    </w:pPr>
  </w:style>
  <w:style w:type="paragraph" w:customStyle="1" w:styleId="Border">
    <w:name w:val="Border"/>
    <w:basedOn w:val="Normal"/>
    <w:qFormat/>
    <w:rsid w:val="00DF4B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4B64"/>
    <w:rPr>
      <w:b/>
      <w:bCs/>
      <w:i/>
      <w:iCs/>
      <w:color w:val="auto"/>
    </w:rPr>
  </w:style>
  <w:style w:type="paragraph" w:styleId="IntenseQuote">
    <w:name w:val="Intense Quote"/>
    <w:basedOn w:val="Normal"/>
    <w:next w:val="Normal"/>
    <w:link w:val="IntenseQuoteChar"/>
    <w:uiPriority w:val="30"/>
    <w:qFormat/>
    <w:rsid w:val="00DF4B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4B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4B64"/>
    <w:rPr>
      <w:smallCaps/>
      <w:color w:val="auto"/>
      <w:u w:val="single"/>
    </w:rPr>
  </w:style>
  <w:style w:type="character" w:styleId="IntenseReference">
    <w:name w:val="Intense Reference"/>
    <w:basedOn w:val="DefaultParagraphFont"/>
    <w:uiPriority w:val="32"/>
    <w:qFormat/>
    <w:rsid w:val="00DF4B64"/>
    <w:rPr>
      <w:b/>
      <w:bCs/>
      <w:smallCaps/>
      <w:color w:val="auto"/>
      <w:spacing w:val="5"/>
      <w:u w:val="single"/>
    </w:rPr>
  </w:style>
  <w:style w:type="paragraph" w:customStyle="1" w:styleId="2ColumnHeading">
    <w:name w:val="2Column Heading"/>
    <w:basedOn w:val="BodyText"/>
    <w:qFormat/>
    <w:rsid w:val="00DF4B64"/>
    <w:pPr>
      <w:spacing w:after="60"/>
      <w:ind w:left="-2268"/>
    </w:pPr>
    <w:rPr>
      <w:b/>
    </w:rPr>
  </w:style>
  <w:style w:type="paragraph" w:customStyle="1" w:styleId="Heading1TOC">
    <w:name w:val="Heading1 TOC"/>
    <w:basedOn w:val="Normal"/>
    <w:qFormat/>
    <w:rsid w:val="00DF4B64"/>
    <w:pPr>
      <w:spacing w:before="240" w:after="120"/>
    </w:pPr>
    <w:rPr>
      <w:rFonts w:ascii="Times New Roman" w:hAnsi="Times New Roman"/>
      <w:b/>
      <w:sz w:val="32"/>
    </w:rPr>
  </w:style>
  <w:style w:type="paragraph" w:customStyle="1" w:styleId="Heading2TOC">
    <w:name w:val="Heading2 TOC"/>
    <w:basedOn w:val="Normal"/>
    <w:qFormat/>
    <w:rsid w:val="00DF4B64"/>
    <w:pPr>
      <w:spacing w:before="240" w:after="60"/>
    </w:pPr>
    <w:rPr>
      <w:rFonts w:ascii="Times New Roman" w:hAnsi="Times New Roman"/>
      <w:b/>
      <w:sz w:val="28"/>
    </w:rPr>
  </w:style>
  <w:style w:type="character" w:customStyle="1" w:styleId="Underline">
    <w:name w:val="Underline"/>
    <w:basedOn w:val="DefaultParagraphFont"/>
    <w:qFormat/>
    <w:rsid w:val="00DF4B64"/>
    <w:rPr>
      <w:u w:val="single"/>
    </w:rPr>
  </w:style>
  <w:style w:type="paragraph" w:styleId="BalloonText">
    <w:name w:val="Balloon Text"/>
    <w:basedOn w:val="Normal"/>
    <w:link w:val="BalloonTextChar"/>
    <w:rsid w:val="00DF4B64"/>
    <w:rPr>
      <w:rFonts w:ascii="Tahoma" w:hAnsi="Tahoma" w:cs="Tahoma"/>
      <w:sz w:val="16"/>
      <w:szCs w:val="16"/>
    </w:rPr>
  </w:style>
  <w:style w:type="character" w:customStyle="1" w:styleId="BalloonTextChar">
    <w:name w:val="Balloon Text Char"/>
    <w:basedOn w:val="DefaultParagraphFont"/>
    <w:link w:val="BalloonText"/>
    <w:rsid w:val="00DF4B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4B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4B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1439</Words>
  <Characters>9577</Characters>
  <Application>Microsoft Office Word</Application>
  <DocSecurity>0</DocSecurity>
  <Lines>421</Lines>
  <Paragraphs>276</Paragraphs>
  <ScaleCrop>false</ScaleCrop>
  <Company>Author-it Software Corporation Ltd.</Company>
  <LinksUpToDate>false</LinksUpToDate>
  <CharactersWithSpaces>10949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ICTRFN4095A Conduct radio frequency measurements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2012-05-26T07:31:00Z</dcterms:created>
  <dcterms:modified xsi:type="dcterms:W3CDTF">2012-05-26T07:31:00Z</dcterms:modified>
</cp:coreProperties>
</file>