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6A1" w:rsidP="00F166A1">
      <w:pPr>
        <w:pStyle w:val="Title"/>
      </w:pPr>
      <w:r>
        <w:fldChar w:fldCharType="begin"/>
      </w:r>
      <w:r>
        <w:instrText xml:space="preserve"> TITLE   \* MERGEFORMAT </w:instrText>
      </w:r>
      <w:r>
        <w:fldChar w:fldCharType="separate"/>
      </w:r>
      <w:r>
        <w:t>ICTRFN3055A Install a radio communications antenna and feedline</w:t>
      </w:r>
      <w:r>
        <w:fldChar w:fldCharType="end"/>
      </w:r>
    </w:p>
    <w:p w:rsidR="00F166A1" w:rsidP="00F166A1">
      <w:pPr>
        <w:pStyle w:val="Version"/>
        <w:sectPr w:rsidSect="008425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5A2" w:rsidP="008425A2">
      <w:pPr>
        <w:pStyle w:val="SuperHeading"/>
      </w:pPr>
      <w:r w:rsidRPr="008425A2">
        <w:t>ICTRFN3055A Install a radio communications antenna and feedline</w:t>
      </w:r>
    </w:p>
    <w:p w:rsidR="00000000" w:rsidRPr="008425A2" w:rsidP="008425A2">
      <w:pPr>
        <w:pStyle w:val="Heading1"/>
      </w:pPr>
      <w:bookmarkStart w:id="1" w:name="O_271834"/>
      <w:bookmarkEnd w:id="1"/>
      <w:r w:rsidRPr="008425A2">
        <w:t>Modification History</w:t>
      </w:r>
    </w:p>
    <w:p w:rsidR="00000000" w:rsidRPr="008425A2" w:rsidP="008425A2">
      <w:pPr>
        <w:pStyle w:val="BodyText"/>
      </w:pPr>
      <w:r w:rsidRPr="008425A2">
        <w:t>Not Applicable</w:t>
      </w:r>
    </w:p>
    <w:p w:rsidR="00000000" w:rsidRPr="008425A2" w:rsidP="008425A2">
      <w:pPr>
        <w:pStyle w:val="AllowPageBreak"/>
      </w:pPr>
    </w:p>
    <w:p w:rsidR="00000000" w:rsidRPr="008425A2" w:rsidP="008425A2">
      <w:pPr>
        <w:pStyle w:val="Heading1"/>
      </w:pPr>
      <w:bookmarkStart w:id="2" w:name="O_209277"/>
      <w:bookmarkEnd w:id="2"/>
      <w:r w:rsidRPr="008425A2">
        <w:t>Unit Descriptor</w:t>
      </w:r>
    </w:p>
    <w:tbl>
      <w:tblPr>
        <w:tblW w:w="0" w:type="auto"/>
        <w:tblLayout w:type="fixed"/>
        <w:tblCellMar>
          <w:left w:w="62" w:type="dxa"/>
          <w:right w:w="62" w:type="dxa"/>
        </w:tblCellMar>
        <w:tblLook w:val="0000"/>
      </w:tblPr>
      <w:tblGrid>
        <w:gridCol w:w="2638"/>
        <w:gridCol w:w="5884"/>
      </w:tblGrid>
      <w:tr w:rsidTr="00F166A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This unit describes the performance outcomes, skills and knowledge required</w:t>
            </w:r>
            <w:r w:rsidRPr="008425A2">
              <w:t xml:space="preserve"> to install and test a communications antenna and feedline on a range of fixed or mobile structures.</w:t>
            </w:r>
          </w:p>
          <w:p w:rsidR="00000000" w:rsidRPr="008425A2" w:rsidP="008425A2">
            <w:pPr>
              <w:pStyle w:val="BodyText"/>
            </w:pPr>
          </w:p>
          <w:p w:rsidR="00000000" w:rsidRPr="008425A2" w:rsidP="008425A2">
            <w:pPr>
              <w:pStyle w:val="BodyText"/>
            </w:pPr>
            <w:r w:rsidRPr="008425A2">
              <w:t>Depending on the particular installation, organisational requirements, and state or territory legislation, specific licences may be required in areas, suc</w:t>
            </w:r>
            <w:r w:rsidRPr="008425A2">
              <w:t>h as:</w:t>
            </w:r>
          </w:p>
          <w:p w:rsidR="00000000" w:rsidRPr="008425A2" w:rsidP="008425A2">
            <w:pPr>
              <w:pStyle w:val="ListBullet"/>
            </w:pPr>
            <w:r w:rsidRPr="008425A2">
              <w:t>working at heights</w:t>
            </w:r>
          </w:p>
          <w:p w:rsidR="00000000" w:rsidRPr="008425A2" w:rsidP="008425A2">
            <w:pPr>
              <w:pStyle w:val="ListBullet"/>
            </w:pPr>
            <w:r w:rsidRPr="008425A2">
              <w:t>structure climbing</w:t>
            </w:r>
          </w:p>
          <w:p w:rsidR="00000000" w:rsidRPr="008425A2" w:rsidP="008425A2">
            <w:pPr>
              <w:pStyle w:val="ListBullet"/>
            </w:pPr>
            <w:r w:rsidRPr="008425A2">
              <w:t>tower rescue</w:t>
            </w:r>
          </w:p>
          <w:p w:rsidR="00000000" w:rsidRPr="008425A2" w:rsidP="008425A2">
            <w:pPr>
              <w:pStyle w:val="ListBullet"/>
            </w:pPr>
            <w:r w:rsidRPr="008425A2">
              <w:t>hoisting and mounting antennas</w:t>
            </w:r>
          </w:p>
          <w:p w:rsidR="00000000" w:rsidRPr="008425A2" w:rsidP="008425A2">
            <w:pPr>
              <w:pStyle w:val="ListBullet"/>
            </w:pPr>
            <w:r w:rsidRPr="008425A2">
              <w:t>installing feedlines</w:t>
            </w:r>
          </w:p>
          <w:p w:rsidR="00000000" w:rsidRPr="008425A2" w:rsidP="008425A2">
            <w:pPr>
              <w:pStyle w:val="ListBullet"/>
            </w:pPr>
            <w:r w:rsidRPr="008425A2">
              <w:t>electromagnetic energy (EME) awareness.</w:t>
            </w:r>
          </w:p>
          <w:p w:rsidR="00000000" w:rsidRPr="008425A2" w:rsidP="008425A2">
            <w:pPr>
              <w:pStyle w:val="BodyText"/>
            </w:pPr>
          </w:p>
          <w:p w:rsidR="00000000" w:rsidRPr="008425A2" w:rsidP="008425A2">
            <w:pPr>
              <w:pStyle w:val="BodyText"/>
            </w:pPr>
            <w:r w:rsidRPr="008425A2">
              <w:t>Users should confirm requirements with the relevant federal, state or territory authority.</w:t>
            </w:r>
          </w:p>
        </w:tc>
      </w:tr>
    </w:tbl>
    <w:p w:rsidR="00F166A1" w:rsidP="008425A2">
      <w:pPr>
        <w:pStyle w:val="BodyText"/>
      </w:pPr>
    </w:p>
    <w:p w:rsidR="00F166A1" w:rsidP="008425A2">
      <w:pPr>
        <w:pStyle w:val="BodyText"/>
      </w:pPr>
    </w:p>
    <w:p w:rsidR="00000000" w:rsidRPr="008425A2" w:rsidP="008425A2">
      <w:pPr>
        <w:pStyle w:val="Heading1"/>
      </w:pPr>
      <w:bookmarkStart w:id="3" w:name="O_209281"/>
      <w:bookmarkEnd w:id="3"/>
      <w:r w:rsidRPr="008425A2">
        <w:t>Application of the Unit</w:t>
      </w:r>
    </w:p>
    <w:tbl>
      <w:tblPr>
        <w:tblW w:w="0" w:type="auto"/>
        <w:tblLayout w:type="fixed"/>
        <w:tblCellMar>
          <w:left w:w="62" w:type="dxa"/>
          <w:right w:w="62" w:type="dxa"/>
        </w:tblCellMar>
        <w:tblLook w:val="0000"/>
      </w:tblPr>
      <w:tblGrid>
        <w:gridCol w:w="2735"/>
        <w:gridCol w:w="5787"/>
      </w:tblGrid>
      <w:tr w:rsidTr="00F166A1">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 xml:space="preserve">Telecommunications and radio communications technicians apply the skills and knowledge in this unit on installations for cellular, radio broadband </w:t>
            </w:r>
            <w:r w:rsidRPr="008425A2">
              <w:t>and digital TV reception applications. Installations may be new or existing, standalone or part of a site with multiple antennas.</w:t>
            </w:r>
          </w:p>
        </w:tc>
      </w:tr>
    </w:tbl>
    <w:p w:rsidR="00F166A1" w:rsidP="008425A2">
      <w:pPr>
        <w:pStyle w:val="BodyText"/>
      </w:pPr>
    </w:p>
    <w:p w:rsidR="00F166A1" w:rsidP="008425A2">
      <w:pPr>
        <w:pStyle w:val="BodyText"/>
      </w:pPr>
    </w:p>
    <w:p w:rsidR="00000000" w:rsidRPr="008425A2" w:rsidP="008425A2">
      <w:pPr>
        <w:pStyle w:val="Heading1"/>
      </w:pPr>
      <w:bookmarkStart w:id="4" w:name="O_280094"/>
      <w:bookmarkEnd w:id="4"/>
      <w:r w:rsidRPr="008425A2">
        <w:t>Licensing/Regulatory Information</w:t>
      </w:r>
    </w:p>
    <w:p w:rsidR="00000000" w:rsidRPr="008425A2" w:rsidP="008425A2">
      <w:pPr>
        <w:pStyle w:val="BodyText"/>
      </w:pPr>
      <w:r w:rsidRPr="008425A2">
        <w:t>Not Applicable</w:t>
      </w:r>
    </w:p>
    <w:p w:rsidR="00000000" w:rsidRPr="008425A2" w:rsidP="008425A2">
      <w:pPr>
        <w:pStyle w:val="AllowPageBreak"/>
      </w:pPr>
    </w:p>
    <w:p w:rsidR="00000000" w:rsidRPr="008425A2" w:rsidP="008425A2">
      <w:pPr>
        <w:pStyle w:val="Heading1"/>
      </w:pPr>
      <w:bookmarkStart w:id="5" w:name="O_209279"/>
      <w:bookmarkEnd w:id="5"/>
      <w:r w:rsidRPr="008425A2">
        <w:t>Pre-Requisites</w:t>
      </w:r>
    </w:p>
    <w:tbl>
      <w:tblPr>
        <w:tblW w:w="0" w:type="auto"/>
        <w:tblLayout w:type="fixed"/>
        <w:tblCellMar>
          <w:left w:w="62" w:type="dxa"/>
          <w:right w:w="62" w:type="dxa"/>
        </w:tblCellMar>
        <w:tblLook w:val="0000"/>
      </w:tblPr>
      <w:tblGrid>
        <w:gridCol w:w="2775"/>
        <w:gridCol w:w="1295"/>
        <w:gridCol w:w="4452"/>
      </w:tblGrid>
      <w:tr w:rsidTr="00F166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p>
        </w:tc>
      </w:tr>
      <w:tr w:rsidTr="00F166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p>
        </w:tc>
      </w:tr>
      <w:tr w:rsidTr="00F166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p>
        </w:tc>
      </w:tr>
    </w:tbl>
    <w:p w:rsidR="00F166A1" w:rsidP="008425A2">
      <w:pPr>
        <w:pStyle w:val="BodyText"/>
      </w:pPr>
    </w:p>
    <w:p w:rsidR="00F166A1" w:rsidP="008425A2">
      <w:pPr>
        <w:pStyle w:val="BodyText"/>
      </w:pPr>
    </w:p>
    <w:p w:rsidR="00000000" w:rsidRPr="008425A2" w:rsidP="008425A2">
      <w:pPr>
        <w:pStyle w:val="Heading1"/>
      </w:pPr>
      <w:bookmarkStart w:id="6" w:name="O_209278"/>
      <w:bookmarkEnd w:id="6"/>
      <w:r w:rsidRPr="008425A2">
        <w:t>Employability Skills Information</w:t>
      </w:r>
    </w:p>
    <w:tbl>
      <w:tblPr>
        <w:tblW w:w="0" w:type="auto"/>
        <w:tblLayout w:type="fixed"/>
        <w:tblCellMar>
          <w:left w:w="62" w:type="dxa"/>
          <w:right w:w="62" w:type="dxa"/>
        </w:tblCellMar>
        <w:tblLook w:val="0000"/>
      </w:tblPr>
      <w:tblGrid>
        <w:gridCol w:w="2802"/>
        <w:gridCol w:w="5720"/>
      </w:tblGrid>
      <w:tr w:rsidTr="00F166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This unit contains employability skills.</w:t>
            </w:r>
          </w:p>
        </w:tc>
      </w:tr>
    </w:tbl>
    <w:p w:rsidR="00F166A1" w:rsidP="008425A2">
      <w:pPr>
        <w:pStyle w:val="BodyText"/>
      </w:pPr>
    </w:p>
    <w:p w:rsidR="00F166A1" w:rsidP="008425A2">
      <w:pPr>
        <w:pStyle w:val="BodyText"/>
      </w:pPr>
    </w:p>
    <w:p w:rsidR="00000000" w:rsidRPr="008425A2" w:rsidP="008425A2">
      <w:pPr>
        <w:pStyle w:val="Heading1"/>
      </w:pPr>
      <w:bookmarkStart w:id="7" w:name="O_289880"/>
      <w:bookmarkEnd w:id="7"/>
      <w:r w:rsidRPr="008425A2">
        <w:t>Elements and Performance Criteria Pre-Content</w:t>
      </w:r>
    </w:p>
    <w:tbl>
      <w:tblPr>
        <w:tblW w:w="0" w:type="auto"/>
        <w:tblLayout w:type="fixed"/>
        <w:tblCellMar>
          <w:left w:w="62" w:type="dxa"/>
          <w:right w:w="62" w:type="dxa"/>
        </w:tblCellMar>
        <w:tblLook w:val="0000"/>
      </w:tblPr>
      <w:tblGrid>
        <w:gridCol w:w="2584"/>
        <w:gridCol w:w="5938"/>
      </w:tblGrid>
      <w:tr w:rsidTr="00F166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Performance criteria describe the performance needed to demonstrate achievement of the element. Where bold italicised text is used, further information is detailed in the required skills and knowledge section and the range statement. Assessment of performa</w:t>
            </w:r>
            <w:r w:rsidRPr="008425A2">
              <w:t>nce is to be consistent with the evidence guide.</w:t>
            </w:r>
          </w:p>
        </w:tc>
      </w:tr>
    </w:tbl>
    <w:p w:rsidR="00000000" w:rsidRPr="008425A2" w:rsidP="008425A2">
      <w:pPr>
        <w:pStyle w:val="BodyText"/>
      </w:pPr>
    </w:p>
    <w:p w:rsidR="00000000" w:rsidRPr="008425A2" w:rsidP="008425A2">
      <w:pPr>
        <w:pStyle w:val="AllowPageBreak"/>
      </w:pPr>
    </w:p>
    <w:p w:rsidR="00000000" w:rsidRPr="008425A2" w:rsidP="008425A2">
      <w:pPr>
        <w:pStyle w:val="Heading1"/>
      </w:pPr>
      <w:bookmarkStart w:id="8" w:name="O_236547"/>
      <w:bookmarkEnd w:id="8"/>
      <w:r w:rsidRPr="008425A2">
        <w:t>Elements and Performance Criteria</w:t>
      </w:r>
    </w:p>
    <w:tbl>
      <w:tblPr>
        <w:tblW w:w="0" w:type="auto"/>
        <w:tblLayout w:type="fixed"/>
        <w:tblCellMar>
          <w:left w:w="62" w:type="dxa"/>
          <w:right w:w="62" w:type="dxa"/>
        </w:tblCellMar>
        <w:tblLook w:val="0000"/>
      </w:tblPr>
      <w:tblGrid>
        <w:gridCol w:w="2584"/>
        <w:gridCol w:w="5938"/>
      </w:tblGrid>
      <w:tr w:rsidTr="00F166A1">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PERFORMANCE CRITERIA</w:t>
            </w:r>
          </w:p>
        </w:tc>
      </w:tr>
      <w:tr w:rsidTr="00F166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List"/>
              <w:rPr>
                <w:lang w:val="en-NZ"/>
              </w:rPr>
            </w:pPr>
            <w:r w:rsidRPr="008425A2">
              <w:t>1.</w:t>
            </w:r>
            <w:r w:rsidRPr="008425A2">
              <w:tab/>
              <w:t>Plan the assembly of an antenna system</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2"/>
            </w:pPr>
            <w:r w:rsidRPr="008425A2">
              <w:t>1.1.</w:t>
            </w:r>
            <w:r w:rsidRPr="008425A2">
              <w:tab/>
              <w:t>Arrange access to the site according to required procedure</w:t>
            </w:r>
          </w:p>
          <w:p w:rsidR="00000000" w:rsidRPr="008425A2" w:rsidP="008425A2">
            <w:pPr>
              <w:pStyle w:val="List2"/>
            </w:pPr>
            <w:r w:rsidRPr="008425A2">
              <w:t>1.2.</w:t>
            </w:r>
            <w:r w:rsidRPr="008425A2">
              <w:tab/>
            </w:r>
            <w:r w:rsidRPr="008425A2">
              <w:t xml:space="preserve">Apply all relevant </w:t>
            </w:r>
            <w:r w:rsidRPr="008425A2">
              <w:rPr>
                <w:rStyle w:val="BoldandItalics"/>
              </w:rPr>
              <w:t>legislation</w:t>
            </w:r>
            <w:r w:rsidRPr="008425A2">
              <w:t xml:space="preserve">, </w:t>
            </w:r>
            <w:r w:rsidRPr="008425A2">
              <w:rPr>
                <w:rStyle w:val="BoldandItalics"/>
              </w:rPr>
              <w:t>codes</w:t>
            </w:r>
            <w:r w:rsidRPr="008425A2">
              <w:t xml:space="preserve">, </w:t>
            </w:r>
            <w:r w:rsidRPr="008425A2">
              <w:rPr>
                <w:rStyle w:val="BoldandItalics"/>
              </w:rPr>
              <w:t>regulations and standards</w:t>
            </w:r>
            <w:r w:rsidRPr="008425A2">
              <w:t xml:space="preserve"> in the planning process</w:t>
            </w:r>
          </w:p>
          <w:p w:rsidR="00000000" w:rsidRPr="008425A2" w:rsidP="008425A2">
            <w:pPr>
              <w:pStyle w:val="List2"/>
            </w:pPr>
            <w:r w:rsidRPr="008425A2">
              <w:t>1.3.</w:t>
            </w:r>
            <w:r w:rsidRPr="008425A2">
              <w:tab/>
              <w:t xml:space="preserve">Obtain relevant antenna specifications ,requirements and </w:t>
            </w:r>
            <w:r w:rsidRPr="008425A2">
              <w:rPr>
                <w:rStyle w:val="BoldandItalics"/>
              </w:rPr>
              <w:t>radio communication site management book</w:t>
            </w:r>
            <w:r w:rsidRPr="008425A2">
              <w:t xml:space="preserve"> (</w:t>
            </w:r>
            <w:r w:rsidRPr="008425A2">
              <w:rPr>
                <w:rStyle w:val="BoldandItalics"/>
              </w:rPr>
              <w:t>RCSMB</w:t>
            </w:r>
            <w:r w:rsidRPr="008425A2">
              <w:t xml:space="preserve">) from </w:t>
            </w:r>
            <w:r w:rsidRPr="008425A2">
              <w:rPr>
                <w:rStyle w:val="BoldandItalics"/>
              </w:rPr>
              <w:t>appropriate personnel</w:t>
            </w:r>
          </w:p>
          <w:p w:rsidR="00000000" w:rsidRPr="008425A2" w:rsidP="008425A2">
            <w:pPr>
              <w:pStyle w:val="List2"/>
            </w:pPr>
            <w:r w:rsidRPr="008425A2">
              <w:t>1.4.</w:t>
            </w:r>
            <w:r w:rsidRPr="008425A2">
              <w:tab/>
              <w:t>Organise appropriate ins</w:t>
            </w:r>
            <w:r w:rsidRPr="008425A2">
              <w:t>tallation personnel to be available on site</w:t>
            </w:r>
          </w:p>
          <w:p w:rsidR="00000000" w:rsidRPr="008425A2" w:rsidP="008425A2">
            <w:pPr>
              <w:pStyle w:val="List2"/>
            </w:pPr>
            <w:r w:rsidRPr="008425A2">
              <w:t>1.5.</w:t>
            </w:r>
            <w:r w:rsidRPr="008425A2">
              <w:tab/>
              <w:t>Assess relevant hazard levels from RCSMB and take appropriate preventative action according to prescribed safety requirements</w:t>
            </w:r>
          </w:p>
          <w:p w:rsidR="00000000" w:rsidRPr="008425A2" w:rsidP="008425A2">
            <w:pPr>
              <w:pStyle w:val="List2"/>
            </w:pPr>
            <w:r w:rsidRPr="008425A2">
              <w:t>1.6.</w:t>
            </w:r>
            <w:r w:rsidRPr="008425A2">
              <w:tab/>
              <w:t xml:space="preserve">Identify </w:t>
            </w:r>
            <w:r w:rsidRPr="008425A2">
              <w:rPr>
                <w:rStyle w:val="BoldandItalics"/>
              </w:rPr>
              <w:t>other antennas</w:t>
            </w:r>
            <w:r w:rsidRPr="008425A2">
              <w:t xml:space="preserve"> at site location and notify those who may be affecte</w:t>
            </w:r>
            <w:r w:rsidRPr="008425A2">
              <w:t xml:space="preserve">d by outages </w:t>
            </w:r>
          </w:p>
          <w:p w:rsidR="00000000" w:rsidRPr="008425A2" w:rsidP="008425A2">
            <w:pPr>
              <w:pStyle w:val="List2"/>
            </w:pPr>
            <w:r w:rsidRPr="008425A2">
              <w:t>1.7.</w:t>
            </w:r>
            <w:r w:rsidRPr="008425A2">
              <w:tab/>
              <w:t xml:space="preserve">Inspect the </w:t>
            </w:r>
            <w:r w:rsidRPr="008425A2">
              <w:rPr>
                <w:rStyle w:val="BoldandItalics"/>
              </w:rPr>
              <w:t>antenna system</w:t>
            </w:r>
            <w:r w:rsidRPr="008425A2">
              <w:t xml:space="preserve"> and </w:t>
            </w:r>
            <w:r w:rsidRPr="008425A2">
              <w:rPr>
                <w:rStyle w:val="BoldandItalics"/>
              </w:rPr>
              <w:t>feedline</w:t>
            </w:r>
            <w:r w:rsidRPr="008425A2">
              <w:t xml:space="preserve"> for physical damage before any further work is performed</w:t>
            </w:r>
          </w:p>
          <w:p w:rsidR="00000000" w:rsidP="008425A2">
            <w:pPr>
              <w:pStyle w:val="List2"/>
              <w:rPr>
                <w:lang w:val="en-NZ"/>
              </w:rPr>
            </w:pPr>
            <w:r w:rsidRPr="008425A2">
              <w:t>1.8.</w:t>
            </w:r>
            <w:r w:rsidRPr="008425A2">
              <w:tab/>
              <w:t xml:space="preserve">Organise </w:t>
            </w:r>
            <w:r w:rsidRPr="008425A2">
              <w:rPr>
                <w:rStyle w:val="BoldandItalics"/>
              </w:rPr>
              <w:t>tools and equipment</w:t>
            </w:r>
            <w:r w:rsidRPr="008425A2">
              <w:t xml:space="preserve"> and ensure they are in safe working order and adjusted to manufacturer's specifications</w:t>
            </w:r>
          </w:p>
        </w:tc>
      </w:tr>
      <w:tr w:rsidTr="00F166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List"/>
              <w:rPr>
                <w:lang w:val="en-NZ"/>
              </w:rPr>
            </w:pPr>
            <w:r w:rsidRPr="008425A2">
              <w:t>2.</w:t>
            </w:r>
            <w:r w:rsidRPr="008425A2">
              <w:tab/>
              <w:t>Assemble, moun</w:t>
            </w:r>
            <w:r w:rsidRPr="008425A2">
              <w:t xml:space="preserve">t and align antenna and prepare feedline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2"/>
            </w:pPr>
            <w:r w:rsidRPr="008425A2">
              <w:t>2.1.</w:t>
            </w:r>
            <w:r w:rsidRPr="008425A2">
              <w:tab/>
              <w:t xml:space="preserve">Follow site specific safety requirements and enterprise occupational health and safety (OHS) processes and procedures </w:t>
            </w:r>
          </w:p>
          <w:p w:rsidR="00000000" w:rsidRPr="008425A2" w:rsidP="008425A2">
            <w:pPr>
              <w:pStyle w:val="List2"/>
            </w:pPr>
            <w:r w:rsidRPr="008425A2">
              <w:t>2.2.</w:t>
            </w:r>
            <w:r w:rsidRPr="008425A2">
              <w:tab/>
              <w:t xml:space="preserve">Assemble antenna system in a safe manner according to manufacturer's instructions </w:t>
            </w:r>
          </w:p>
          <w:p w:rsidR="00000000" w:rsidRPr="008425A2" w:rsidP="008425A2">
            <w:pPr>
              <w:pStyle w:val="List2"/>
            </w:pPr>
            <w:r w:rsidRPr="008425A2">
              <w:t>2.</w:t>
            </w:r>
            <w:r w:rsidRPr="008425A2">
              <w:t>3.</w:t>
            </w:r>
            <w:r w:rsidRPr="008425A2">
              <w:tab/>
              <w:t xml:space="preserve">Mount antenna with correct azimuth and </w:t>
            </w:r>
            <w:r w:rsidRPr="008425A2">
              <w:rPr>
                <w:rStyle w:val="BoldandItalics"/>
              </w:rPr>
              <w:t>polarisation</w:t>
            </w:r>
            <w:r w:rsidRPr="008425A2">
              <w:t xml:space="preserve"> according to manufacturer's instructions and work practices</w:t>
            </w:r>
          </w:p>
          <w:p w:rsidR="00000000" w:rsidRPr="008425A2" w:rsidP="008425A2">
            <w:pPr>
              <w:pStyle w:val="List2"/>
            </w:pPr>
            <w:r w:rsidRPr="008425A2">
              <w:t>2.4.</w:t>
            </w:r>
            <w:r w:rsidRPr="008425A2">
              <w:tab/>
              <w:t>Install radome to antenna if provided</w:t>
            </w:r>
          </w:p>
          <w:p w:rsidR="00000000" w:rsidRPr="008425A2" w:rsidP="008425A2">
            <w:pPr>
              <w:pStyle w:val="List2"/>
            </w:pPr>
            <w:r w:rsidRPr="008425A2">
              <w:t>2.5.</w:t>
            </w:r>
            <w:r w:rsidRPr="008425A2">
              <w:tab/>
              <w:t xml:space="preserve">Install </w:t>
            </w:r>
            <w:r w:rsidRPr="008425A2">
              <w:rPr>
                <w:rStyle w:val="BoldandItalics"/>
              </w:rPr>
              <w:t>lightning protection systems</w:t>
            </w:r>
            <w:r w:rsidRPr="008425A2">
              <w:t xml:space="preserve"> according to plans and specifications</w:t>
            </w:r>
          </w:p>
          <w:p w:rsidR="00000000" w:rsidP="008425A2">
            <w:pPr>
              <w:pStyle w:val="List2"/>
              <w:rPr>
                <w:lang w:val="en-NZ"/>
              </w:rPr>
            </w:pPr>
            <w:r w:rsidRPr="008425A2">
              <w:t>2.6.</w:t>
            </w:r>
            <w:r w:rsidRPr="008425A2">
              <w:tab/>
            </w:r>
            <w:r w:rsidRPr="008425A2">
              <w:rPr>
                <w:rStyle w:val="BoldandItalics"/>
              </w:rPr>
              <w:t>Align</w:t>
            </w:r>
            <w:r w:rsidRPr="008425A2">
              <w:t xml:space="preserve"> the ant</w:t>
            </w:r>
            <w:r w:rsidRPr="008425A2">
              <w:t xml:space="preserve">enna in the horizontal and vertical planes to maximise signal </w:t>
            </w:r>
          </w:p>
        </w:tc>
      </w:tr>
      <w:tr w:rsidTr="00F166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List"/>
              <w:rPr>
                <w:lang w:val="en-NZ"/>
              </w:rPr>
            </w:pPr>
            <w:r w:rsidRPr="008425A2">
              <w:t>3.</w:t>
            </w:r>
            <w:r w:rsidRPr="008425A2">
              <w:tab/>
              <w:t>Test antenna installation and document test results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2"/>
            </w:pPr>
            <w:r w:rsidRPr="008425A2">
              <w:t>3.1.</w:t>
            </w:r>
            <w:r w:rsidRPr="008425A2">
              <w:tab/>
              <w:t xml:space="preserve">Conduct </w:t>
            </w:r>
            <w:r w:rsidRPr="008425A2">
              <w:rPr>
                <w:rStyle w:val="BoldandItalics"/>
              </w:rPr>
              <w:t>performance tests</w:t>
            </w:r>
            <w:r w:rsidRPr="008425A2">
              <w:t xml:space="preserve"> in a safe manner according to manufacturer's specifications and instructions</w:t>
            </w:r>
          </w:p>
          <w:p w:rsidR="00000000" w:rsidRPr="008425A2" w:rsidP="008425A2">
            <w:pPr>
              <w:pStyle w:val="List2"/>
            </w:pPr>
            <w:r w:rsidRPr="008425A2">
              <w:t>3.2.</w:t>
            </w:r>
            <w:r w:rsidRPr="008425A2">
              <w:tab/>
            </w:r>
            <w:r w:rsidRPr="008425A2">
              <w:t>Record, interpret and compare test results with manufacturer's data or the design specifications</w:t>
            </w:r>
          </w:p>
          <w:p w:rsidR="00000000" w:rsidP="008425A2">
            <w:pPr>
              <w:pStyle w:val="List2"/>
              <w:rPr>
                <w:lang w:val="en-NZ"/>
              </w:rPr>
            </w:pPr>
            <w:r w:rsidRPr="008425A2">
              <w:t>3.3.</w:t>
            </w:r>
            <w:r w:rsidRPr="008425A2">
              <w:tab/>
              <w:t>Confirm correct overall operation of antenna system</w:t>
            </w:r>
          </w:p>
        </w:tc>
      </w:tr>
      <w:tr w:rsidTr="00F166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List"/>
              <w:rPr>
                <w:lang w:val="en-NZ"/>
              </w:rPr>
            </w:pPr>
            <w:r w:rsidRPr="008425A2">
              <w:t>4.</w:t>
            </w:r>
            <w:r w:rsidRPr="008425A2">
              <w:tab/>
              <w:t>Complete administrative tasks and clean up site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2"/>
            </w:pPr>
            <w:r w:rsidRPr="008425A2">
              <w:t>4.1.</w:t>
            </w:r>
            <w:r w:rsidRPr="008425A2">
              <w:tab/>
              <w:t>Complete and  store appropriate records and t</w:t>
            </w:r>
            <w:r w:rsidRPr="008425A2">
              <w:t>est results according to enterprise policy</w:t>
            </w:r>
          </w:p>
          <w:p w:rsidR="00000000" w:rsidRPr="008425A2" w:rsidP="008425A2">
            <w:pPr>
              <w:pStyle w:val="List2"/>
            </w:pPr>
            <w:r w:rsidRPr="008425A2">
              <w:t>4.2.</w:t>
            </w:r>
            <w:r w:rsidRPr="008425A2">
              <w:tab/>
              <w:t>Label radio frequency (RF) transmitter equipment and feed lines according to legislation</w:t>
            </w:r>
          </w:p>
          <w:p w:rsidR="00000000" w:rsidRPr="008425A2" w:rsidP="008425A2">
            <w:pPr>
              <w:pStyle w:val="List2"/>
            </w:pPr>
            <w:r w:rsidRPr="008425A2">
              <w:t>4.3.</w:t>
            </w:r>
            <w:r w:rsidRPr="008425A2">
              <w:tab/>
              <w:t>Notify all affected by outage that normal operation can resume</w:t>
            </w:r>
          </w:p>
          <w:p w:rsidR="00000000" w:rsidRPr="008425A2" w:rsidP="008425A2">
            <w:pPr>
              <w:pStyle w:val="List2"/>
            </w:pPr>
            <w:r w:rsidRPr="008425A2">
              <w:t>4.4.</w:t>
            </w:r>
            <w:r w:rsidRPr="008425A2">
              <w:tab/>
              <w:t>Clean, pack and store all tools and test equip</w:t>
            </w:r>
            <w:r w:rsidRPr="008425A2">
              <w:t>ment and organise transport in suitable protective casing where appropriate</w:t>
            </w:r>
          </w:p>
          <w:p w:rsidR="00000000" w:rsidRPr="008425A2" w:rsidP="008425A2">
            <w:pPr>
              <w:pStyle w:val="List2"/>
            </w:pPr>
            <w:r w:rsidRPr="008425A2">
              <w:t>4.5.</w:t>
            </w:r>
            <w:r w:rsidRPr="008425A2">
              <w:tab/>
              <w:t>Restore any changes made to the worksite to the client's satisfaction and obtain sign off</w:t>
            </w:r>
          </w:p>
        </w:tc>
      </w:tr>
    </w:tbl>
    <w:p w:rsidR="00F166A1" w:rsidP="008425A2">
      <w:pPr>
        <w:pStyle w:val="BodyText"/>
      </w:pPr>
    </w:p>
    <w:p w:rsidR="00F166A1" w:rsidP="008425A2">
      <w:pPr>
        <w:pStyle w:val="BodyText"/>
      </w:pPr>
    </w:p>
    <w:p w:rsidR="00000000" w:rsidRPr="008425A2" w:rsidP="008425A2">
      <w:pPr>
        <w:pStyle w:val="Heading1"/>
      </w:pPr>
      <w:bookmarkStart w:id="9" w:name="O_260497"/>
      <w:bookmarkEnd w:id="9"/>
      <w:r w:rsidRPr="008425A2">
        <w:t>Required Skills and Knowledge</w:t>
      </w:r>
    </w:p>
    <w:tbl>
      <w:tblPr>
        <w:tblW w:w="0" w:type="auto"/>
        <w:tblLayout w:type="fixed"/>
        <w:tblCellMar>
          <w:left w:w="62" w:type="dxa"/>
          <w:right w:w="62" w:type="dxa"/>
        </w:tblCellMar>
        <w:tblLook w:val="0000"/>
      </w:tblPr>
      <w:tblGrid>
        <w:gridCol w:w="8522"/>
      </w:tblGrid>
      <w:tr w:rsidTr="00F166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REQUIRED SKILLS AND KNOWLEDGE</w:t>
            </w:r>
          </w:p>
        </w:tc>
      </w:tr>
      <w:tr w:rsidTr="00F166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t>This section describes the skills and knowledge required for this unit.</w:t>
            </w:r>
          </w:p>
        </w:tc>
      </w:tr>
      <w:tr w:rsidTr="00F16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Required skills</w:t>
            </w:r>
          </w:p>
        </w:tc>
      </w:tr>
      <w:tr w:rsidTr="00F16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communication skills to provide advice and guidance to others or to seek assistance</w:t>
            </w:r>
          </w:p>
          <w:p w:rsidR="00000000" w:rsidRPr="008425A2" w:rsidP="008425A2">
            <w:pPr>
              <w:pStyle w:val="ListBullet"/>
            </w:pPr>
            <w:r w:rsidRPr="008425A2">
              <w:t>literacy skills to read and interpret manuals, specifications, relevant enterprise policy and documentation</w:t>
            </w:r>
          </w:p>
          <w:p w:rsidR="00000000" w:rsidRPr="008425A2" w:rsidP="008425A2">
            <w:pPr>
              <w:pStyle w:val="ListBullet"/>
            </w:pPr>
            <w:r w:rsidRPr="008425A2">
              <w:t>negotiation skills to enable interaction with site owner and organisations or individuals who may be affected by an outage</w:t>
            </w:r>
          </w:p>
          <w:p w:rsidR="00000000" w:rsidRPr="008425A2" w:rsidP="008425A2">
            <w:pPr>
              <w:pStyle w:val="ListBullet"/>
            </w:pPr>
            <w:r w:rsidRPr="008425A2">
              <w:t>numeracy skills to:</w:t>
            </w:r>
          </w:p>
          <w:p w:rsidR="00000000" w:rsidRPr="008425A2" w:rsidP="008425A2">
            <w:pPr>
              <w:pStyle w:val="ListBullet2"/>
            </w:pPr>
            <w:r w:rsidRPr="008425A2">
              <w:t>eval</w:t>
            </w:r>
            <w:r w:rsidRPr="008425A2">
              <w:t xml:space="preserve">uate different types of technical data </w:t>
            </w:r>
          </w:p>
          <w:p w:rsidR="00000000" w:rsidRPr="008425A2" w:rsidP="008425A2">
            <w:pPr>
              <w:pStyle w:val="ListBullet2"/>
            </w:pPr>
            <w:r w:rsidRPr="008425A2">
              <w:t xml:space="preserve">interpret results </w:t>
            </w:r>
          </w:p>
          <w:p w:rsidR="00000000" w:rsidRPr="008425A2" w:rsidP="008425A2">
            <w:pPr>
              <w:pStyle w:val="ListBullet2"/>
            </w:pPr>
            <w:r w:rsidRPr="008425A2">
              <w:t>setup and check that equipment is calibrated</w:t>
            </w:r>
          </w:p>
          <w:p w:rsidR="00000000" w:rsidRPr="008425A2" w:rsidP="008425A2">
            <w:pPr>
              <w:pStyle w:val="ListBullet2"/>
            </w:pPr>
            <w:r w:rsidRPr="008425A2">
              <w:t>take RF measurements</w:t>
            </w:r>
          </w:p>
          <w:p w:rsidR="00000000" w:rsidRPr="008425A2" w:rsidP="008425A2">
            <w:pPr>
              <w:pStyle w:val="ListBullet"/>
            </w:pPr>
            <w:r w:rsidRPr="008425A2">
              <w:t>planning and organisational skills to organise and prepare installation resources</w:t>
            </w:r>
          </w:p>
          <w:p w:rsidR="00000000" w:rsidRPr="008425A2" w:rsidP="008425A2">
            <w:pPr>
              <w:pStyle w:val="ListBullet"/>
            </w:pPr>
            <w:r w:rsidRPr="008425A2">
              <w:t xml:space="preserve">problem solving skills to respond to typical antenna installation challenges </w:t>
            </w:r>
          </w:p>
          <w:p w:rsidR="00000000" w:rsidRPr="008425A2" w:rsidP="008425A2">
            <w:pPr>
              <w:pStyle w:val="ListBullet"/>
            </w:pPr>
            <w:r w:rsidRPr="008425A2">
              <w:t>task management skills to work systematically with required attention to detail and adherence to all safety requirements</w:t>
            </w:r>
          </w:p>
          <w:p w:rsidR="00000000" w:rsidRPr="008425A2" w:rsidP="008425A2">
            <w:pPr>
              <w:pStyle w:val="ListBullet"/>
            </w:pPr>
            <w:r w:rsidRPr="008425A2">
              <w:t>technical skills to:</w:t>
            </w:r>
          </w:p>
          <w:p w:rsidR="00000000" w:rsidRPr="008425A2" w:rsidP="008425A2">
            <w:pPr>
              <w:pStyle w:val="ListBullet2"/>
            </w:pPr>
            <w:r w:rsidRPr="008425A2">
              <w:t>operate a range of specialised radi</w:t>
            </w:r>
            <w:r w:rsidRPr="008425A2">
              <w:t xml:space="preserve">o communications equipment </w:t>
            </w:r>
          </w:p>
          <w:p w:rsidR="00000000" w:rsidRPr="008425A2" w:rsidP="008425A2">
            <w:pPr>
              <w:pStyle w:val="ListBullet2"/>
            </w:pPr>
            <w:r w:rsidRPr="008425A2">
              <w:t>perform diagnostic procedures</w:t>
            </w:r>
          </w:p>
          <w:p w:rsidR="00000000" w:rsidP="008425A2">
            <w:pPr>
              <w:pStyle w:val="ListBullet2"/>
              <w:rPr>
                <w:lang w:val="en-NZ"/>
              </w:rPr>
            </w:pPr>
            <w:r w:rsidRPr="008425A2">
              <w:t>use hand and power tools</w:t>
            </w:r>
          </w:p>
        </w:tc>
      </w:tr>
      <w:tr w:rsidTr="00F16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Required knowledge</w:t>
            </w:r>
          </w:p>
        </w:tc>
      </w:tr>
      <w:tr w:rsidTr="00F16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current industry practice for antenna installation including:</w:t>
            </w:r>
          </w:p>
          <w:p w:rsidR="00000000" w:rsidRPr="008425A2" w:rsidP="008425A2">
            <w:pPr>
              <w:pStyle w:val="ListBullet2"/>
            </w:pPr>
            <w:r w:rsidRPr="008425A2">
              <w:t>earthing</w:t>
            </w:r>
          </w:p>
          <w:p w:rsidR="00000000" w:rsidRPr="008425A2" w:rsidP="008425A2">
            <w:pPr>
              <w:pStyle w:val="ListBullet2"/>
            </w:pPr>
            <w:r w:rsidRPr="008425A2">
              <w:t>lightning protection</w:t>
            </w:r>
          </w:p>
          <w:p w:rsidR="00000000" w:rsidRPr="008425A2" w:rsidP="008425A2">
            <w:pPr>
              <w:pStyle w:val="ListBullet"/>
            </w:pPr>
            <w:r w:rsidRPr="008425A2">
              <w:t>detailed knowledge of procedures and equipment required for:</w:t>
            </w:r>
          </w:p>
          <w:p w:rsidR="00000000" w:rsidRPr="008425A2" w:rsidP="008425A2">
            <w:pPr>
              <w:pStyle w:val="ListBullet2"/>
            </w:pPr>
            <w:r w:rsidRPr="008425A2">
              <w:t>antenna sweep testing to measure return loss</w:t>
            </w:r>
          </w:p>
          <w:p w:rsidR="00000000" w:rsidRPr="008425A2" w:rsidP="008425A2">
            <w:pPr>
              <w:pStyle w:val="ListBullet2"/>
            </w:pPr>
            <w:r w:rsidRPr="008425A2">
              <w:t>measurement of distance to fault</w:t>
            </w:r>
          </w:p>
          <w:p w:rsidR="00000000" w:rsidRPr="008425A2" w:rsidP="008425A2">
            <w:pPr>
              <w:pStyle w:val="ListBullet2"/>
            </w:pPr>
            <w:r w:rsidRPr="008425A2">
              <w:t xml:space="preserve">measurement of feedline insertion loss </w:t>
            </w:r>
          </w:p>
          <w:p w:rsidR="00000000" w:rsidRPr="008425A2" w:rsidP="008425A2">
            <w:pPr>
              <w:pStyle w:val="ListBullet2"/>
            </w:pPr>
            <w:r w:rsidRPr="008425A2">
              <w:t>measurement of forward and reflected RF power</w:t>
            </w:r>
          </w:p>
          <w:p w:rsidR="00000000" w:rsidRPr="008425A2" w:rsidP="008425A2">
            <w:pPr>
              <w:pStyle w:val="ListBullet"/>
            </w:pPr>
            <w:r w:rsidRPr="008425A2">
              <w:t>features of  instrument and equipment test methods and performance requirements</w:t>
            </w:r>
          </w:p>
          <w:p w:rsidR="00000000" w:rsidRPr="008425A2" w:rsidP="008425A2">
            <w:pPr>
              <w:pStyle w:val="ListBullet"/>
            </w:pPr>
            <w:r w:rsidRPr="008425A2">
              <w:t>legislation, codes of practice and other formal agreements that directly impact on operation and testing of radio communications antennas and equipment</w:t>
            </w:r>
          </w:p>
          <w:p w:rsidR="00000000" w:rsidRPr="008425A2" w:rsidP="008425A2">
            <w:pPr>
              <w:pStyle w:val="ListBullet"/>
            </w:pPr>
            <w:r w:rsidRPr="008425A2">
              <w:t>overview knowledge of an</w:t>
            </w:r>
            <w:r w:rsidRPr="008425A2">
              <w:t>tennas and feedlines</w:t>
            </w:r>
          </w:p>
          <w:p w:rsidR="00000000" w:rsidRPr="008425A2" w:rsidP="008425A2">
            <w:pPr>
              <w:pStyle w:val="ListBullet"/>
            </w:pPr>
            <w:r w:rsidRPr="008425A2">
              <w:t xml:space="preserve">RF awareness, electromagnetic radiation (EMR) standards and specific OHS requirements that impact on the use and testing of radio communications instruments and equipment </w:t>
            </w:r>
          </w:p>
          <w:p w:rsidR="00000000" w:rsidRPr="008425A2" w:rsidP="008425A2">
            <w:pPr>
              <w:pStyle w:val="ListBullet"/>
            </w:pPr>
            <w:r w:rsidRPr="008425A2">
              <w:t>suitability of antennas to withstand extreme environments</w:t>
            </w:r>
          </w:p>
          <w:p w:rsidR="00000000" w:rsidRPr="008425A2" w:rsidP="008425A2">
            <w:pPr>
              <w:pStyle w:val="ListBullet"/>
            </w:pPr>
            <w:r w:rsidRPr="008425A2">
              <w:t>typic</w:t>
            </w:r>
            <w:r w:rsidRPr="008425A2">
              <w:t>al issues and challenges that occur in telecommunications antenna installations</w:t>
            </w:r>
          </w:p>
        </w:tc>
      </w:tr>
    </w:tbl>
    <w:p w:rsidR="00F166A1" w:rsidP="008425A2">
      <w:pPr>
        <w:pStyle w:val="BodyText"/>
      </w:pPr>
    </w:p>
    <w:p w:rsidR="00F166A1" w:rsidP="008425A2">
      <w:pPr>
        <w:pStyle w:val="BodyText"/>
      </w:pPr>
    </w:p>
    <w:p w:rsidR="00000000" w:rsidRPr="008425A2" w:rsidP="008425A2">
      <w:pPr>
        <w:pStyle w:val="AllowPageBreak"/>
      </w:pPr>
    </w:p>
    <w:p w:rsidR="00000000" w:rsidRPr="008425A2" w:rsidP="008425A2">
      <w:pPr>
        <w:pStyle w:val="Heading1"/>
      </w:pPr>
      <w:bookmarkStart w:id="10" w:name="O_244531"/>
      <w:bookmarkEnd w:id="10"/>
      <w:r w:rsidRPr="008425A2">
        <w:t>Evidence Guide</w:t>
      </w:r>
    </w:p>
    <w:tbl>
      <w:tblPr>
        <w:tblW w:w="9570" w:type="dxa"/>
        <w:tblLayout w:type="fixed"/>
        <w:tblCellMar>
          <w:left w:w="62" w:type="dxa"/>
          <w:right w:w="62" w:type="dxa"/>
        </w:tblCellMar>
        <w:tblLook w:val="0000"/>
      </w:tblPr>
      <w:tblGrid>
        <w:gridCol w:w="3908"/>
        <w:gridCol w:w="5662"/>
      </w:tblGrid>
      <w:tr w:rsidTr="00F166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EVIDENCE GUIDE</w:t>
            </w:r>
          </w:p>
        </w:tc>
      </w:tr>
      <w:tr w:rsidTr="00F166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t>The evidence guide provides advice on assessment and must be read in conjunction with the performance criteria, required skills and knowledge, range statement and the Assessment Guidelines for the Training Package.</w:t>
            </w:r>
          </w:p>
        </w:tc>
      </w:tr>
      <w:tr w:rsidTr="00F16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p>
        </w:tc>
      </w:tr>
      <w:tr w:rsidTr="00F16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Critical aspec</w:t>
            </w:r>
            <w:r w:rsidRPr="008425A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Evidence of the ability to:</w:t>
            </w:r>
          </w:p>
          <w:p w:rsidR="00000000" w:rsidRPr="008425A2" w:rsidP="008425A2">
            <w:pPr>
              <w:pStyle w:val="ListBullet"/>
            </w:pPr>
            <w:r w:rsidRPr="008425A2">
              <w:t>conduct installation of a communications antenna according to plans and specifications</w:t>
            </w:r>
          </w:p>
          <w:p w:rsidR="00000000" w:rsidRPr="008425A2" w:rsidP="008425A2">
            <w:pPr>
              <w:pStyle w:val="ListBullet"/>
            </w:pPr>
            <w:r w:rsidRPr="008425A2">
              <w:t>assess hazard levels at an RF site and apply knowledge of safety precautions for self, fellow workers and the public at large</w:t>
            </w:r>
          </w:p>
          <w:p w:rsidR="00000000" w:rsidRPr="008425A2" w:rsidP="008425A2">
            <w:pPr>
              <w:pStyle w:val="ListBullet"/>
            </w:pPr>
            <w:r w:rsidRPr="008425A2">
              <w:t xml:space="preserve">mount antenna, connect transmission line and physically align antenna </w:t>
            </w:r>
          </w:p>
          <w:p w:rsidR="00000000" w:rsidP="008425A2">
            <w:pPr>
              <w:pStyle w:val="ListBullet"/>
              <w:rPr>
                <w:lang w:val="en-NZ"/>
              </w:rPr>
            </w:pPr>
            <w:r w:rsidRPr="008425A2">
              <w:t>use appropriate test equipment to perform a return loss swe</w:t>
            </w:r>
            <w:r w:rsidRPr="008425A2">
              <w:t>ep measurement or a measurement of forward and reflected power on at least two different antenna systems.</w:t>
            </w:r>
          </w:p>
        </w:tc>
      </w:tr>
      <w:tr w:rsidTr="00F16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Context of</w:t>
            </w:r>
            <w:r w:rsidRPr="008425A2">
              <w:t xml:space="preserve">, </w:t>
            </w:r>
            <w:r w:rsidRPr="008425A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 xml:space="preserve">Assessment must ensure: </w:t>
            </w:r>
          </w:p>
          <w:p w:rsidR="00000000" w:rsidRPr="008425A2" w:rsidP="008425A2">
            <w:pPr>
              <w:pStyle w:val="ListBullet"/>
            </w:pPr>
            <w:r w:rsidRPr="008425A2">
              <w:t>site for antenna installation</w:t>
            </w:r>
          </w:p>
          <w:p w:rsidR="00000000" w:rsidRPr="008425A2" w:rsidP="008425A2">
            <w:pPr>
              <w:pStyle w:val="ListBullet"/>
            </w:pPr>
            <w:r w:rsidRPr="008425A2">
              <w:t>range of antennas and feedlines currently u</w:t>
            </w:r>
            <w:r w:rsidRPr="008425A2">
              <w:t>sed in industry</w:t>
            </w:r>
          </w:p>
          <w:p w:rsidR="00000000" w:rsidP="008425A2">
            <w:pPr>
              <w:pStyle w:val="ListBullet"/>
              <w:rPr>
                <w:lang w:val="en-NZ"/>
              </w:rPr>
            </w:pPr>
            <w:r w:rsidRPr="008425A2">
              <w:t>range of general and test equipment required for antenna installation and testing.</w:t>
            </w:r>
          </w:p>
        </w:tc>
      </w:tr>
      <w:tr w:rsidTr="00F16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A range of assessment methods should be used to assess practical skills and knowledge. The following examples are appropriate for this</w:t>
            </w:r>
            <w:r w:rsidRPr="008425A2">
              <w:t xml:space="preserve"> unit:</w:t>
            </w:r>
          </w:p>
          <w:p w:rsidR="00000000" w:rsidRPr="008425A2" w:rsidP="008425A2">
            <w:pPr>
              <w:pStyle w:val="ListBullet"/>
            </w:pPr>
            <w:r w:rsidRPr="008425A2">
              <w:t>direct observation of the candidate installing a directional communications antenna and adjusting its alignment</w:t>
            </w:r>
          </w:p>
          <w:p w:rsidR="00000000" w:rsidRPr="008425A2" w:rsidP="008425A2">
            <w:pPr>
              <w:pStyle w:val="ListBullet"/>
            </w:pPr>
            <w:r w:rsidRPr="008425A2">
              <w:t>direct observation of the candidate preparing, securing and connecting a coaxial transmission line or waveguide to the antenna under tes</w:t>
            </w:r>
            <w:r w:rsidRPr="008425A2">
              <w:t>t</w:t>
            </w:r>
          </w:p>
          <w:p w:rsidR="00000000" w:rsidRPr="008425A2" w:rsidP="008425A2">
            <w:pPr>
              <w:pStyle w:val="ListBullet"/>
            </w:pPr>
            <w:r w:rsidRPr="008425A2">
              <w:t>review of sweep test reports completed by the candidate for two different antenna types</w:t>
            </w:r>
          </w:p>
          <w:p w:rsidR="00000000" w:rsidP="008425A2">
            <w:pPr>
              <w:pStyle w:val="ListBullet"/>
              <w:rPr>
                <w:lang w:val="en-NZ"/>
              </w:rPr>
            </w:pPr>
            <w:r w:rsidRPr="008425A2">
              <w:t>oral or written questioning of candidate to assess knowledge of antenna installation practices.</w:t>
            </w:r>
          </w:p>
        </w:tc>
      </w:tr>
      <w:tr w:rsidTr="00F16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Guidance information for assessment</w:t>
            </w:r>
            <w:r w:rsidRPr="008425A2">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Holistic assessment with other units relevant to the industry sector, workplace and job role is recommended, for example:</w:t>
            </w:r>
          </w:p>
          <w:p w:rsidR="00000000" w:rsidRPr="008425A2" w:rsidP="008425A2">
            <w:pPr>
              <w:pStyle w:val="ListBullet"/>
            </w:pPr>
            <w:r w:rsidRPr="008425A2">
              <w:t>ICTRFN3070A Install mobile telecommunication in motor vehicles.</w:t>
            </w:r>
          </w:p>
          <w:p w:rsidR="00000000" w:rsidRPr="008425A2" w:rsidP="008425A2">
            <w:pPr>
              <w:pStyle w:val="BodyText"/>
            </w:pPr>
          </w:p>
          <w:p w:rsidR="00000000" w:rsidRPr="008425A2" w:rsidP="008425A2">
            <w:pPr>
              <w:pStyle w:val="BodyText"/>
            </w:pPr>
            <w:r w:rsidRPr="008425A2">
              <w:t>Aboriginal people and other people from a non-English speaking backg</w:t>
            </w:r>
            <w:r w:rsidRPr="008425A2">
              <w:t>round may have second language issues.</w:t>
            </w:r>
          </w:p>
          <w:p w:rsidR="00000000" w:rsidRPr="008425A2" w:rsidP="008425A2">
            <w:pPr>
              <w:pStyle w:val="BodyText"/>
            </w:pPr>
          </w:p>
          <w:p w:rsidR="00000000" w:rsidRPr="008425A2" w:rsidP="008425A2">
            <w:pPr>
              <w:pStyle w:val="BodyText"/>
            </w:pPr>
            <w:r w:rsidRPr="008425A2">
              <w:t xml:space="preserve">Access must be provided to appropriate learning and assessment support when required. </w:t>
            </w:r>
          </w:p>
          <w:p w:rsidR="00000000" w:rsidRPr="008425A2" w:rsidP="008425A2">
            <w:pPr>
              <w:pStyle w:val="BodyText"/>
            </w:pPr>
          </w:p>
          <w:p w:rsidR="00000000" w:rsidRPr="008425A2" w:rsidP="008425A2">
            <w:pPr>
              <w:pStyle w:val="BodyText"/>
            </w:pPr>
            <w:r w:rsidRPr="008425A2">
              <w:t>Assessment processes and techniques must be culturally appropriate, and appropriate to the oral communication skill level, and l</w:t>
            </w:r>
            <w:r w:rsidRPr="008425A2">
              <w:t>anguage and literacy capacity of the candidate and the work being performed.</w:t>
            </w:r>
          </w:p>
          <w:p w:rsidR="00000000" w:rsidRPr="008425A2" w:rsidP="008425A2">
            <w:pPr>
              <w:pStyle w:val="BodyText"/>
            </w:pPr>
          </w:p>
          <w:p w:rsidR="00000000" w:rsidRPr="008425A2" w:rsidP="008425A2">
            <w:pPr>
              <w:pStyle w:val="BodyText"/>
            </w:pPr>
            <w:r w:rsidRPr="008425A2">
              <w:t>In all cases where practical assessment is used it will be combined with targeted questioning to assess required knowledge. Questioning techniques should not require language, li</w:t>
            </w:r>
            <w:r w:rsidRPr="008425A2">
              <w:t>teracy and numeracy skills beyond those required in this unit of competency.</w:t>
            </w:r>
          </w:p>
          <w:p w:rsidR="00000000" w:rsidRPr="008425A2" w:rsidP="008425A2">
            <w:pPr>
              <w:pStyle w:val="BodyText"/>
            </w:pPr>
          </w:p>
          <w:p w:rsidR="00000000" w:rsidRPr="008425A2" w:rsidP="008425A2">
            <w:pPr>
              <w:pStyle w:val="BodyText"/>
            </w:pPr>
            <w:r w:rsidRPr="008425A2">
              <w:t>Where applicable, physical resources should include equipment modified for people with special needs.</w:t>
            </w:r>
          </w:p>
        </w:tc>
      </w:tr>
    </w:tbl>
    <w:p w:rsidR="00F166A1" w:rsidP="008425A2">
      <w:pPr>
        <w:pStyle w:val="BodyText"/>
      </w:pPr>
    </w:p>
    <w:p w:rsidR="00F166A1" w:rsidP="008425A2">
      <w:pPr>
        <w:pStyle w:val="BodyText"/>
      </w:pPr>
    </w:p>
    <w:p w:rsidR="00000000" w:rsidRPr="008425A2" w:rsidP="008425A2">
      <w:pPr>
        <w:pStyle w:val="Heading1"/>
      </w:pPr>
      <w:bookmarkStart w:id="11" w:name="O_252514"/>
      <w:bookmarkEnd w:id="11"/>
      <w:r w:rsidRPr="008425A2">
        <w:t>Range Statement</w:t>
      </w:r>
    </w:p>
    <w:tbl>
      <w:tblPr>
        <w:tblW w:w="0" w:type="auto"/>
        <w:tblLayout w:type="fixed"/>
        <w:tblCellMar>
          <w:left w:w="62" w:type="dxa"/>
          <w:right w:w="62" w:type="dxa"/>
        </w:tblCellMar>
        <w:tblLook w:val="0000"/>
      </w:tblPr>
      <w:tblGrid>
        <w:gridCol w:w="3504"/>
        <w:gridCol w:w="5018"/>
      </w:tblGrid>
      <w:tr w:rsidTr="00F166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RANGE STATEMENT</w:t>
            </w:r>
          </w:p>
        </w:tc>
      </w:tr>
      <w:tr w:rsidTr="00F166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t>The range statement relates to the unit of competency as a whole. It allows for different work environments and situations that may affect performance. Bold italicised wording, if used in the performance criteria, is detailed below. Essential operating con</w:t>
            </w:r>
            <w:r w:rsidRPr="008425A2">
              <w:t>ditions that may be present with training and assessment (depending on the work situation, needs of the candidate, accessibility of the item, and local industry and regional contexts) may also be included.</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Legislation</w:t>
            </w:r>
            <w:r w:rsidRPr="008425A2">
              <w:t xml:space="preserve">, </w:t>
            </w:r>
            <w:r w:rsidRPr="008425A2">
              <w:rPr>
                <w:rStyle w:val="BoldandItalics"/>
              </w:rPr>
              <w:t>codes</w:t>
            </w:r>
            <w:r w:rsidRPr="008425A2">
              <w:t xml:space="preserve">, </w:t>
            </w:r>
            <w:r w:rsidRPr="008425A2">
              <w:rPr>
                <w:rStyle w:val="BoldandItalics"/>
              </w:rPr>
              <w:t>regulations and standards</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Australian Communications Industry Forum (ACIF) standards and codes</w:t>
            </w:r>
          </w:p>
          <w:p w:rsidR="00000000" w:rsidRPr="008425A2" w:rsidP="008425A2">
            <w:pPr>
              <w:pStyle w:val="ListBullet"/>
            </w:pPr>
            <w:r w:rsidRPr="008425A2">
              <w:t>Australian Communications and Media Authority (ACMA) technical standards</w:t>
            </w:r>
          </w:p>
          <w:p w:rsidR="00000000" w:rsidRPr="008425A2" w:rsidP="008425A2">
            <w:pPr>
              <w:pStyle w:val="ListBullet"/>
            </w:pPr>
            <w:r w:rsidRPr="008425A2">
              <w:t>Australian Radiation Protection and Nuclear Safety Agency (ARPANSA) EMR standard</w:t>
            </w:r>
          </w:p>
          <w:p w:rsidR="00000000" w:rsidRPr="008425A2" w:rsidP="008425A2">
            <w:pPr>
              <w:pStyle w:val="ListBullet"/>
            </w:pPr>
            <w:r w:rsidRPr="008425A2">
              <w:t>Australian building</w:t>
            </w:r>
            <w:r w:rsidRPr="008425A2">
              <w:t xml:space="preserve"> codes and regulations</w:t>
            </w:r>
          </w:p>
          <w:p w:rsidR="00000000" w:rsidRPr="008425A2" w:rsidP="008425A2">
            <w:pPr>
              <w:pStyle w:val="ListBullet"/>
            </w:pPr>
            <w:r w:rsidRPr="008425A2">
              <w:t>Australian standards</w:t>
            </w:r>
          </w:p>
          <w:p w:rsidR="00000000" w:rsidRPr="008425A2" w:rsidP="008425A2">
            <w:pPr>
              <w:pStyle w:val="ListBullet"/>
            </w:pPr>
            <w:r w:rsidRPr="008425A2">
              <w:t>enterprise standards</w:t>
            </w:r>
          </w:p>
          <w:p w:rsidR="00000000" w:rsidRPr="008425A2" w:rsidP="008425A2">
            <w:pPr>
              <w:pStyle w:val="ListBullet"/>
            </w:pPr>
            <w:r w:rsidRPr="008425A2">
              <w:t>Environmental Protection Acts</w:t>
            </w:r>
          </w:p>
          <w:p w:rsidR="00000000" w:rsidRPr="008425A2" w:rsidP="008425A2">
            <w:pPr>
              <w:pStyle w:val="ListBullet"/>
            </w:pPr>
            <w:r w:rsidRPr="008425A2">
              <w:t xml:space="preserve">equipment standards, </w:t>
            </w:r>
          </w:p>
          <w:p w:rsidR="00000000" w:rsidRPr="008425A2" w:rsidP="008425A2">
            <w:pPr>
              <w:pStyle w:val="ListBullet"/>
            </w:pPr>
            <w:r w:rsidRPr="008425A2">
              <w:t>fire regulations</w:t>
            </w:r>
          </w:p>
          <w:p w:rsidR="00000000" w:rsidRPr="008425A2" w:rsidP="008425A2">
            <w:pPr>
              <w:pStyle w:val="ListBullet"/>
            </w:pPr>
            <w:r w:rsidRPr="008425A2">
              <w:t>heritage legislation</w:t>
            </w:r>
          </w:p>
          <w:p w:rsidR="00000000" w:rsidRPr="008425A2" w:rsidP="008425A2">
            <w:pPr>
              <w:pStyle w:val="ListBullet"/>
            </w:pPr>
            <w:r w:rsidRPr="008425A2">
              <w:t>international standards</w:t>
            </w:r>
          </w:p>
          <w:p w:rsidR="00000000" w:rsidRPr="008425A2" w:rsidP="008425A2">
            <w:pPr>
              <w:pStyle w:val="ListBullet"/>
            </w:pPr>
            <w:r w:rsidRPr="008425A2">
              <w:t xml:space="preserve">intrinsically safe lightning protection </w:t>
            </w:r>
          </w:p>
          <w:p w:rsidR="00000000" w:rsidRPr="008425A2" w:rsidP="008425A2">
            <w:pPr>
              <w:pStyle w:val="ListBullet"/>
            </w:pPr>
            <w:r w:rsidRPr="008425A2">
              <w:t>local government</w:t>
            </w:r>
          </w:p>
          <w:p w:rsidR="00000000" w:rsidRPr="008425A2" w:rsidP="008425A2">
            <w:pPr>
              <w:pStyle w:val="ListBullet"/>
            </w:pPr>
            <w:r w:rsidRPr="008425A2">
              <w:t>OHS</w:t>
            </w:r>
          </w:p>
          <w:p w:rsidR="00000000" w:rsidRPr="008425A2" w:rsidP="008425A2">
            <w:pPr>
              <w:pStyle w:val="ListBullet"/>
            </w:pPr>
            <w:r w:rsidRPr="008425A2">
              <w:t>Radcoms Act</w:t>
            </w:r>
          </w:p>
          <w:p w:rsidR="00000000" w:rsidRPr="008425A2" w:rsidP="008425A2">
            <w:pPr>
              <w:pStyle w:val="ListBullet"/>
            </w:pPr>
            <w:r w:rsidRPr="008425A2">
              <w:t>site engineering standard</w:t>
            </w:r>
          </w:p>
          <w:p w:rsidR="00000000" w:rsidP="008425A2">
            <w:pPr>
              <w:pStyle w:val="ListBullet"/>
              <w:rPr>
                <w:lang w:val="en-NZ"/>
              </w:rPr>
            </w:pPr>
            <w:r w:rsidRPr="008425A2">
              <w:t>Telecoms Act.</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Radio Communication Site Management Book</w:t>
            </w:r>
            <w:r w:rsidRPr="008425A2">
              <w:t xml:space="preserve"> (</w:t>
            </w:r>
            <w:r w:rsidRPr="008425A2">
              <w:rPr>
                <w:rStyle w:val="BoldandItalics"/>
              </w:rPr>
              <w:t>RCSMB</w:t>
            </w:r>
            <w:r w:rsidRPr="008425A2">
              <w:t>)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 xml:space="preserve">building coverage </w:t>
            </w:r>
          </w:p>
          <w:p w:rsidR="00000000" w:rsidRPr="008425A2" w:rsidP="008425A2">
            <w:pPr>
              <w:pStyle w:val="ListBullet"/>
            </w:pPr>
            <w:r w:rsidRPr="008425A2">
              <w:t xml:space="preserve">limited </w:t>
            </w:r>
          </w:p>
          <w:p w:rsidR="00000000" w:rsidRPr="008425A2" w:rsidP="008425A2">
            <w:pPr>
              <w:pStyle w:val="ListBullet"/>
            </w:pPr>
            <w:r w:rsidRPr="008425A2">
              <w:t xml:space="preserve">proposed </w:t>
            </w:r>
          </w:p>
          <w:p w:rsidR="00000000" w:rsidP="008425A2">
            <w:pPr>
              <w:pStyle w:val="ListBullet"/>
              <w:rPr>
                <w:lang w:val="en-NZ"/>
              </w:rPr>
            </w:pPr>
            <w:r w:rsidRPr="008425A2">
              <w:t>provisional.</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Appropriate personnel</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construction manager</w:t>
            </w:r>
          </w:p>
          <w:p w:rsidR="00000000" w:rsidRPr="008425A2" w:rsidP="008425A2">
            <w:pPr>
              <w:pStyle w:val="ListBullet"/>
            </w:pPr>
            <w:r w:rsidRPr="008425A2">
              <w:t>consultant</w:t>
            </w:r>
          </w:p>
          <w:p w:rsidR="00000000" w:rsidRPr="008425A2" w:rsidP="008425A2">
            <w:pPr>
              <w:pStyle w:val="ListBullet"/>
            </w:pPr>
            <w:r w:rsidRPr="008425A2">
              <w:t>project manager</w:t>
            </w:r>
          </w:p>
          <w:p w:rsidR="00000000" w:rsidRPr="008425A2" w:rsidP="008425A2">
            <w:pPr>
              <w:pStyle w:val="ListBullet"/>
            </w:pPr>
            <w:r w:rsidRPr="008425A2">
              <w:t>safety officer</w:t>
            </w:r>
          </w:p>
          <w:p w:rsidR="00000000" w:rsidRPr="008425A2" w:rsidP="008425A2">
            <w:pPr>
              <w:pStyle w:val="ListBullet"/>
            </w:pPr>
            <w:r w:rsidRPr="008425A2">
              <w:t>site manager</w:t>
            </w:r>
          </w:p>
          <w:p w:rsidR="00000000" w:rsidP="008425A2">
            <w:pPr>
              <w:pStyle w:val="ListBullet"/>
              <w:rPr>
                <w:lang w:val="en-NZ"/>
              </w:rPr>
            </w:pPr>
            <w:r w:rsidRPr="008425A2">
              <w:t>site supervisor.</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Other antennas</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belonging to the same organisation</w:t>
            </w:r>
          </w:p>
          <w:p w:rsidR="00000000" w:rsidRPr="008425A2" w:rsidP="008425A2">
            <w:pPr>
              <w:pStyle w:val="ListBullet"/>
            </w:pPr>
            <w:r w:rsidRPr="008425A2">
              <w:t>civil agencies</w:t>
            </w:r>
          </w:p>
          <w:p w:rsidR="00000000" w:rsidRPr="008425A2" w:rsidP="008425A2">
            <w:pPr>
              <w:pStyle w:val="ListBullet"/>
            </w:pPr>
            <w:r w:rsidRPr="008425A2">
              <w:t>co-located at this site</w:t>
            </w:r>
          </w:p>
          <w:p w:rsidR="00000000" w:rsidRPr="008425A2" w:rsidP="008425A2">
            <w:pPr>
              <w:pStyle w:val="ListBullet"/>
            </w:pPr>
            <w:r w:rsidRPr="008425A2">
              <w:t>defence agencies</w:t>
            </w:r>
          </w:p>
          <w:p w:rsidR="00000000" w:rsidRPr="008425A2" w:rsidP="008425A2">
            <w:pPr>
              <w:pStyle w:val="ListBullet"/>
            </w:pPr>
            <w:r w:rsidRPr="008425A2">
              <w:t>government agencies</w:t>
            </w:r>
          </w:p>
          <w:p w:rsidR="00000000" w:rsidRPr="008425A2" w:rsidP="008425A2">
            <w:pPr>
              <w:pStyle w:val="ListBullet"/>
            </w:pPr>
            <w:r w:rsidRPr="008425A2">
              <w:t>operating in the same or other frequency bands</w:t>
            </w:r>
          </w:p>
          <w:p w:rsidR="00000000" w:rsidRPr="008425A2" w:rsidP="008425A2">
            <w:pPr>
              <w:pStyle w:val="ListBullet"/>
            </w:pPr>
            <w:r w:rsidRPr="008425A2">
              <w:t>other carriers</w:t>
            </w:r>
          </w:p>
          <w:p w:rsidR="00000000" w:rsidP="008425A2">
            <w:pPr>
              <w:pStyle w:val="ListBullet"/>
              <w:rPr>
                <w:lang w:val="en-NZ"/>
              </w:rPr>
            </w:pPr>
            <w:r w:rsidRPr="008425A2">
              <w:t>private enterprise.</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An</w:t>
            </w:r>
            <w:r w:rsidRPr="008425A2">
              <w:rPr>
                <w:rStyle w:val="BoldandItalics"/>
              </w:rPr>
              <w:t>tenna system</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 xml:space="preserve">antenna </w:t>
            </w:r>
          </w:p>
          <w:p w:rsidR="00000000" w:rsidRPr="008425A2" w:rsidP="008425A2">
            <w:pPr>
              <w:pStyle w:val="ListBullet"/>
            </w:pPr>
            <w:r w:rsidRPr="008425A2">
              <w:t>connector</w:t>
            </w:r>
          </w:p>
          <w:p w:rsidR="00000000" w:rsidRPr="008425A2" w:rsidP="008425A2">
            <w:pPr>
              <w:pStyle w:val="ListBullet"/>
            </w:pPr>
            <w:r w:rsidRPr="008425A2">
              <w:t>flange</w:t>
            </w:r>
          </w:p>
          <w:p w:rsidR="00000000" w:rsidP="008425A2">
            <w:pPr>
              <w:pStyle w:val="ListBullet"/>
              <w:rPr>
                <w:lang w:val="en-NZ"/>
              </w:rPr>
            </w:pPr>
            <w:r w:rsidRPr="008425A2">
              <w:t>feedline.</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Feedline</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flexible coaxial cable</w:t>
            </w:r>
          </w:p>
          <w:p w:rsidR="00000000" w:rsidRPr="008425A2" w:rsidP="008425A2">
            <w:pPr>
              <w:pStyle w:val="ListBullet"/>
            </w:pPr>
            <w:r w:rsidRPr="008425A2">
              <w:t>interconnected cable harness</w:t>
            </w:r>
          </w:p>
          <w:p w:rsidR="00000000" w:rsidRPr="008425A2" w:rsidP="008425A2">
            <w:pPr>
              <w:pStyle w:val="ListBullet"/>
            </w:pPr>
            <w:r w:rsidRPr="008425A2">
              <w:t>non-pressurised coaxial lines</w:t>
            </w:r>
          </w:p>
          <w:p w:rsidR="00000000" w:rsidRPr="008425A2" w:rsidP="008425A2">
            <w:pPr>
              <w:pStyle w:val="ListBullet"/>
            </w:pPr>
            <w:r w:rsidRPr="008425A2">
              <w:t>pressurised coaxial lines</w:t>
            </w:r>
          </w:p>
          <w:p w:rsidR="00000000" w:rsidRPr="008425A2" w:rsidP="008425A2">
            <w:pPr>
              <w:pStyle w:val="ListBullet"/>
            </w:pPr>
            <w:r w:rsidRPr="008425A2">
              <w:t>rigid or semi-rigid coaxial line</w:t>
            </w:r>
          </w:p>
          <w:p w:rsidR="00000000" w:rsidRPr="008425A2" w:rsidP="008425A2">
            <w:pPr>
              <w:pStyle w:val="ListBullet"/>
            </w:pPr>
            <w:r w:rsidRPr="008425A2">
              <w:t>waveguide:</w:t>
            </w:r>
          </w:p>
          <w:p w:rsidR="00000000" w:rsidRPr="008425A2" w:rsidP="008425A2">
            <w:pPr>
              <w:pStyle w:val="ListBullet2"/>
            </w:pPr>
            <w:r w:rsidRPr="008425A2">
              <w:t>circular cross section</w:t>
            </w:r>
          </w:p>
          <w:p w:rsidR="00000000" w:rsidRPr="008425A2" w:rsidP="008425A2">
            <w:pPr>
              <w:pStyle w:val="ListBullet2"/>
            </w:pPr>
            <w:r w:rsidRPr="008425A2">
              <w:t>elliptical or cross section</w:t>
            </w:r>
          </w:p>
          <w:p w:rsidR="00000000" w:rsidRPr="008425A2" w:rsidP="008425A2">
            <w:pPr>
              <w:pStyle w:val="ListBullet2"/>
            </w:pPr>
            <w:r w:rsidRPr="008425A2">
              <w:t>non-pressurised types</w:t>
            </w:r>
          </w:p>
          <w:p w:rsidR="00000000" w:rsidRPr="008425A2" w:rsidP="008425A2">
            <w:pPr>
              <w:pStyle w:val="ListBullet2"/>
            </w:pPr>
            <w:r w:rsidRPr="008425A2">
              <w:t>pressurised types</w:t>
            </w:r>
          </w:p>
          <w:p w:rsidR="00000000" w:rsidRPr="008425A2" w:rsidP="008425A2">
            <w:pPr>
              <w:pStyle w:val="ListBullet2"/>
            </w:pPr>
            <w:r w:rsidRPr="008425A2">
              <w:t>rectangular cross section</w:t>
            </w:r>
          </w:p>
          <w:p w:rsidR="00000000" w:rsidP="008425A2">
            <w:pPr>
              <w:pStyle w:val="ListBullet2"/>
              <w:rPr>
                <w:lang w:val="en-NZ"/>
              </w:rPr>
            </w:pPr>
            <w:r w:rsidRPr="008425A2">
              <w:t>rigid or semi-rigid waveguides.</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Tools and equipment</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general equipment:</w:t>
            </w:r>
          </w:p>
          <w:p w:rsidR="00000000" w:rsidRPr="008425A2" w:rsidP="008425A2">
            <w:pPr>
              <w:pStyle w:val="ListBullet2"/>
            </w:pPr>
            <w:r w:rsidRPr="008425A2">
              <w:t>crane</w:t>
            </w:r>
          </w:p>
          <w:p w:rsidR="00000000" w:rsidRPr="008425A2" w:rsidP="008425A2">
            <w:pPr>
              <w:pStyle w:val="ListBullet2"/>
            </w:pPr>
            <w:r w:rsidRPr="008425A2">
              <w:t xml:space="preserve">elevated platform </w:t>
            </w:r>
          </w:p>
          <w:p w:rsidR="00000000" w:rsidRPr="008425A2" w:rsidP="008425A2">
            <w:pPr>
              <w:pStyle w:val="ListBullet2"/>
            </w:pPr>
            <w:r w:rsidRPr="008425A2">
              <w:t xml:space="preserve">hand and power tools </w:t>
            </w:r>
          </w:p>
          <w:p w:rsidR="00000000" w:rsidRPr="008425A2" w:rsidP="008425A2">
            <w:pPr>
              <w:pStyle w:val="ListBullet2"/>
            </w:pPr>
            <w:r w:rsidRPr="008425A2">
              <w:t>winch</w:t>
            </w:r>
          </w:p>
          <w:p w:rsidR="00000000" w:rsidRPr="008425A2" w:rsidP="008425A2">
            <w:pPr>
              <w:pStyle w:val="ListBullet"/>
            </w:pPr>
            <w:r w:rsidRPr="008425A2">
              <w:t>test equipment:</w:t>
            </w:r>
          </w:p>
          <w:p w:rsidR="00000000" w:rsidRPr="008425A2" w:rsidP="008425A2">
            <w:pPr>
              <w:pStyle w:val="ListBullet2"/>
            </w:pPr>
            <w:r w:rsidRPr="008425A2">
              <w:t>antenna analyser</w:t>
            </w:r>
          </w:p>
          <w:p w:rsidR="00000000" w:rsidRPr="008425A2" w:rsidP="008425A2">
            <w:pPr>
              <w:pStyle w:val="ListBullet2"/>
            </w:pPr>
            <w:r w:rsidRPr="008425A2">
              <w:t>directional RF power meter</w:t>
            </w:r>
          </w:p>
          <w:p w:rsidR="00000000" w:rsidRPr="008425A2" w:rsidP="008425A2">
            <w:pPr>
              <w:pStyle w:val="ListBullet2"/>
            </w:pPr>
            <w:r w:rsidRPr="008425A2">
              <w:t>multimeter</w:t>
            </w:r>
          </w:p>
          <w:p w:rsidR="00000000" w:rsidRPr="008425A2" w:rsidP="008425A2">
            <w:pPr>
              <w:pStyle w:val="ListBullet2"/>
            </w:pPr>
            <w:r w:rsidRPr="008425A2">
              <w:t>return loss measuring equipment</w:t>
            </w:r>
          </w:p>
          <w:p w:rsidR="00000000" w:rsidRPr="008425A2" w:rsidP="008425A2">
            <w:pPr>
              <w:pStyle w:val="ListBullet2"/>
            </w:pPr>
            <w:r w:rsidRPr="008425A2">
              <w:t>RF termination</w:t>
            </w:r>
          </w:p>
          <w:p w:rsidR="00000000" w:rsidP="008425A2">
            <w:pPr>
              <w:pStyle w:val="ListBullet2"/>
              <w:rPr>
                <w:lang w:val="en-NZ"/>
              </w:rPr>
            </w:pPr>
            <w:r w:rsidRPr="008425A2">
              <w:t>spectrum analyser.</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Polarisation</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circular polarisation</w:t>
            </w:r>
          </w:p>
          <w:p w:rsidR="00000000" w:rsidRPr="008425A2" w:rsidP="008425A2">
            <w:pPr>
              <w:pStyle w:val="ListBullet"/>
            </w:pPr>
            <w:r w:rsidRPr="008425A2">
              <w:t>horizontal direction of electric field</w:t>
            </w:r>
          </w:p>
          <w:p w:rsidR="00000000" w:rsidP="008425A2">
            <w:pPr>
              <w:pStyle w:val="ListBullet"/>
              <w:rPr>
                <w:lang w:val="en-NZ"/>
              </w:rPr>
            </w:pPr>
            <w:r w:rsidRPr="008425A2">
              <w:t>vertical direction of electric field.</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Lightning protection systems</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air terminal or lightning rod</w:t>
            </w:r>
          </w:p>
          <w:p w:rsidR="00000000" w:rsidRPr="008425A2" w:rsidP="008425A2">
            <w:pPr>
              <w:pStyle w:val="ListBullet"/>
            </w:pPr>
            <w:r w:rsidRPr="008425A2">
              <w:t>down conductor</w:t>
            </w:r>
          </w:p>
          <w:p w:rsidR="00000000" w:rsidP="008425A2">
            <w:pPr>
              <w:pStyle w:val="ListBullet"/>
              <w:rPr>
                <w:lang w:val="en-NZ"/>
              </w:rPr>
            </w:pPr>
            <w:r w:rsidRPr="008425A2">
              <w:t>lightning protectors or surge arrestors.</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Align</w:t>
            </w:r>
            <w:r w:rsidRPr="008425A2">
              <w:t xml:space="preserve"> may refer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azimuth</w:t>
            </w:r>
          </w:p>
          <w:p w:rsidR="00000000" w:rsidP="008425A2">
            <w:pPr>
              <w:pStyle w:val="ListBullet"/>
              <w:rPr>
                <w:lang w:val="en-NZ"/>
              </w:rPr>
            </w:pPr>
            <w:r w:rsidRPr="008425A2">
              <w:t>elevation.</w:t>
            </w:r>
          </w:p>
        </w:tc>
      </w:tr>
      <w:tr w:rsidTr="00F166A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BoldandItalics"/>
              </w:rPr>
              <w:t>Performance tests</w:t>
            </w:r>
            <w:r w:rsidRPr="008425A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ListBullet"/>
            </w:pPr>
            <w:r w:rsidRPr="008425A2">
              <w:t>antenna sweep:</w:t>
            </w:r>
          </w:p>
          <w:p w:rsidR="00000000" w:rsidRPr="008425A2" w:rsidP="008425A2">
            <w:pPr>
              <w:pStyle w:val="ListBullet2"/>
            </w:pPr>
            <w:r w:rsidRPr="008425A2">
              <w:t>antenna analyser</w:t>
            </w:r>
          </w:p>
          <w:p w:rsidR="00000000" w:rsidRPr="008425A2" w:rsidP="008425A2">
            <w:pPr>
              <w:pStyle w:val="ListBullet2"/>
            </w:pPr>
            <w:r w:rsidRPr="008425A2">
              <w:t>return loss bridge and RF sweep generator</w:t>
            </w:r>
          </w:p>
          <w:p w:rsidR="00000000" w:rsidRPr="008425A2" w:rsidP="008425A2">
            <w:pPr>
              <w:pStyle w:val="ListBullet2"/>
            </w:pPr>
            <w:r w:rsidRPr="008425A2">
              <w:t>scalar network analyser</w:t>
            </w:r>
          </w:p>
          <w:p w:rsidR="00000000" w:rsidRPr="008425A2" w:rsidP="008425A2">
            <w:pPr>
              <w:pStyle w:val="ListBullet2"/>
            </w:pPr>
            <w:r w:rsidRPr="008425A2">
              <w:t>vector network analyser</w:t>
            </w:r>
          </w:p>
          <w:p w:rsidR="00000000" w:rsidRPr="008425A2" w:rsidP="008425A2">
            <w:pPr>
              <w:pStyle w:val="ListBullet2"/>
            </w:pPr>
            <w:r w:rsidRPr="008425A2">
              <w:t>voltage standing wave ratio (VSWR) measurements</w:t>
            </w:r>
          </w:p>
          <w:p w:rsidR="00000000" w:rsidRPr="008425A2" w:rsidP="008425A2">
            <w:pPr>
              <w:pStyle w:val="ListBullet"/>
            </w:pPr>
            <w:r w:rsidRPr="008425A2">
              <w:t>distance to fault</w:t>
            </w:r>
          </w:p>
          <w:p w:rsidR="00000000" w:rsidRPr="008425A2" w:rsidP="008425A2">
            <w:pPr>
              <w:pStyle w:val="ListBullet"/>
            </w:pPr>
            <w:r w:rsidRPr="008425A2">
              <w:t>insertion loss</w:t>
            </w:r>
          </w:p>
          <w:p w:rsidR="00000000" w:rsidRPr="008425A2" w:rsidP="008425A2">
            <w:pPr>
              <w:pStyle w:val="ListBullet"/>
            </w:pPr>
            <w:r w:rsidRPr="008425A2">
              <w:t>reflected power:</w:t>
            </w:r>
          </w:p>
          <w:p w:rsidR="00000000" w:rsidRPr="008425A2" w:rsidP="008425A2">
            <w:pPr>
              <w:pStyle w:val="ListBullet2"/>
            </w:pPr>
            <w:r w:rsidRPr="008425A2">
              <w:t>antenna analyser</w:t>
            </w:r>
          </w:p>
          <w:p w:rsidR="00000000" w:rsidRPr="008425A2" w:rsidP="008425A2">
            <w:pPr>
              <w:pStyle w:val="ListBullet2"/>
            </w:pPr>
            <w:r w:rsidRPr="008425A2">
              <w:t>directional power meter at a s</w:t>
            </w:r>
            <w:r w:rsidRPr="008425A2">
              <w:t>ingle frequency only</w:t>
            </w:r>
          </w:p>
          <w:p w:rsidR="00000000" w:rsidRPr="008425A2" w:rsidP="008425A2">
            <w:pPr>
              <w:pStyle w:val="ListBullet2"/>
            </w:pPr>
            <w:r w:rsidRPr="008425A2">
              <w:t>return loss bridge and RF sweep generator</w:t>
            </w:r>
          </w:p>
          <w:p w:rsidR="00000000" w:rsidRPr="008425A2" w:rsidP="008425A2">
            <w:pPr>
              <w:pStyle w:val="ListBullet2"/>
            </w:pPr>
            <w:r w:rsidRPr="008425A2">
              <w:t>scalar network analyser</w:t>
            </w:r>
          </w:p>
          <w:p w:rsidR="00000000" w:rsidRPr="008425A2" w:rsidP="008425A2">
            <w:pPr>
              <w:pStyle w:val="ListBullet2"/>
            </w:pPr>
            <w:r w:rsidRPr="008425A2">
              <w:t>vector network analyser</w:t>
            </w:r>
          </w:p>
          <w:p w:rsidR="00000000" w:rsidRPr="008425A2" w:rsidP="008425A2">
            <w:pPr>
              <w:pStyle w:val="ListBullet"/>
            </w:pPr>
            <w:r w:rsidRPr="008425A2">
              <w:t>return loss.</w:t>
            </w:r>
          </w:p>
        </w:tc>
      </w:tr>
    </w:tbl>
    <w:p w:rsidR="00F166A1" w:rsidP="008425A2">
      <w:pPr>
        <w:pStyle w:val="BodyText"/>
      </w:pPr>
    </w:p>
    <w:p w:rsidR="00F166A1" w:rsidP="008425A2">
      <w:pPr>
        <w:pStyle w:val="BodyText"/>
      </w:pPr>
    </w:p>
    <w:p w:rsidR="00000000" w:rsidRPr="008425A2" w:rsidP="008425A2">
      <w:pPr>
        <w:pStyle w:val="Heading1"/>
      </w:pPr>
      <w:bookmarkStart w:id="12" w:name="O_209283"/>
      <w:bookmarkEnd w:id="12"/>
      <w:r w:rsidRPr="008425A2">
        <w:t>Unit Sector(s)</w:t>
      </w:r>
    </w:p>
    <w:tbl>
      <w:tblPr>
        <w:tblW w:w="0" w:type="auto"/>
        <w:tblLayout w:type="fixed"/>
        <w:tblCellMar>
          <w:left w:w="62" w:type="dxa"/>
          <w:right w:w="62" w:type="dxa"/>
        </w:tblCellMar>
        <w:tblLook w:val="0000"/>
      </w:tblPr>
      <w:tblGrid>
        <w:gridCol w:w="2570"/>
        <w:gridCol w:w="5952"/>
      </w:tblGrid>
      <w:tr w:rsidTr="00F166A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Telecommunications</w:t>
            </w:r>
          </w:p>
        </w:tc>
      </w:tr>
    </w:tbl>
    <w:p w:rsidR="00F166A1" w:rsidP="008425A2">
      <w:pPr>
        <w:pStyle w:val="BodyText"/>
      </w:pPr>
    </w:p>
    <w:p w:rsidR="00F166A1" w:rsidP="008425A2">
      <w:pPr>
        <w:pStyle w:val="BodyText"/>
      </w:pPr>
    </w:p>
    <w:p w:rsidR="00000000" w:rsidRPr="008425A2" w:rsidP="008425A2">
      <w:pPr>
        <w:pStyle w:val="Heading1"/>
      </w:pPr>
      <w:bookmarkStart w:id="13" w:name="O_209280"/>
      <w:bookmarkEnd w:id="13"/>
      <w:r w:rsidRPr="008425A2">
        <w:t>Co-requisite units</w:t>
      </w:r>
    </w:p>
    <w:tbl>
      <w:tblPr>
        <w:tblW w:w="0" w:type="auto"/>
        <w:tblLayout w:type="fixed"/>
        <w:tblCellMar>
          <w:left w:w="62" w:type="dxa"/>
          <w:right w:w="62" w:type="dxa"/>
        </w:tblCellMar>
        <w:tblLook w:val="0000"/>
      </w:tblPr>
      <w:tblGrid>
        <w:gridCol w:w="2641"/>
        <w:gridCol w:w="1322"/>
        <w:gridCol w:w="4559"/>
      </w:tblGrid>
      <w:tr w:rsidTr="00F166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p>
        </w:tc>
      </w:tr>
      <w:tr w:rsidTr="00F166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p>
        </w:tc>
      </w:tr>
      <w:tr w:rsidTr="00F166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p>
        </w:tc>
      </w:tr>
    </w:tbl>
    <w:p w:rsidR="00F166A1" w:rsidP="008425A2">
      <w:pPr>
        <w:pStyle w:val="BodyText"/>
      </w:pPr>
    </w:p>
    <w:p w:rsidR="00F166A1" w:rsidP="008425A2">
      <w:pPr>
        <w:pStyle w:val="BodyText"/>
      </w:pPr>
    </w:p>
    <w:p w:rsidR="00000000" w:rsidRPr="008425A2" w:rsidP="008425A2">
      <w:pPr>
        <w:pStyle w:val="Heading1"/>
      </w:pPr>
      <w:bookmarkStart w:id="14" w:name="O_209282"/>
      <w:bookmarkEnd w:id="14"/>
      <w:r w:rsidRPr="008425A2">
        <w:t>Competency field</w:t>
      </w:r>
    </w:p>
    <w:tbl>
      <w:tblPr>
        <w:tblW w:w="0" w:type="auto"/>
        <w:tblLayout w:type="fixed"/>
        <w:tblCellMar>
          <w:left w:w="62" w:type="dxa"/>
          <w:right w:w="62" w:type="dxa"/>
        </w:tblCellMar>
        <w:tblLook w:val="0000"/>
      </w:tblPr>
      <w:tblGrid>
        <w:gridCol w:w="2779"/>
        <w:gridCol w:w="5743"/>
      </w:tblGrid>
      <w:tr w:rsidTr="00F166A1">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5A2">
            <w:pPr>
              <w:pStyle w:val="BodyText"/>
              <w:rPr>
                <w:lang w:val="en-NZ"/>
              </w:rPr>
            </w:pPr>
            <w:r w:rsidRPr="008425A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5A2" w:rsidP="008425A2">
            <w:pPr>
              <w:pStyle w:val="BodyText"/>
            </w:pPr>
            <w:r w:rsidRPr="008425A2">
              <w:t>Radio frequency networks</w:t>
            </w:r>
          </w:p>
        </w:tc>
      </w:tr>
    </w:tbl>
    <w:p w:rsidR="00F166A1" w:rsidP="008425A2">
      <w:pPr>
        <w:pStyle w:val="BodyText"/>
      </w:pPr>
    </w:p>
    <w:p w:rsidR="00F166A1" w:rsidP="008425A2">
      <w:pPr>
        <w:pStyle w:val="BodyText"/>
      </w:pPr>
    </w:p>
    <w:p w:rsidR="00000000" w:rsidRPr="008425A2" w:rsidP="008425A2"/>
    <w:sectPr w:rsidSect="008425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6A1" w:rsidP="00F16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A1" w:rsidP="00842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166A1" w:rsidP="008425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66A1" w:rsidP="008425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6A1" w:rsidP="00F166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A1" w:rsidP="008425A2">
    <w:pPr>
      <w:pStyle w:val="Header"/>
      <w:framePr w:wrap="around"/>
    </w:pPr>
    <w:r>
      <w:fldChar w:fldCharType="begin"/>
    </w:r>
    <w:r>
      <w:instrText xml:space="preserve"> TITLE   \* MERGEFORMAT </w:instrText>
    </w:r>
    <w:r>
      <w:fldChar w:fldCharType="separate"/>
    </w:r>
    <w:r>
      <w:t>ICTRFN3055A Install a radio communications antenna and feedline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66A1" w:rsidP="008425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AD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CF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28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25A2"/>
    <w:pPr>
      <w:spacing w:before="360" w:after="60"/>
      <w:outlineLvl w:val="0"/>
    </w:pPr>
    <w:rPr>
      <w:sz w:val="32"/>
    </w:rPr>
  </w:style>
  <w:style w:type="paragraph" w:styleId="Heading2">
    <w:name w:val="heading 2"/>
    <w:basedOn w:val="HeadingBase"/>
    <w:next w:val="BodyText"/>
    <w:link w:val="Heading2Char"/>
    <w:qFormat/>
    <w:rsid w:val="008425A2"/>
    <w:pPr>
      <w:keepLines/>
      <w:spacing w:before="240" w:after="120"/>
      <w:outlineLvl w:val="1"/>
    </w:pPr>
    <w:rPr>
      <w:sz w:val="28"/>
      <w:szCs w:val="40"/>
    </w:rPr>
  </w:style>
  <w:style w:type="paragraph" w:styleId="Heading3">
    <w:name w:val="heading 3"/>
    <w:basedOn w:val="HeadingBase"/>
    <w:next w:val="BodyText"/>
    <w:link w:val="Heading3Char"/>
    <w:qFormat/>
    <w:rsid w:val="008425A2"/>
    <w:pPr>
      <w:spacing w:before="180" w:after="120"/>
      <w:outlineLvl w:val="2"/>
    </w:pPr>
    <w:rPr>
      <w:spacing w:val="-10"/>
      <w:kern w:val="32"/>
    </w:rPr>
  </w:style>
  <w:style w:type="paragraph" w:styleId="Heading4">
    <w:name w:val="heading 4"/>
    <w:basedOn w:val="HeadingBase"/>
    <w:next w:val="BodyText"/>
    <w:link w:val="Heading4Char"/>
    <w:qFormat/>
    <w:rsid w:val="008425A2"/>
    <w:pPr>
      <w:spacing w:before="160" w:after="120"/>
      <w:outlineLvl w:val="3"/>
    </w:pPr>
    <w:rPr>
      <w:sz w:val="22"/>
    </w:rPr>
  </w:style>
  <w:style w:type="paragraph" w:styleId="Heading5">
    <w:name w:val="heading 5"/>
    <w:basedOn w:val="HeadingBase"/>
    <w:next w:val="Normal"/>
    <w:link w:val="Heading5Char"/>
    <w:qFormat/>
    <w:rsid w:val="008425A2"/>
    <w:pPr>
      <w:spacing w:before="80"/>
      <w:outlineLvl w:val="4"/>
    </w:pPr>
    <w:rPr>
      <w:color w:val="918585"/>
      <w:sz w:val="20"/>
    </w:rPr>
  </w:style>
  <w:style w:type="paragraph" w:styleId="Heading6">
    <w:name w:val="heading 6"/>
    <w:basedOn w:val="HeadingBase"/>
    <w:next w:val="Normal"/>
    <w:link w:val="Heading6Char"/>
    <w:qFormat/>
    <w:rsid w:val="008425A2"/>
    <w:pPr>
      <w:spacing w:before="60"/>
      <w:outlineLvl w:val="5"/>
    </w:pPr>
    <w:rPr>
      <w:color w:val="918585"/>
      <w:sz w:val="20"/>
    </w:rPr>
  </w:style>
  <w:style w:type="paragraph" w:styleId="Heading7">
    <w:name w:val="heading 7"/>
    <w:basedOn w:val="Normal"/>
    <w:next w:val="Normal"/>
    <w:link w:val="Heading7Char"/>
    <w:qFormat/>
    <w:rsid w:val="008425A2"/>
    <w:pPr>
      <w:ind w:left="720"/>
      <w:outlineLvl w:val="6"/>
    </w:pPr>
    <w:rPr>
      <w:i/>
    </w:rPr>
  </w:style>
  <w:style w:type="paragraph" w:styleId="Heading8">
    <w:name w:val="heading 8"/>
    <w:basedOn w:val="Normal"/>
    <w:next w:val="Normal"/>
    <w:link w:val="Heading8Char"/>
    <w:qFormat/>
    <w:rsid w:val="008425A2"/>
    <w:pPr>
      <w:ind w:left="720"/>
      <w:outlineLvl w:val="7"/>
    </w:pPr>
    <w:rPr>
      <w:i/>
    </w:rPr>
  </w:style>
  <w:style w:type="paragraph" w:styleId="Heading9">
    <w:name w:val="heading 9"/>
    <w:basedOn w:val="Normal"/>
    <w:next w:val="Normal"/>
    <w:link w:val="Heading9Char"/>
    <w:qFormat/>
    <w:rsid w:val="008425A2"/>
    <w:pPr>
      <w:ind w:left="720"/>
      <w:outlineLvl w:val="8"/>
    </w:pPr>
    <w:rPr>
      <w:i/>
    </w:rPr>
  </w:style>
  <w:style w:type="character" w:default="1" w:styleId="DefaultParagraphFont">
    <w:name w:val="Default Paragraph Font"/>
    <w:uiPriority w:val="1"/>
    <w:unhideWhenUsed/>
    <w:rsid w:val="00842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5A2"/>
  </w:style>
  <w:style w:type="character" w:customStyle="1" w:styleId="Heading1Char">
    <w:name w:val="Heading 1 Char"/>
    <w:link w:val="Heading1"/>
    <w:rsid w:val="008425A2"/>
    <w:rPr>
      <w:rFonts w:ascii="Times New Roman" w:eastAsia="Times New Roman" w:hAnsi="Times New Roman" w:cs="Times New Roman"/>
      <w:b/>
      <w:sz w:val="32"/>
      <w:szCs w:val="20"/>
      <w:lang w:eastAsia="en-US"/>
    </w:rPr>
  </w:style>
  <w:style w:type="paragraph" w:styleId="BodyText">
    <w:name w:val="Body Text"/>
    <w:basedOn w:val="Normal"/>
    <w:link w:val="BodyTextChar"/>
    <w:rsid w:val="008425A2"/>
    <w:pPr>
      <w:spacing w:before="120" w:after="120"/>
      <w:contextualSpacing/>
    </w:pPr>
    <w:rPr>
      <w:rFonts w:ascii="Times New Roman" w:hAnsi="Times New Roman"/>
      <w:sz w:val="24"/>
      <w:szCs w:val="22"/>
    </w:rPr>
  </w:style>
  <w:style w:type="character" w:customStyle="1" w:styleId="BodyTextChar">
    <w:name w:val="Body Text Char"/>
    <w:link w:val="BodyText"/>
    <w:rsid w:val="008425A2"/>
    <w:rPr>
      <w:rFonts w:ascii="Times New Roman" w:eastAsia="Times New Roman" w:hAnsi="Times New Roman" w:cs="Times New Roman"/>
      <w:sz w:val="24"/>
      <w:lang w:val="en-US" w:eastAsia="en-US"/>
    </w:rPr>
  </w:style>
  <w:style w:type="paragraph" w:styleId="Footer">
    <w:name w:val="footer"/>
    <w:basedOn w:val="Normal"/>
    <w:link w:val="FooterChar"/>
    <w:rsid w:val="00842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25A2"/>
    <w:rPr>
      <w:rFonts w:ascii="Times New Roman" w:eastAsia="Times New Roman" w:hAnsi="Times New Roman" w:cs="Times New Roman"/>
      <w:sz w:val="16"/>
      <w:lang w:val="en-US" w:eastAsia="en-US"/>
    </w:rPr>
  </w:style>
  <w:style w:type="paragraph" w:styleId="List">
    <w:name w:val="List"/>
    <w:basedOn w:val="BodyText"/>
    <w:next w:val="BodyText"/>
    <w:rsid w:val="008425A2"/>
    <w:pPr>
      <w:tabs>
        <w:tab w:val="left" w:pos="340"/>
      </w:tabs>
      <w:spacing w:before="60" w:after="60"/>
      <w:ind w:left="340" w:hanging="340"/>
    </w:pPr>
  </w:style>
  <w:style w:type="paragraph" w:styleId="ListBullet">
    <w:name w:val="List Bullet"/>
    <w:basedOn w:val="List"/>
    <w:rsid w:val="008425A2"/>
    <w:pPr>
      <w:numPr>
        <w:numId w:val="13"/>
      </w:numPr>
      <w:tabs>
        <w:tab w:val="clear" w:pos="340"/>
      </w:tabs>
      <w:spacing w:before="40" w:after="40"/>
    </w:pPr>
  </w:style>
  <w:style w:type="character" w:customStyle="1" w:styleId="SpecialBold">
    <w:name w:val="Special Bold"/>
    <w:rsid w:val="008425A2"/>
    <w:rPr>
      <w:b/>
      <w:spacing w:val="0"/>
    </w:rPr>
  </w:style>
  <w:style w:type="paragraph" w:styleId="ListBullet2">
    <w:name w:val="List Bullet 2"/>
    <w:basedOn w:val="List2"/>
    <w:rsid w:val="008425A2"/>
    <w:pPr>
      <w:numPr>
        <w:numId w:val="14"/>
      </w:numPr>
      <w:tabs>
        <w:tab w:val="clear" w:pos="680"/>
      </w:tabs>
    </w:pPr>
  </w:style>
  <w:style w:type="paragraph" w:styleId="Header">
    <w:name w:val="header"/>
    <w:basedOn w:val="Normal"/>
    <w:link w:val="HeaderChar"/>
    <w:rsid w:val="00842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25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25A2"/>
    <w:pPr>
      <w:spacing w:before="240" w:after="120"/>
      <w:outlineLvl w:val="0"/>
    </w:pPr>
    <w:rPr>
      <w:rFonts w:ascii="Times New Roman" w:hAnsi="Times New Roman"/>
      <w:b/>
      <w:sz w:val="28"/>
    </w:rPr>
  </w:style>
  <w:style w:type="paragraph" w:customStyle="1" w:styleId="AllowPageBreak">
    <w:name w:val="AllowPageBreak"/>
    <w:rsid w:val="008425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25A2"/>
    <w:pPr>
      <w:tabs>
        <w:tab w:val="left" w:pos="680"/>
      </w:tabs>
      <w:spacing w:before="60" w:after="60"/>
      <w:ind w:left="680" w:hanging="340"/>
    </w:pPr>
  </w:style>
  <w:style w:type="character" w:customStyle="1" w:styleId="BoldandItalics">
    <w:name w:val="Bold and Italics"/>
    <w:qFormat/>
    <w:rsid w:val="008425A2"/>
    <w:rPr>
      <w:b/>
      <w:i/>
      <w:u w:val="none"/>
    </w:rPr>
  </w:style>
  <w:style w:type="character" w:customStyle="1" w:styleId="Heading2Char">
    <w:name w:val="Heading 2 Char"/>
    <w:link w:val="Heading2"/>
    <w:rsid w:val="008425A2"/>
    <w:rPr>
      <w:rFonts w:ascii="Times New Roman" w:eastAsia="Times New Roman" w:hAnsi="Times New Roman" w:cs="Times New Roman"/>
      <w:b/>
      <w:sz w:val="28"/>
      <w:szCs w:val="40"/>
      <w:lang w:eastAsia="en-US"/>
    </w:rPr>
  </w:style>
  <w:style w:type="character" w:customStyle="1" w:styleId="Heading3Char">
    <w:name w:val="Heading 3 Char"/>
    <w:link w:val="Heading3"/>
    <w:rsid w:val="008425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25A2"/>
    <w:rPr>
      <w:rFonts w:ascii="Times New Roman" w:eastAsia="Times New Roman" w:hAnsi="Times New Roman" w:cs="Times New Roman"/>
      <w:b/>
      <w:szCs w:val="20"/>
      <w:lang w:eastAsia="en-US"/>
    </w:rPr>
  </w:style>
  <w:style w:type="character" w:customStyle="1" w:styleId="Heading5Char">
    <w:name w:val="Heading 5 Char"/>
    <w:link w:val="Heading5"/>
    <w:rsid w:val="008425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2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5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25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25A2"/>
    <w:rPr>
      <w:rFonts w:ascii="Courier New" w:eastAsia="Times New Roman" w:hAnsi="Courier New" w:cs="Times New Roman"/>
      <w:i/>
      <w:szCs w:val="20"/>
      <w:lang w:val="en-US" w:eastAsia="en-US"/>
    </w:rPr>
  </w:style>
  <w:style w:type="paragraph" w:customStyle="1" w:styleId="HeadingBase">
    <w:name w:val="Heading Base"/>
    <w:rsid w:val="00842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5A2"/>
    <w:pPr>
      <w:tabs>
        <w:tab w:val="right" w:leader="dot" w:pos="9072"/>
      </w:tabs>
      <w:ind w:left="567"/>
    </w:pPr>
    <w:rPr>
      <w:szCs w:val="22"/>
    </w:rPr>
  </w:style>
  <w:style w:type="paragraph" w:customStyle="1" w:styleId="TOCBase">
    <w:name w:val="TOC Base"/>
    <w:rsid w:val="00842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5A2"/>
    <w:pPr>
      <w:tabs>
        <w:tab w:val="right" w:leader="dot" w:pos="9072"/>
      </w:tabs>
      <w:spacing w:before="40" w:after="40"/>
      <w:ind w:left="284"/>
    </w:pPr>
    <w:rPr>
      <w:rFonts w:ascii="Times New Roman" w:hAnsi="Times New Roman"/>
    </w:rPr>
  </w:style>
  <w:style w:type="paragraph" w:styleId="TOC1">
    <w:name w:val="toc 1"/>
    <w:basedOn w:val="TOCBase"/>
    <w:next w:val="Normal"/>
    <w:rsid w:val="008425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5A2"/>
    <w:pPr>
      <w:spacing w:before="5040"/>
      <w:jc w:val="center"/>
    </w:pPr>
    <w:rPr>
      <w:sz w:val="48"/>
      <w:szCs w:val="72"/>
      <w:lang w:val="en-US"/>
    </w:rPr>
  </w:style>
  <w:style w:type="character" w:customStyle="1" w:styleId="TitleChar">
    <w:name w:val="Title Char"/>
    <w:link w:val="Title"/>
    <w:rsid w:val="00842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5A2"/>
    <w:pPr>
      <w:tabs>
        <w:tab w:val="left" w:pos="3600"/>
        <w:tab w:val="left" w:pos="3958"/>
      </w:tabs>
    </w:pPr>
  </w:style>
  <w:style w:type="paragraph" w:customStyle="1" w:styleId="Note">
    <w:name w:val="Note"/>
    <w:basedOn w:val="BodyText"/>
    <w:rsid w:val="00842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5A2"/>
    <w:pPr>
      <w:framePr w:wrap="auto" w:hAnchor="text" w:y="6049"/>
    </w:pPr>
    <w:rPr>
      <w:color w:val="000000"/>
      <w:sz w:val="40"/>
    </w:rPr>
  </w:style>
  <w:style w:type="paragraph" w:customStyle="1" w:styleId="TOCTitle">
    <w:name w:val="TOCTitle"/>
    <w:basedOn w:val="Heading1"/>
    <w:rsid w:val="008425A2"/>
    <w:pPr>
      <w:spacing w:after="240"/>
      <w:jc w:val="center"/>
      <w:outlineLvl w:val="9"/>
    </w:pPr>
    <w:rPr>
      <w:caps/>
    </w:rPr>
  </w:style>
  <w:style w:type="paragraph" w:customStyle="1" w:styleId="Version">
    <w:name w:val="Version"/>
    <w:rsid w:val="008425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5A2"/>
    <w:pPr>
      <w:keepNext w:val="0"/>
      <w:tabs>
        <w:tab w:val="right" w:pos="4176"/>
      </w:tabs>
      <w:ind w:left="198" w:hanging="198"/>
    </w:pPr>
    <w:rPr>
      <w:rFonts w:ascii="Garamond" w:hAnsi="Garamond"/>
    </w:rPr>
  </w:style>
  <w:style w:type="paragraph" w:styleId="IndexHeading">
    <w:name w:val="index heading"/>
    <w:basedOn w:val="Normal"/>
    <w:next w:val="Index1"/>
    <w:semiHidden/>
    <w:rsid w:val="008425A2"/>
    <w:pPr>
      <w:spacing w:before="120" w:after="120"/>
    </w:pPr>
    <w:rPr>
      <w:rFonts w:ascii="Arial" w:hAnsi="Arial"/>
      <w:b/>
      <w:color w:val="918585"/>
      <w:sz w:val="24"/>
    </w:rPr>
  </w:style>
  <w:style w:type="paragraph" w:customStyle="1" w:styleId="Chapter">
    <w:name w:val="Chapter"/>
    <w:basedOn w:val="Normal"/>
    <w:rsid w:val="008425A2"/>
    <w:pPr>
      <w:spacing w:before="240"/>
    </w:pPr>
    <w:rPr>
      <w:rFonts w:ascii="Times New Roman" w:hAnsi="Times New Roman"/>
      <w:smallCaps/>
      <w:spacing w:val="80"/>
      <w:sz w:val="28"/>
    </w:rPr>
  </w:style>
  <w:style w:type="paragraph" w:customStyle="1" w:styleId="InChapter">
    <w:name w:val="InChapter"/>
    <w:basedOn w:val="Heading3"/>
    <w:rsid w:val="008425A2"/>
    <w:pPr>
      <w:spacing w:after="240"/>
      <w:outlineLvl w:val="9"/>
    </w:pPr>
    <w:rPr>
      <w:noProof/>
    </w:rPr>
  </w:style>
  <w:style w:type="paragraph" w:styleId="Index2">
    <w:name w:val="index 2"/>
    <w:basedOn w:val="Normal"/>
    <w:next w:val="Normal"/>
    <w:semiHidden/>
    <w:rsid w:val="008425A2"/>
    <w:pPr>
      <w:tabs>
        <w:tab w:val="right" w:pos="4176"/>
      </w:tabs>
      <w:ind w:left="568" w:hanging="284"/>
    </w:pPr>
    <w:rPr>
      <w:rFonts w:ascii="Garamond" w:hAnsi="Garamond"/>
    </w:rPr>
  </w:style>
  <w:style w:type="paragraph" w:customStyle="1" w:styleId="Byline">
    <w:name w:val="Byline"/>
    <w:rsid w:val="00842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5A2"/>
    <w:pPr>
      <w:tabs>
        <w:tab w:val="clear" w:pos="3600"/>
        <w:tab w:val="clear" w:pos="3958"/>
      </w:tabs>
      <w:jc w:val="right"/>
    </w:pPr>
  </w:style>
  <w:style w:type="character" w:styleId="Emphasis">
    <w:name w:val="Emphasis"/>
    <w:qFormat/>
    <w:rsid w:val="008425A2"/>
    <w:rPr>
      <w:i/>
    </w:rPr>
  </w:style>
  <w:style w:type="paragraph" w:styleId="Caption">
    <w:name w:val="caption"/>
    <w:basedOn w:val="BodyText"/>
    <w:next w:val="Normal"/>
    <w:qFormat/>
    <w:rsid w:val="008425A2"/>
    <w:pPr>
      <w:framePr w:w="2268" w:hSpace="181" w:vSpace="181" w:wrap="around" w:vAnchor="text" w:hAnchor="page" w:x="1135" w:y="285" w:anchorLock="1"/>
    </w:pPr>
    <w:rPr>
      <w:i/>
    </w:rPr>
  </w:style>
  <w:style w:type="paragraph" w:customStyle="1" w:styleId="MiniTOCTitle">
    <w:name w:val="MiniTOCTitle"/>
    <w:basedOn w:val="Heading4"/>
    <w:rsid w:val="008425A2"/>
    <w:pPr>
      <w:spacing w:before="240"/>
      <w:outlineLvl w:val="9"/>
    </w:pPr>
    <w:rPr>
      <w:noProof/>
      <w:sz w:val="24"/>
    </w:rPr>
  </w:style>
  <w:style w:type="paragraph" w:customStyle="1" w:styleId="MiniTOCItem">
    <w:name w:val="MiniTOCItem"/>
    <w:basedOn w:val="ListBullet"/>
    <w:rsid w:val="008425A2"/>
    <w:pPr>
      <w:numPr>
        <w:numId w:val="0"/>
      </w:numPr>
      <w:tabs>
        <w:tab w:val="right" w:leader="dot" w:pos="6521"/>
      </w:tabs>
      <w:spacing w:before="0" w:after="0"/>
    </w:pPr>
  </w:style>
  <w:style w:type="paragraph" w:customStyle="1" w:styleId="TOFTitle">
    <w:name w:val="TOFTitle"/>
    <w:basedOn w:val="TOCTitle"/>
    <w:rsid w:val="008425A2"/>
  </w:style>
  <w:style w:type="paragraph" w:styleId="TableofFigures">
    <w:name w:val="table of figures"/>
    <w:basedOn w:val="Normal"/>
    <w:next w:val="Normal"/>
    <w:semiHidden/>
    <w:rsid w:val="008425A2"/>
    <w:pPr>
      <w:tabs>
        <w:tab w:val="right" w:leader="dot" w:pos="9072"/>
      </w:tabs>
      <w:ind w:left="970" w:hanging="403"/>
    </w:pPr>
    <w:rPr>
      <w:rFonts w:ascii="Times New Roman" w:hAnsi="Times New Roman"/>
      <w:b/>
    </w:rPr>
  </w:style>
  <w:style w:type="paragraph" w:styleId="ListNumber">
    <w:name w:val="List Number"/>
    <w:basedOn w:val="List"/>
    <w:rsid w:val="008425A2"/>
    <w:pPr>
      <w:numPr>
        <w:numId w:val="11"/>
      </w:numPr>
    </w:pPr>
  </w:style>
  <w:style w:type="character" w:customStyle="1" w:styleId="WingdingSymbols">
    <w:name w:val="Wingding Symbols"/>
    <w:rsid w:val="008425A2"/>
    <w:rPr>
      <w:rFonts w:ascii="Wingdings" w:hAnsi="Wingdings"/>
    </w:rPr>
  </w:style>
  <w:style w:type="paragraph" w:customStyle="1" w:styleId="TableHeading">
    <w:name w:val="Table Heading"/>
    <w:basedOn w:val="HeadingBase"/>
    <w:rsid w:val="008425A2"/>
    <w:pPr>
      <w:keepLines/>
      <w:pBdr>
        <w:bottom w:val="single" w:sz="6" w:space="1" w:color="918585"/>
      </w:pBdr>
      <w:spacing w:before="240"/>
    </w:pPr>
  </w:style>
  <w:style w:type="character" w:customStyle="1" w:styleId="HotSpot">
    <w:name w:val="HotSpot"/>
    <w:rsid w:val="008425A2"/>
    <w:rPr>
      <w:color w:val="0033CC"/>
      <w:u w:val="none"/>
    </w:rPr>
  </w:style>
  <w:style w:type="paragraph" w:customStyle="1" w:styleId="BodyTextRight">
    <w:name w:val="Body Text Right"/>
    <w:basedOn w:val="BodyText"/>
    <w:rsid w:val="008425A2"/>
    <w:pPr>
      <w:spacing w:before="0" w:after="0"/>
      <w:jc w:val="right"/>
    </w:pPr>
  </w:style>
  <w:style w:type="paragraph" w:styleId="Index3">
    <w:name w:val="index 3"/>
    <w:basedOn w:val="ListNumber2"/>
    <w:next w:val="Normal"/>
    <w:semiHidden/>
    <w:rsid w:val="008425A2"/>
    <w:pPr>
      <w:numPr>
        <w:numId w:val="0"/>
      </w:numPr>
      <w:tabs>
        <w:tab w:val="right" w:leader="dot" w:pos="4176"/>
      </w:tabs>
    </w:pPr>
  </w:style>
  <w:style w:type="paragraph" w:styleId="ListNumber2">
    <w:name w:val="List Number 2"/>
    <w:basedOn w:val="List2"/>
    <w:rsid w:val="008425A2"/>
    <w:pPr>
      <w:numPr>
        <w:numId w:val="10"/>
      </w:numPr>
      <w:tabs>
        <w:tab w:val="clear" w:pos="1060"/>
      </w:tabs>
    </w:pPr>
  </w:style>
  <w:style w:type="paragraph" w:customStyle="1" w:styleId="MarginNote">
    <w:name w:val="Margin Note"/>
    <w:basedOn w:val="BodyText"/>
    <w:rsid w:val="00842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25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25A2"/>
    <w:rPr>
      <w:sz w:val="32"/>
    </w:rPr>
  </w:style>
  <w:style w:type="paragraph" w:customStyle="1" w:styleId="HeadingProcedure">
    <w:name w:val="Heading Procedure"/>
    <w:basedOn w:val="HeadingBase"/>
    <w:next w:val="Normal"/>
    <w:rsid w:val="008425A2"/>
    <w:pPr>
      <w:tabs>
        <w:tab w:val="left" w:pos="0"/>
      </w:tabs>
      <w:spacing w:before="120" w:after="60"/>
    </w:pPr>
    <w:rPr>
      <w:i/>
      <w:color w:val="918585"/>
      <w:sz w:val="22"/>
    </w:rPr>
  </w:style>
  <w:style w:type="paragraph" w:customStyle="1" w:styleId="TableBodyText">
    <w:name w:val="Table Body Text"/>
    <w:basedOn w:val="BodyText"/>
    <w:rsid w:val="008425A2"/>
    <w:pPr>
      <w:spacing w:before="60" w:after="60"/>
    </w:pPr>
  </w:style>
  <w:style w:type="paragraph" w:styleId="ListContinue">
    <w:name w:val="List Continue"/>
    <w:basedOn w:val="List"/>
    <w:rsid w:val="008425A2"/>
    <w:pPr>
      <w:ind w:firstLine="0"/>
    </w:pPr>
  </w:style>
  <w:style w:type="paragraph" w:customStyle="1" w:styleId="ListNote">
    <w:name w:val="List Note"/>
    <w:basedOn w:val="List"/>
    <w:rsid w:val="008425A2"/>
    <w:pPr>
      <w:pBdr>
        <w:top w:val="single" w:sz="6" w:space="2" w:color="918585"/>
        <w:bottom w:val="single" w:sz="6" w:space="2" w:color="918585"/>
      </w:pBdr>
      <w:tabs>
        <w:tab w:val="left" w:pos="1021"/>
      </w:tabs>
      <w:ind w:firstLine="0"/>
    </w:pPr>
  </w:style>
  <w:style w:type="paragraph" w:customStyle="1" w:styleId="Warning">
    <w:name w:val="Warning"/>
    <w:basedOn w:val="BodyText"/>
    <w:rsid w:val="008425A2"/>
    <w:pPr>
      <w:shd w:val="clear" w:color="auto" w:fill="D9D9D9"/>
      <w:tabs>
        <w:tab w:val="left" w:pos="992"/>
      </w:tabs>
      <w:ind w:left="119" w:right="119"/>
    </w:pPr>
    <w:rPr>
      <w:sz w:val="20"/>
    </w:rPr>
  </w:style>
  <w:style w:type="paragraph" w:customStyle="1" w:styleId="MarginIcons">
    <w:name w:val="Margin Icons"/>
    <w:basedOn w:val="BodyText"/>
    <w:rsid w:val="008425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25A2"/>
    <w:rPr>
      <w:rFonts w:ascii="Courier New" w:hAnsi="Courier New"/>
    </w:rPr>
  </w:style>
  <w:style w:type="paragraph" w:customStyle="1" w:styleId="NoteBullet">
    <w:name w:val="Note Bullet"/>
    <w:basedOn w:val="Note"/>
    <w:rsid w:val="008425A2"/>
    <w:pPr>
      <w:tabs>
        <w:tab w:val="clear" w:pos="680"/>
      </w:tabs>
      <w:spacing w:before="60" w:after="60"/>
    </w:pPr>
  </w:style>
  <w:style w:type="paragraph" w:customStyle="1" w:styleId="SubHeading2">
    <w:name w:val="SubHeading2"/>
    <w:basedOn w:val="HeadingBase"/>
    <w:rsid w:val="008425A2"/>
    <w:pPr>
      <w:spacing w:before="240" w:after="60"/>
    </w:pPr>
    <w:rPr>
      <w:sz w:val="20"/>
    </w:rPr>
  </w:style>
  <w:style w:type="paragraph" w:customStyle="1" w:styleId="SubHeading1">
    <w:name w:val="SubHeading1"/>
    <w:basedOn w:val="HeadingBase"/>
    <w:rsid w:val="008425A2"/>
    <w:pPr>
      <w:spacing w:before="240" w:after="60"/>
    </w:pPr>
    <w:rPr>
      <w:color w:val="918585"/>
      <w:sz w:val="22"/>
    </w:rPr>
  </w:style>
  <w:style w:type="paragraph" w:customStyle="1" w:styleId="SideHeading">
    <w:name w:val="Side Heading"/>
    <w:basedOn w:val="HeadingBase"/>
    <w:rsid w:val="00842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5A2"/>
    <w:pPr>
      <w:numPr>
        <w:numId w:val="12"/>
      </w:numPr>
    </w:pPr>
  </w:style>
  <w:style w:type="paragraph" w:styleId="PlainText">
    <w:name w:val="Plain Text"/>
    <w:basedOn w:val="Normal"/>
    <w:link w:val="PlainTextChar"/>
    <w:rsid w:val="008425A2"/>
    <w:rPr>
      <w:sz w:val="20"/>
    </w:rPr>
  </w:style>
  <w:style w:type="character" w:customStyle="1" w:styleId="PlainTextChar">
    <w:name w:val="Plain Text Char"/>
    <w:basedOn w:val="DefaultParagraphFont"/>
    <w:link w:val="PlainText"/>
    <w:rsid w:val="008425A2"/>
    <w:rPr>
      <w:rFonts w:ascii="Courier New" w:eastAsia="Times New Roman" w:hAnsi="Courier New" w:cs="Times New Roman"/>
      <w:sz w:val="20"/>
      <w:szCs w:val="20"/>
      <w:lang w:val="en-US" w:eastAsia="en-US"/>
    </w:rPr>
  </w:style>
  <w:style w:type="character" w:customStyle="1" w:styleId="MenuOption">
    <w:name w:val="Menu Option"/>
    <w:rsid w:val="008425A2"/>
    <w:rPr>
      <w:b/>
      <w:smallCaps/>
    </w:rPr>
  </w:style>
  <w:style w:type="paragraph" w:customStyle="1" w:styleId="TableListNumber">
    <w:name w:val="Table List Number"/>
    <w:basedOn w:val="ListNumber"/>
    <w:rsid w:val="008425A2"/>
    <w:pPr>
      <w:numPr>
        <w:numId w:val="0"/>
      </w:numPr>
    </w:pPr>
  </w:style>
  <w:style w:type="paragraph" w:styleId="TOC4">
    <w:name w:val="toc 4"/>
    <w:basedOn w:val="TOCBase"/>
    <w:next w:val="Normal"/>
    <w:semiHidden/>
    <w:rsid w:val="008425A2"/>
    <w:pPr>
      <w:tabs>
        <w:tab w:val="right" w:leader="dot" w:pos="9071"/>
      </w:tabs>
      <w:ind w:left="1701"/>
    </w:pPr>
  </w:style>
  <w:style w:type="paragraph" w:customStyle="1" w:styleId="ListAlpha">
    <w:name w:val="List Alpha"/>
    <w:basedOn w:val="List"/>
    <w:rsid w:val="008425A2"/>
    <w:pPr>
      <w:numPr>
        <w:numId w:val="9"/>
      </w:numPr>
    </w:pPr>
  </w:style>
  <w:style w:type="paragraph" w:customStyle="1" w:styleId="ListAlpha2">
    <w:name w:val="List Alpha 2"/>
    <w:basedOn w:val="List2"/>
    <w:rsid w:val="008425A2"/>
    <w:pPr>
      <w:numPr>
        <w:numId w:val="8"/>
      </w:numPr>
    </w:pPr>
  </w:style>
  <w:style w:type="paragraph" w:styleId="List3">
    <w:name w:val="List 3"/>
    <w:basedOn w:val="BodyText"/>
    <w:rsid w:val="008425A2"/>
    <w:pPr>
      <w:tabs>
        <w:tab w:val="left" w:pos="1021"/>
      </w:tabs>
      <w:spacing w:before="60" w:after="60"/>
      <w:ind w:left="1020" w:hanging="340"/>
    </w:pPr>
  </w:style>
  <w:style w:type="paragraph" w:styleId="List4">
    <w:name w:val="List 4"/>
    <w:basedOn w:val="BodyText"/>
    <w:rsid w:val="008425A2"/>
    <w:pPr>
      <w:tabs>
        <w:tab w:val="left" w:pos="1361"/>
      </w:tabs>
      <w:spacing w:before="60" w:after="60"/>
      <w:ind w:left="1361" w:hanging="340"/>
    </w:pPr>
  </w:style>
  <w:style w:type="paragraph" w:styleId="List5">
    <w:name w:val="List 5"/>
    <w:basedOn w:val="BodyText"/>
    <w:rsid w:val="008425A2"/>
    <w:pPr>
      <w:tabs>
        <w:tab w:val="left" w:pos="1701"/>
      </w:tabs>
      <w:spacing w:before="60" w:after="60"/>
      <w:ind w:left="1701" w:hanging="340"/>
    </w:pPr>
  </w:style>
  <w:style w:type="paragraph" w:styleId="ListBullet3">
    <w:name w:val="List Bullet 3"/>
    <w:basedOn w:val="List3"/>
    <w:rsid w:val="008425A2"/>
    <w:pPr>
      <w:numPr>
        <w:numId w:val="15"/>
      </w:numPr>
      <w:tabs>
        <w:tab w:val="clear" w:pos="1021"/>
      </w:tabs>
      <w:ind w:left="1037" w:hanging="357"/>
    </w:pPr>
  </w:style>
  <w:style w:type="paragraph" w:styleId="ListBullet4">
    <w:name w:val="List Bullet 4"/>
    <w:basedOn w:val="List4"/>
    <w:rsid w:val="008425A2"/>
    <w:pPr>
      <w:numPr>
        <w:numId w:val="3"/>
      </w:numPr>
    </w:pPr>
  </w:style>
  <w:style w:type="paragraph" w:styleId="ListBullet5">
    <w:name w:val="List Bullet 5"/>
    <w:basedOn w:val="List5"/>
    <w:rsid w:val="008425A2"/>
    <w:pPr>
      <w:numPr>
        <w:numId w:val="4"/>
      </w:numPr>
    </w:pPr>
  </w:style>
  <w:style w:type="paragraph" w:styleId="ListContinue2">
    <w:name w:val="List Continue 2"/>
    <w:basedOn w:val="List2"/>
    <w:rsid w:val="008425A2"/>
    <w:pPr>
      <w:ind w:firstLine="0"/>
    </w:pPr>
  </w:style>
  <w:style w:type="paragraph" w:styleId="ListContinue3">
    <w:name w:val="List Continue 3"/>
    <w:basedOn w:val="List3"/>
    <w:rsid w:val="008425A2"/>
    <w:pPr>
      <w:ind w:left="1021" w:firstLine="0"/>
    </w:pPr>
  </w:style>
  <w:style w:type="paragraph" w:styleId="ListContinue4">
    <w:name w:val="List Continue 4"/>
    <w:basedOn w:val="List4"/>
    <w:rsid w:val="008425A2"/>
    <w:pPr>
      <w:ind w:firstLine="0"/>
    </w:pPr>
  </w:style>
  <w:style w:type="paragraph" w:styleId="ListContinue5">
    <w:name w:val="List Continue 5"/>
    <w:basedOn w:val="List5"/>
    <w:rsid w:val="008425A2"/>
    <w:pPr>
      <w:ind w:firstLine="0"/>
    </w:pPr>
  </w:style>
  <w:style w:type="paragraph" w:styleId="ListNumber3">
    <w:name w:val="List Number 3"/>
    <w:basedOn w:val="List3"/>
    <w:rsid w:val="008425A2"/>
    <w:pPr>
      <w:numPr>
        <w:numId w:val="5"/>
      </w:numPr>
    </w:pPr>
  </w:style>
  <w:style w:type="paragraph" w:styleId="ListNumber4">
    <w:name w:val="List Number 4"/>
    <w:basedOn w:val="List4"/>
    <w:rsid w:val="008425A2"/>
    <w:pPr>
      <w:numPr>
        <w:numId w:val="6"/>
      </w:numPr>
    </w:pPr>
  </w:style>
  <w:style w:type="paragraph" w:styleId="ListNumber5">
    <w:name w:val="List Number 5"/>
    <w:basedOn w:val="List5"/>
    <w:rsid w:val="008425A2"/>
    <w:pPr>
      <w:numPr>
        <w:numId w:val="7"/>
      </w:numPr>
    </w:pPr>
  </w:style>
  <w:style w:type="paragraph" w:styleId="BlockText">
    <w:name w:val="Block Text"/>
    <w:basedOn w:val="Normal"/>
    <w:rsid w:val="008425A2"/>
    <w:pPr>
      <w:spacing w:after="120"/>
      <w:ind w:left="1440" w:right="1440"/>
    </w:pPr>
  </w:style>
  <w:style w:type="character" w:customStyle="1" w:styleId="Subscript">
    <w:name w:val="Subscript"/>
    <w:rsid w:val="008425A2"/>
    <w:rPr>
      <w:sz w:val="16"/>
      <w:vertAlign w:val="subscript"/>
    </w:rPr>
  </w:style>
  <w:style w:type="character" w:customStyle="1" w:styleId="Superscript">
    <w:name w:val="Superscript"/>
    <w:rsid w:val="008425A2"/>
    <w:rPr>
      <w:sz w:val="16"/>
      <w:vertAlign w:val="superscript"/>
    </w:rPr>
  </w:style>
  <w:style w:type="character" w:customStyle="1" w:styleId="Symbols">
    <w:name w:val="Symbols"/>
    <w:rsid w:val="008425A2"/>
    <w:rPr>
      <w:rFonts w:ascii="Symbol" w:hAnsi="Symbol"/>
    </w:rPr>
  </w:style>
  <w:style w:type="character" w:customStyle="1" w:styleId="MenuOptions">
    <w:name w:val="Menu Options"/>
    <w:rsid w:val="008425A2"/>
    <w:rPr>
      <w:rFonts w:ascii="Arial Narrow" w:hAnsi="Arial Narrow"/>
      <w:smallCaps/>
    </w:rPr>
  </w:style>
  <w:style w:type="character" w:customStyle="1" w:styleId="Buttons">
    <w:name w:val="Buttons"/>
    <w:rsid w:val="008425A2"/>
    <w:rPr>
      <w:b/>
    </w:rPr>
  </w:style>
  <w:style w:type="character" w:customStyle="1" w:styleId="Underlined">
    <w:name w:val="Underlined"/>
    <w:rsid w:val="008425A2"/>
    <w:rPr>
      <w:u w:val="single"/>
    </w:rPr>
  </w:style>
  <w:style w:type="paragraph" w:customStyle="1" w:styleId="TableBodyTextRight">
    <w:name w:val="Table Body Text Right"/>
    <w:basedOn w:val="TableBodyText"/>
    <w:rsid w:val="008425A2"/>
    <w:pPr>
      <w:widowControl w:val="0"/>
      <w:autoSpaceDE w:val="0"/>
      <w:autoSpaceDN w:val="0"/>
      <w:adjustRightInd w:val="0"/>
      <w:jc w:val="right"/>
    </w:pPr>
    <w:rPr>
      <w:rFonts w:cs="Arial"/>
      <w:szCs w:val="18"/>
    </w:rPr>
  </w:style>
  <w:style w:type="paragraph" w:customStyle="1" w:styleId="CopyrightText">
    <w:name w:val="Copyright Text"/>
    <w:basedOn w:val="BodyText"/>
    <w:rsid w:val="008425A2"/>
    <w:rPr>
      <w:sz w:val="18"/>
    </w:rPr>
  </w:style>
  <w:style w:type="paragraph" w:customStyle="1" w:styleId="BodySmallRight">
    <w:name w:val="Body Small Right"/>
    <w:basedOn w:val="BodyTextRight"/>
    <w:rsid w:val="008425A2"/>
    <w:rPr>
      <w:sz w:val="18"/>
      <w:szCs w:val="18"/>
    </w:rPr>
  </w:style>
  <w:style w:type="paragraph" w:customStyle="1" w:styleId="MarginEdition">
    <w:name w:val="Margin Edition"/>
    <w:basedOn w:val="MarginNote"/>
    <w:rsid w:val="008425A2"/>
    <w:pPr>
      <w:spacing w:before="0" w:after="0"/>
    </w:pPr>
    <w:rPr>
      <w:rFonts w:ascii="Times New Roman" w:hAnsi="Times New Roman"/>
      <w:color w:val="999999"/>
    </w:rPr>
  </w:style>
  <w:style w:type="paragraph" w:customStyle="1" w:styleId="Spacer">
    <w:name w:val="Spacer"/>
    <w:basedOn w:val="Normal"/>
    <w:rsid w:val="008425A2"/>
    <w:rPr>
      <w:sz w:val="2"/>
      <w:szCs w:val="2"/>
    </w:rPr>
  </w:style>
  <w:style w:type="character" w:customStyle="1" w:styleId="Small">
    <w:name w:val="Small"/>
    <w:rsid w:val="008425A2"/>
    <w:rPr>
      <w:sz w:val="16"/>
    </w:rPr>
  </w:style>
  <w:style w:type="paragraph" w:customStyle="1" w:styleId="WideTable">
    <w:name w:val="Wide Table"/>
    <w:basedOn w:val="Normal"/>
    <w:rsid w:val="008425A2"/>
    <w:pPr>
      <w:ind w:left="-1418"/>
    </w:pPr>
    <w:rPr>
      <w:sz w:val="2"/>
      <w:szCs w:val="2"/>
    </w:rPr>
  </w:style>
  <w:style w:type="character" w:styleId="PageNumber">
    <w:name w:val="page number"/>
    <w:rsid w:val="008425A2"/>
  </w:style>
  <w:style w:type="paragraph" w:styleId="Quote">
    <w:name w:val="Quote"/>
    <w:basedOn w:val="Heading1"/>
    <w:link w:val="QuoteChar"/>
    <w:qFormat/>
    <w:rsid w:val="008425A2"/>
    <w:rPr>
      <w:b w:val="0"/>
      <w:sz w:val="72"/>
      <w:szCs w:val="72"/>
      <w:lang w:val="en-NZ"/>
    </w:rPr>
  </w:style>
  <w:style w:type="character" w:customStyle="1" w:styleId="QuoteChar">
    <w:name w:val="Quote Char"/>
    <w:link w:val="Quote"/>
    <w:rsid w:val="00842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5A2"/>
    <w:pPr>
      <w:pageBreakBefore/>
    </w:pPr>
  </w:style>
  <w:style w:type="paragraph" w:customStyle="1" w:styleId="Border">
    <w:name w:val="Border"/>
    <w:basedOn w:val="Normal"/>
    <w:qFormat/>
    <w:rsid w:val="008425A2"/>
    <w:pPr>
      <w:pBdr>
        <w:top w:val="single" w:sz="18" w:space="1" w:color="auto"/>
      </w:pBdr>
    </w:pPr>
    <w:rPr>
      <w:rFonts w:ascii="Times New Roman" w:hAnsi="Times New Roman"/>
      <w:color w:val="FFFFFF"/>
      <w:sz w:val="2"/>
    </w:rPr>
  </w:style>
  <w:style w:type="character" w:styleId="IntenseEmphasis">
    <w:name w:val="Intense Emphasis"/>
    <w:uiPriority w:val="21"/>
    <w:qFormat/>
    <w:rsid w:val="008425A2"/>
    <w:rPr>
      <w:b/>
      <w:bCs/>
      <w:i/>
      <w:iCs/>
      <w:color w:val="auto"/>
    </w:rPr>
  </w:style>
  <w:style w:type="paragraph" w:styleId="IntenseQuote">
    <w:name w:val="Intense Quote"/>
    <w:basedOn w:val="Normal"/>
    <w:next w:val="Normal"/>
    <w:link w:val="IntenseQuoteChar"/>
    <w:uiPriority w:val="30"/>
    <w:qFormat/>
    <w:rsid w:val="008425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25A2"/>
    <w:rPr>
      <w:rFonts w:ascii="Courier New" w:eastAsia="Times New Roman" w:hAnsi="Courier New" w:cs="Times New Roman"/>
      <w:b/>
      <w:bCs/>
      <w:i/>
      <w:iCs/>
      <w:szCs w:val="20"/>
      <w:lang w:val="en-US" w:eastAsia="en-US"/>
    </w:rPr>
  </w:style>
  <w:style w:type="character" w:styleId="SubtleReference">
    <w:name w:val="Subtle Reference"/>
    <w:uiPriority w:val="31"/>
    <w:qFormat/>
    <w:rsid w:val="008425A2"/>
    <w:rPr>
      <w:smallCaps/>
      <w:color w:val="auto"/>
      <w:u w:val="single"/>
    </w:rPr>
  </w:style>
  <w:style w:type="character" w:styleId="IntenseReference">
    <w:name w:val="Intense Reference"/>
    <w:uiPriority w:val="32"/>
    <w:qFormat/>
    <w:rsid w:val="008425A2"/>
    <w:rPr>
      <w:b/>
      <w:bCs/>
      <w:smallCaps/>
      <w:color w:val="auto"/>
      <w:spacing w:val="5"/>
      <w:u w:val="single"/>
    </w:rPr>
  </w:style>
  <w:style w:type="paragraph" w:customStyle="1" w:styleId="2ColumnHeading">
    <w:name w:val="2Column Heading"/>
    <w:basedOn w:val="BodyText"/>
    <w:qFormat/>
    <w:rsid w:val="008425A2"/>
    <w:pPr>
      <w:spacing w:after="60"/>
      <w:ind w:left="-2268"/>
    </w:pPr>
    <w:rPr>
      <w:b/>
    </w:rPr>
  </w:style>
  <w:style w:type="paragraph" w:customStyle="1" w:styleId="Heading1TOC">
    <w:name w:val="Heading1 TOC"/>
    <w:basedOn w:val="Normal"/>
    <w:qFormat/>
    <w:rsid w:val="008425A2"/>
    <w:pPr>
      <w:spacing w:before="240" w:after="120"/>
    </w:pPr>
    <w:rPr>
      <w:rFonts w:ascii="Times New Roman" w:hAnsi="Times New Roman"/>
      <w:b/>
      <w:sz w:val="32"/>
    </w:rPr>
  </w:style>
  <w:style w:type="paragraph" w:customStyle="1" w:styleId="Heading2TOC">
    <w:name w:val="Heading2 TOC"/>
    <w:basedOn w:val="Normal"/>
    <w:qFormat/>
    <w:rsid w:val="008425A2"/>
    <w:pPr>
      <w:spacing w:before="240" w:after="60"/>
    </w:pPr>
    <w:rPr>
      <w:rFonts w:ascii="Times New Roman" w:hAnsi="Times New Roman"/>
      <w:b/>
      <w:sz w:val="28"/>
    </w:rPr>
  </w:style>
  <w:style w:type="character" w:customStyle="1" w:styleId="Underline">
    <w:name w:val="Underline"/>
    <w:qFormat/>
    <w:rsid w:val="008425A2"/>
    <w:rPr>
      <w:u w:val="single"/>
    </w:rPr>
  </w:style>
  <w:style w:type="paragraph" w:styleId="BalloonText">
    <w:name w:val="Balloon Text"/>
    <w:basedOn w:val="Normal"/>
    <w:link w:val="BalloonTextChar"/>
    <w:rsid w:val="008425A2"/>
    <w:rPr>
      <w:rFonts w:ascii="Tahoma" w:hAnsi="Tahoma" w:cs="Tahoma"/>
      <w:sz w:val="16"/>
      <w:szCs w:val="16"/>
    </w:rPr>
  </w:style>
  <w:style w:type="character" w:customStyle="1" w:styleId="BalloonTextChar">
    <w:name w:val="Balloon Text Char"/>
    <w:link w:val="BalloonText"/>
    <w:rsid w:val="008425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25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25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1599</Words>
  <Characters>10227</Characters>
  <Application>Microsoft Office Word</Application>
  <DocSecurity>0</DocSecurity>
  <Lines>391</Lines>
  <Paragraphs>229</Paragraphs>
  <ScaleCrop>false</ScaleCrop>
  <Company>Author-it Software Corporation Ltd.</Company>
  <LinksUpToDate>false</LinksUpToDate>
  <CharactersWithSpaces>11754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ICTRFN3055A Install a radio communications antenna and feedline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2012-05-26T07:31:00Z</dcterms:created>
  <dcterms:modified xsi:type="dcterms:W3CDTF">2012-05-26T07:31:00Z</dcterms:modified>
</cp:coreProperties>
</file>