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C88" w:rsidP="00CD1C88">
      <w:pPr>
        <w:pStyle w:val="Title"/>
      </w:pPr>
      <w:r>
        <w:fldChar w:fldCharType="begin"/>
      </w:r>
      <w:r>
        <w:instrText xml:space="preserve"> TITLE   \* MERGEFORMAT </w:instrText>
      </w:r>
      <w:r>
        <w:fldChar w:fldCharType="separate"/>
      </w:r>
      <w:r>
        <w:t>ICTRFN2164B Install a terrestrial antenna</w:t>
      </w:r>
      <w:r>
        <w:fldChar w:fldCharType="end"/>
      </w:r>
    </w:p>
    <w:p w:rsidR="00CD1C88" w:rsidP="00CD1C88">
      <w:pPr>
        <w:pStyle w:val="Version"/>
        <w:sectPr w:rsidSect="009B6B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BA3" w:rsidP="009B6BA3">
      <w:pPr>
        <w:pStyle w:val="SuperHeading"/>
      </w:pPr>
      <w:r w:rsidRPr="009B6BA3">
        <w:t>ICTRFN2164B Install a terrestrial antenna</w:t>
      </w:r>
    </w:p>
    <w:p w:rsidR="00000000" w:rsidRPr="009B6BA3" w:rsidP="009B6BA3">
      <w:pPr>
        <w:pStyle w:val="Heading1"/>
      </w:pPr>
      <w:bookmarkStart w:id="1" w:name="O_639912"/>
      <w:bookmarkEnd w:id="1"/>
      <w:r w:rsidRPr="009B6BA3">
        <w:t>Modification History</w:t>
      </w:r>
    </w:p>
    <w:tbl>
      <w:tblPr>
        <w:tblW w:w="0" w:type="auto"/>
        <w:tblLayout w:type="fixed"/>
        <w:tblCellMar>
          <w:left w:w="62" w:type="dxa"/>
          <w:right w:w="62" w:type="dxa"/>
        </w:tblCellMar>
        <w:tblLook w:val="0000"/>
      </w:tblPr>
      <w:tblGrid>
        <w:gridCol w:w="2554"/>
        <w:gridCol w:w="6191"/>
      </w:tblGrid>
      <w:tr w:rsidTr="009B6BA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rPr>
                <w:rStyle w:val="SpecialBold"/>
              </w:rPr>
              <w:t>Release</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Comments</w:t>
            </w:r>
          </w:p>
        </w:tc>
      </w:tr>
      <w:tr w:rsidTr="009B6BA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t>Release 2</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 xml:space="preserve">This version first released with </w:t>
            </w:r>
            <w:r w:rsidRPr="009B6BA3">
              <w:rPr>
                <w:rStyle w:val="Emphasis"/>
              </w:rPr>
              <w:t>ICT10 Integrated Telecommunications Training Package Version 3.0</w:t>
            </w:r>
            <w:r w:rsidRPr="009B6BA3">
              <w:t>.</w:t>
            </w:r>
          </w:p>
          <w:p w:rsidR="00000000" w:rsidRPr="009B6BA3" w:rsidP="009B6BA3">
            <w:pPr>
              <w:pStyle w:val="BodyText"/>
            </w:pPr>
          </w:p>
          <w:p w:rsidR="00000000" w:rsidRPr="009B6BA3" w:rsidP="009B6BA3">
            <w:pPr>
              <w:pStyle w:val="BodyText"/>
            </w:pPr>
            <w:r w:rsidRPr="009B6BA3">
              <w:t>References to other units updated.</w:t>
            </w:r>
          </w:p>
          <w:p w:rsidR="00000000" w:rsidRPr="009B6BA3" w:rsidP="009B6BA3">
            <w:pPr>
              <w:pStyle w:val="BodyText"/>
            </w:pPr>
          </w:p>
          <w:p w:rsidR="00000000" w:rsidP="009B6BA3">
            <w:pPr>
              <w:pStyle w:val="BodyText"/>
              <w:rPr>
                <w:lang w:val="en-NZ"/>
              </w:rPr>
            </w:pPr>
            <w:r w:rsidRPr="009B6BA3">
              <w:t>Outcomes deemed equivalent.</w:t>
            </w:r>
          </w:p>
        </w:tc>
      </w:tr>
      <w:tr w:rsidTr="009B6BA3">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t>Release 1</w:t>
            </w:r>
          </w:p>
        </w:tc>
        <w:tc>
          <w:tcPr>
            <w:tcW w:w="61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This version first released with</w:t>
            </w:r>
            <w:r w:rsidRPr="009B6BA3">
              <w:t xml:space="preserve"> </w:t>
            </w:r>
            <w:r w:rsidRPr="009B6BA3">
              <w:rPr>
                <w:rStyle w:val="Emphasis"/>
              </w:rPr>
              <w:t>ICT10 Integrated Telecommunications Training Package Version 1.0</w:t>
            </w:r>
            <w:r w:rsidRPr="009B6BA3">
              <w:t>.</w:t>
            </w:r>
          </w:p>
        </w:tc>
      </w:tr>
    </w:tbl>
    <w:p w:rsidR="00000000" w:rsidRPr="009B6BA3" w:rsidP="009B6BA3">
      <w:pPr>
        <w:pStyle w:val="BodyText"/>
      </w:pPr>
    </w:p>
    <w:p w:rsidR="00000000" w:rsidRPr="009B6BA3" w:rsidP="009B6BA3">
      <w:pPr>
        <w:pStyle w:val="AllowPageBreak"/>
      </w:pPr>
    </w:p>
    <w:p w:rsidR="00000000" w:rsidRPr="009B6BA3" w:rsidP="009B6BA3">
      <w:pPr>
        <w:pStyle w:val="Heading1"/>
      </w:pPr>
      <w:bookmarkStart w:id="2" w:name="O_639913"/>
      <w:bookmarkEnd w:id="2"/>
      <w:r w:rsidRPr="009B6BA3">
        <w:t>Unit Descriptor</w:t>
      </w:r>
    </w:p>
    <w:p w:rsidR="00000000" w:rsidRPr="009B6BA3" w:rsidP="009B6BA3">
      <w:pPr>
        <w:pStyle w:val="BodyText"/>
      </w:pPr>
      <w:r w:rsidRPr="009B6BA3">
        <w:t>This unit describes the performance outcomes, skills and knowledge required to install and test receiving antenna equipment on dwellings, buildings, masts</w:t>
      </w:r>
      <w:r w:rsidRPr="009B6BA3">
        <w:t xml:space="preserve"> and other structures to receive terrestrial signals.</w:t>
      </w:r>
    </w:p>
    <w:p w:rsidR="00000000" w:rsidRPr="009B6BA3" w:rsidP="009B6BA3">
      <w:pPr>
        <w:pStyle w:val="AllowPageBreak"/>
      </w:pPr>
    </w:p>
    <w:p w:rsidR="00000000" w:rsidRPr="009B6BA3" w:rsidP="009B6BA3">
      <w:pPr>
        <w:pStyle w:val="Heading1"/>
      </w:pPr>
      <w:bookmarkStart w:id="3" w:name="O_639914"/>
      <w:bookmarkEnd w:id="3"/>
      <w:r w:rsidRPr="009B6BA3">
        <w:t>Application of the Unit</w:t>
      </w:r>
    </w:p>
    <w:p w:rsidR="00000000" w:rsidRPr="009B6BA3" w:rsidP="009B6BA3">
      <w:pPr>
        <w:pStyle w:val="BodyText"/>
      </w:pPr>
      <w:r w:rsidRPr="009B6BA3">
        <w:t>Technical staff who install or replace receiving antennas on single and multiple dwellings, commercial buildings and telecommunications structures apply the skil</w:t>
      </w:r>
      <w:r w:rsidRPr="009B6BA3">
        <w:t>ls and knowledge in this unit.</w:t>
      </w:r>
    </w:p>
    <w:p w:rsidR="00000000" w:rsidRPr="009B6BA3" w:rsidP="009B6BA3">
      <w:pPr>
        <w:pStyle w:val="BodyText"/>
      </w:pPr>
    </w:p>
    <w:p w:rsidR="00000000" w:rsidRPr="009B6BA3" w:rsidP="009B6BA3">
      <w:pPr>
        <w:pStyle w:val="BodyText"/>
      </w:pPr>
      <w:r w:rsidRPr="009B6BA3">
        <w:t>This unit may apply to installations for digital radio and digital TV reception applications. Installations may be new or existing, standalone or part of a site with multiple antennas.</w:t>
      </w:r>
    </w:p>
    <w:p w:rsidR="00000000" w:rsidRPr="009B6BA3" w:rsidP="009B6BA3">
      <w:pPr>
        <w:pStyle w:val="AllowPageBreak"/>
      </w:pPr>
    </w:p>
    <w:p w:rsidR="00000000" w:rsidRPr="009B6BA3" w:rsidP="009B6BA3">
      <w:pPr>
        <w:pStyle w:val="Heading1"/>
      </w:pPr>
      <w:bookmarkStart w:id="4" w:name="O_639915"/>
      <w:bookmarkEnd w:id="4"/>
      <w:r w:rsidRPr="009B6BA3">
        <w:t>Licensing/Regulatory Information</w:t>
      </w:r>
    </w:p>
    <w:p w:rsidR="00000000" w:rsidRPr="009B6BA3" w:rsidP="009B6BA3">
      <w:pPr>
        <w:pStyle w:val="BodyText"/>
      </w:pPr>
      <w:r w:rsidRPr="009B6BA3">
        <w:t>Depending on the particular installation, organisational requirements, and state or territory legislation, specific licences may be required in areas, such as:</w:t>
      </w:r>
    </w:p>
    <w:p w:rsidR="00000000" w:rsidRPr="009B6BA3" w:rsidP="009B6BA3">
      <w:pPr>
        <w:pStyle w:val="BodyText"/>
      </w:pPr>
    </w:p>
    <w:p w:rsidR="00000000" w:rsidRPr="009B6BA3" w:rsidP="009B6BA3">
      <w:pPr>
        <w:pStyle w:val="ListBullet"/>
      </w:pPr>
      <w:r w:rsidRPr="009B6BA3">
        <w:t>working on roofs</w:t>
      </w:r>
    </w:p>
    <w:p w:rsidR="00000000" w:rsidRPr="009B6BA3" w:rsidP="009B6BA3">
      <w:pPr>
        <w:pStyle w:val="ListBullet"/>
      </w:pPr>
      <w:r w:rsidRPr="009B6BA3">
        <w:t>working at heights</w:t>
      </w:r>
    </w:p>
    <w:p w:rsidR="00000000" w:rsidRPr="009B6BA3" w:rsidP="009B6BA3">
      <w:pPr>
        <w:pStyle w:val="ListBullet"/>
      </w:pPr>
      <w:r w:rsidRPr="009B6BA3">
        <w:t>structure climbing</w:t>
      </w:r>
    </w:p>
    <w:p w:rsidR="00000000" w:rsidRPr="009B6BA3" w:rsidP="009B6BA3">
      <w:pPr>
        <w:pStyle w:val="ListBullet"/>
      </w:pPr>
      <w:r w:rsidRPr="009B6BA3">
        <w:t xml:space="preserve">tower </w:t>
      </w:r>
      <w:r w:rsidRPr="009B6BA3">
        <w:t>rescue</w:t>
      </w:r>
    </w:p>
    <w:p w:rsidR="00000000" w:rsidRPr="009B6BA3" w:rsidP="009B6BA3">
      <w:pPr>
        <w:pStyle w:val="ListBullet"/>
      </w:pPr>
      <w:r w:rsidRPr="009B6BA3">
        <w:t>hoisting and mounting antennas</w:t>
      </w:r>
    </w:p>
    <w:p w:rsidR="00000000" w:rsidRPr="009B6BA3" w:rsidP="009B6BA3">
      <w:pPr>
        <w:pStyle w:val="ListBullet"/>
      </w:pPr>
      <w:r w:rsidRPr="009B6BA3">
        <w:t>installing feedlines</w:t>
      </w:r>
    </w:p>
    <w:p w:rsidR="00000000" w:rsidRPr="009B6BA3" w:rsidP="009B6BA3">
      <w:pPr>
        <w:pStyle w:val="ListBullet"/>
      </w:pPr>
      <w:r w:rsidRPr="009B6BA3">
        <w:t>electromagnetic energy (EME) awareness.</w:t>
      </w:r>
    </w:p>
    <w:p w:rsidR="00000000" w:rsidRPr="009B6BA3" w:rsidP="009B6BA3">
      <w:pPr>
        <w:pStyle w:val="BodyText"/>
      </w:pPr>
    </w:p>
    <w:p w:rsidR="00000000" w:rsidRPr="009B6BA3" w:rsidP="009B6BA3">
      <w:pPr>
        <w:pStyle w:val="BodyText"/>
      </w:pPr>
      <w:r w:rsidRPr="009B6BA3">
        <w:t>Users should confirm requirements with the relevant federal, state or territory authority.</w:t>
      </w:r>
    </w:p>
    <w:p w:rsidR="00000000" w:rsidRPr="009B6BA3" w:rsidP="009B6BA3">
      <w:pPr>
        <w:pStyle w:val="AllowPageBreak"/>
      </w:pPr>
    </w:p>
    <w:p w:rsidR="00000000" w:rsidRPr="009B6BA3" w:rsidP="009B6BA3">
      <w:pPr>
        <w:pStyle w:val="Heading1"/>
      </w:pPr>
      <w:bookmarkStart w:id="5" w:name="O_639916"/>
      <w:bookmarkEnd w:id="5"/>
      <w:r w:rsidRPr="009B6BA3">
        <w:t>Pre-Requisites</w:t>
      </w:r>
    </w:p>
    <w:p w:rsidR="00000000" w:rsidRPr="009B6BA3" w:rsidP="009B6BA3">
      <w:pPr>
        <w:pStyle w:val="BodyText"/>
      </w:pPr>
      <w:r w:rsidRPr="009B6BA3">
        <w:t>Not applicable.</w:t>
      </w:r>
    </w:p>
    <w:p w:rsidR="00000000" w:rsidRPr="009B6BA3" w:rsidP="009B6BA3">
      <w:pPr>
        <w:pStyle w:val="AllowPageBreak"/>
      </w:pPr>
    </w:p>
    <w:p w:rsidR="00000000" w:rsidRPr="009B6BA3" w:rsidP="009B6BA3">
      <w:pPr>
        <w:pStyle w:val="Heading1"/>
      </w:pPr>
      <w:bookmarkStart w:id="6" w:name="O_639917"/>
      <w:bookmarkEnd w:id="6"/>
      <w:r w:rsidRPr="009B6BA3">
        <w:t>Employability Skills Information</w:t>
      </w:r>
    </w:p>
    <w:p w:rsidR="00000000" w:rsidRPr="009B6BA3" w:rsidP="009B6BA3">
      <w:pPr>
        <w:pStyle w:val="BodyText"/>
      </w:pPr>
      <w:r w:rsidRPr="009B6BA3">
        <w:t>This unit contains employability skills.</w:t>
      </w:r>
    </w:p>
    <w:p w:rsidR="00000000" w:rsidRPr="009B6BA3" w:rsidP="009B6BA3">
      <w:pPr>
        <w:pStyle w:val="AllowPageBreak"/>
      </w:pPr>
    </w:p>
    <w:p w:rsidR="00000000" w:rsidRPr="009B6BA3" w:rsidP="009B6BA3">
      <w:pPr>
        <w:pStyle w:val="Heading1"/>
      </w:pPr>
      <w:bookmarkStart w:id="7" w:name="O_639918"/>
      <w:bookmarkEnd w:id="7"/>
      <w:r w:rsidRPr="009B6BA3">
        <w:t>Elements and Performance Criteria Pre-Content</w:t>
      </w:r>
    </w:p>
    <w:tbl>
      <w:tblPr>
        <w:tblW w:w="0" w:type="auto"/>
        <w:tblLayout w:type="fixed"/>
        <w:tblCellMar>
          <w:left w:w="62" w:type="dxa"/>
          <w:right w:w="62" w:type="dxa"/>
        </w:tblCellMar>
        <w:tblLook w:val="0000"/>
      </w:tblPr>
      <w:tblGrid>
        <w:gridCol w:w="2469"/>
        <w:gridCol w:w="6276"/>
      </w:tblGrid>
      <w:tr w:rsidTr="009B6BA3">
        <w:tblPrEx>
          <w:tblW w:w="0" w:type="auto"/>
          <w:tblLayout w:type="fixed"/>
          <w:tblCellMar>
            <w:left w:w="62" w:type="dxa"/>
            <w:right w:w="62" w:type="dxa"/>
          </w:tblCellMar>
          <w:tblLook w:val="0000"/>
        </w:tblPrEx>
        <w:trPr>
          <w:tblHeader/>
        </w:trPr>
        <w:tc>
          <w:tcPr>
            <w:tcW w:w="2469"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9B6BA3" w:rsidP="009B6BA3">
            <w:pPr>
              <w:pStyle w:val="BodyText"/>
            </w:pPr>
            <w:r w:rsidRPr="009B6BA3">
              <w:rPr>
                <w:rStyle w:val="SpecialBold"/>
              </w:rPr>
              <w:t>Element</w:t>
            </w:r>
          </w:p>
        </w:tc>
        <w:tc>
          <w:tcPr>
            <w:tcW w:w="627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Performance Criteria</w:t>
            </w:r>
          </w:p>
        </w:tc>
      </w:tr>
      <w:tr w:rsidTr="009B6BA3">
        <w:tblPrEx>
          <w:tblW w:w="0" w:type="auto"/>
          <w:tblLayout w:type="fixed"/>
          <w:tblCellMar>
            <w:left w:w="62" w:type="dxa"/>
            <w:right w:w="62" w:type="dxa"/>
          </w:tblCellMar>
          <w:tblLook w:val="0000"/>
        </w:tblPrEx>
        <w:tc>
          <w:tcPr>
            <w:tcW w:w="2469"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rPr>
                <w:rStyle w:val="Emphasis"/>
              </w:rPr>
              <w:t>Elements describe the essential outcomes of a unit of competency.</w:t>
            </w:r>
          </w:p>
        </w:tc>
        <w:tc>
          <w:tcPr>
            <w:tcW w:w="627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B6BA3">
              <w:rPr>
                <w:rStyle w:val="Emphasis"/>
              </w:rPr>
              <w:t>nce is to be consistent with the evidence guide.</w:t>
            </w:r>
          </w:p>
        </w:tc>
      </w:tr>
    </w:tbl>
    <w:p w:rsidR="00000000" w:rsidRPr="009B6BA3" w:rsidP="009B6BA3">
      <w:pPr>
        <w:pStyle w:val="BodyText"/>
      </w:pPr>
    </w:p>
    <w:p w:rsidR="00000000" w:rsidRPr="009B6BA3" w:rsidP="009B6BA3">
      <w:pPr>
        <w:pStyle w:val="AllowPageBreak"/>
      </w:pPr>
    </w:p>
    <w:p w:rsidR="00000000" w:rsidRPr="009B6BA3" w:rsidP="009B6BA3">
      <w:pPr>
        <w:pStyle w:val="Heading1"/>
      </w:pPr>
      <w:bookmarkStart w:id="8" w:name="O_639919"/>
      <w:bookmarkEnd w:id="8"/>
      <w:r w:rsidRPr="009B6BA3">
        <w:t>Elements and Performance Criteria</w:t>
      </w:r>
    </w:p>
    <w:tbl>
      <w:tblPr>
        <w:tblW w:w="0" w:type="auto"/>
        <w:tblLayout w:type="fixed"/>
        <w:tblCellMar>
          <w:left w:w="62" w:type="dxa"/>
          <w:right w:w="62" w:type="dxa"/>
        </w:tblCellMar>
        <w:tblLook w:val="0000"/>
      </w:tblPr>
      <w:tblGrid>
        <w:gridCol w:w="2520"/>
        <w:gridCol w:w="6225"/>
      </w:tblGrid>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t>1. Prepare for work on a terrestrial antenna</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 xml:space="preserve">1.1 Prepare for installation applying all </w:t>
            </w:r>
            <w:r w:rsidRPr="009B6BA3">
              <w:rPr>
                <w:rStyle w:val="BoldandItalics"/>
              </w:rPr>
              <w:t>relevant legislation</w:t>
            </w:r>
            <w:r w:rsidRPr="009B6BA3">
              <w:t xml:space="preserve">, </w:t>
            </w:r>
            <w:r w:rsidRPr="009B6BA3">
              <w:rPr>
                <w:rStyle w:val="BoldandItalics"/>
              </w:rPr>
              <w:t xml:space="preserve">codes, regulations and standards </w:t>
            </w:r>
            <w:r w:rsidRPr="009B6BA3">
              <w:t xml:space="preserve">and identify any </w:t>
            </w:r>
            <w:r w:rsidRPr="009B6BA3">
              <w:rPr>
                <w:rStyle w:val="BoldandItalics"/>
              </w:rPr>
              <w:t>safety issues</w:t>
            </w:r>
          </w:p>
          <w:p w:rsidR="00000000" w:rsidRPr="009B6BA3" w:rsidP="009B6BA3">
            <w:pPr>
              <w:pStyle w:val="BodyText"/>
            </w:pPr>
            <w:r w:rsidRPr="009B6BA3">
              <w:t>1.2 Organise resources to be available on site</w:t>
            </w:r>
          </w:p>
          <w:p w:rsidR="00000000" w:rsidRPr="009B6BA3" w:rsidP="009B6BA3">
            <w:pPr>
              <w:pStyle w:val="BodyText"/>
            </w:pPr>
            <w:r w:rsidRPr="009B6BA3">
              <w:t>1.3 Notify customer to arrange access to the site and possible outage</w:t>
            </w:r>
          </w:p>
          <w:p w:rsidR="00000000" w:rsidP="009B6BA3">
            <w:pPr>
              <w:pStyle w:val="BodyText"/>
              <w:rPr>
                <w:lang w:val="en-NZ"/>
              </w:rPr>
            </w:pPr>
            <w:r w:rsidRPr="009B6BA3">
              <w:t xml:space="preserve">1.4 Organise </w:t>
            </w:r>
            <w:r w:rsidRPr="009B6BA3">
              <w:rPr>
                <w:rStyle w:val="BoldandItalics"/>
              </w:rPr>
              <w:t xml:space="preserve">tools and equipment </w:t>
            </w:r>
            <w:r w:rsidRPr="009B6BA3">
              <w:t>and ensure they are in safe working order and adjusted to manufacturer's specifications</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t>2. Assemble and mount antenna and coaxial cable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2.1 Assemble antenna on site according to plans, specifications and enterprise guidelines using safe industry practice</w:t>
            </w:r>
          </w:p>
          <w:p w:rsidR="00000000" w:rsidRPr="009B6BA3" w:rsidP="009B6BA3">
            <w:pPr>
              <w:pStyle w:val="BodyText"/>
            </w:pPr>
            <w:r w:rsidRPr="009B6BA3">
              <w:t xml:space="preserve">2.2 Connect </w:t>
            </w:r>
            <w:r w:rsidRPr="009B6BA3">
              <w:rPr>
                <w:rStyle w:val="BoldandItalics"/>
              </w:rPr>
              <w:t xml:space="preserve">coaxial cable </w:t>
            </w:r>
            <w:r w:rsidRPr="009B6BA3">
              <w:t>to antenna and install lightning protection devices</w:t>
            </w:r>
          </w:p>
          <w:p w:rsidR="00000000" w:rsidP="009B6BA3">
            <w:pPr>
              <w:pStyle w:val="BodyText"/>
              <w:rPr>
                <w:lang w:val="en-NZ"/>
              </w:rPr>
            </w:pPr>
            <w:r w:rsidRPr="009B6BA3">
              <w:t xml:space="preserve">2.3 Mount antenna to structure and set </w:t>
            </w:r>
            <w:r w:rsidRPr="009B6BA3">
              <w:rPr>
                <w:rStyle w:val="BoldandItalics"/>
              </w:rPr>
              <w:t xml:space="preserve">polarisation </w:t>
            </w:r>
            <w:r w:rsidRPr="009B6BA3">
              <w:t xml:space="preserve">and </w:t>
            </w:r>
            <w:r w:rsidRPr="009B6BA3">
              <w:rPr>
                <w:rStyle w:val="BoldandItalics"/>
              </w:rPr>
              <w:t>initial antenna azimuth and elevation</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t>3. Test and align antenna system</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3.1 Connect installed antenna system to appropriat</w:t>
            </w:r>
            <w:r w:rsidRPr="009B6BA3">
              <w:t xml:space="preserve">e </w:t>
            </w:r>
            <w:r w:rsidRPr="009B6BA3">
              <w:rPr>
                <w:rStyle w:val="BoldandItalics"/>
              </w:rPr>
              <w:t xml:space="preserve">test equipment </w:t>
            </w:r>
            <w:r w:rsidRPr="009B6BA3">
              <w:t xml:space="preserve">and pan antenna to </w:t>
            </w:r>
            <w:r w:rsidRPr="009B6BA3">
              <w:rPr>
                <w:rStyle w:val="BoldandItalics"/>
              </w:rPr>
              <w:t xml:space="preserve">optimise the signal </w:t>
            </w:r>
            <w:r w:rsidRPr="009B6BA3">
              <w:t>across all specified channel frequencies</w:t>
            </w:r>
          </w:p>
          <w:p w:rsidR="00000000" w:rsidRPr="009B6BA3" w:rsidP="009B6BA3">
            <w:pPr>
              <w:pStyle w:val="BodyText"/>
            </w:pPr>
            <w:r w:rsidRPr="009B6BA3">
              <w:t xml:space="preserve">3.2 Conduct </w:t>
            </w:r>
            <w:r w:rsidRPr="009B6BA3">
              <w:rPr>
                <w:rStyle w:val="BoldandItalics"/>
              </w:rPr>
              <w:t xml:space="preserve">performance tests </w:t>
            </w:r>
            <w:r w:rsidRPr="009B6BA3">
              <w:t>according to manufacturer's specifications and enterprise guidelines</w:t>
            </w:r>
          </w:p>
          <w:p w:rsidR="00000000" w:rsidP="009B6BA3">
            <w:pPr>
              <w:pStyle w:val="BodyText"/>
              <w:rPr>
                <w:lang w:val="en-NZ"/>
              </w:rPr>
            </w:pPr>
            <w:r w:rsidRPr="009B6BA3">
              <w:t>3.3 Interpret test results and compare with manufacturer's d</w:t>
            </w:r>
            <w:r w:rsidRPr="009B6BA3">
              <w:t>esign specifications and make adjustments</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t>4. Complete administrative duties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4.1 Record test results and complete appropriate records</w:t>
            </w:r>
          </w:p>
          <w:p w:rsidR="00000000" w:rsidRPr="009B6BA3" w:rsidP="009B6BA3">
            <w:pPr>
              <w:pStyle w:val="BodyText"/>
            </w:pPr>
            <w:r w:rsidRPr="009B6BA3">
              <w:t>4.2 Secure and clean up site to original condition in an environmentally safe manner</w:t>
            </w:r>
          </w:p>
          <w:p w:rsidR="00000000" w:rsidRPr="009B6BA3" w:rsidP="009B6BA3">
            <w:pPr>
              <w:pStyle w:val="BodyText"/>
            </w:pPr>
            <w:r w:rsidRPr="009B6BA3">
              <w:t>4.3 Notify customer of work completio</w:t>
            </w:r>
            <w:r w:rsidRPr="009B6BA3">
              <w:t>n and obtain sign off</w:t>
            </w:r>
          </w:p>
        </w:tc>
      </w:tr>
    </w:tbl>
    <w:p w:rsidR="00000000" w:rsidRPr="009B6BA3" w:rsidP="009B6BA3">
      <w:pPr>
        <w:pStyle w:val="BodyText"/>
      </w:pPr>
    </w:p>
    <w:p w:rsidR="00000000" w:rsidRPr="009B6BA3" w:rsidP="009B6BA3">
      <w:pPr>
        <w:pStyle w:val="AllowPageBreak"/>
      </w:pPr>
    </w:p>
    <w:p w:rsidR="00000000" w:rsidRPr="009B6BA3" w:rsidP="009B6BA3">
      <w:pPr>
        <w:pStyle w:val="Heading1"/>
      </w:pPr>
      <w:bookmarkStart w:id="9" w:name="O_639920"/>
      <w:bookmarkEnd w:id="9"/>
      <w:r w:rsidRPr="009B6BA3">
        <w:t>Required Skills and Knowledge</w:t>
      </w:r>
    </w:p>
    <w:p w:rsidR="00000000" w:rsidRPr="009B6BA3" w:rsidP="009B6BA3">
      <w:pPr>
        <w:pStyle w:val="BodyText"/>
      </w:pPr>
      <w:r w:rsidRPr="009B6BA3">
        <w:rPr>
          <w:rStyle w:val="Emphasis"/>
        </w:rPr>
        <w:t>This section describes the skills and knowledge required for this unit.</w:t>
      </w:r>
    </w:p>
    <w:p w:rsidR="00000000" w:rsidRPr="009B6BA3" w:rsidP="009B6BA3">
      <w:pPr>
        <w:pStyle w:val="BodyText"/>
      </w:pPr>
    </w:p>
    <w:p w:rsidR="00000000" w:rsidRPr="009B6BA3" w:rsidP="009B6BA3">
      <w:pPr>
        <w:pStyle w:val="BodyText"/>
      </w:pPr>
      <w:r w:rsidRPr="009B6BA3">
        <w:rPr>
          <w:rStyle w:val="SpecialBold"/>
        </w:rPr>
        <w:t>Required skills</w:t>
      </w:r>
    </w:p>
    <w:p w:rsidR="00000000" w:rsidRPr="009B6BA3" w:rsidP="009B6BA3">
      <w:pPr>
        <w:pStyle w:val="BodyText"/>
      </w:pPr>
    </w:p>
    <w:p w:rsidR="00000000" w:rsidRPr="009B6BA3" w:rsidP="009B6BA3">
      <w:pPr>
        <w:pStyle w:val="ListBullet"/>
      </w:pPr>
      <w:r w:rsidRPr="009B6BA3">
        <w:t>communication skills to liaise with customer on operational and site matters</w:t>
      </w:r>
    </w:p>
    <w:p w:rsidR="00000000" w:rsidRPr="009B6BA3" w:rsidP="009B6BA3">
      <w:pPr>
        <w:pStyle w:val="ListBullet"/>
      </w:pPr>
      <w:r w:rsidRPr="009B6BA3">
        <w:t>literacy skills to interpret technical documentation, including antenna specifications and test equipment manuals</w:t>
      </w:r>
    </w:p>
    <w:p w:rsidR="00000000" w:rsidRPr="009B6BA3" w:rsidP="009B6BA3">
      <w:pPr>
        <w:pStyle w:val="ListBullet"/>
      </w:pPr>
      <w:r w:rsidRPr="009B6BA3">
        <w:t>numeracy skills to:</w:t>
      </w:r>
    </w:p>
    <w:p w:rsidR="00000000" w:rsidRPr="009B6BA3" w:rsidP="009B6BA3">
      <w:pPr>
        <w:pStyle w:val="ListBullet2"/>
      </w:pPr>
      <w:r w:rsidRPr="009B6BA3">
        <w:t>evaluate different types of technical data</w:t>
      </w:r>
    </w:p>
    <w:p w:rsidR="00000000" w:rsidRPr="009B6BA3" w:rsidP="009B6BA3">
      <w:pPr>
        <w:pStyle w:val="ListBullet2"/>
      </w:pPr>
      <w:r w:rsidRPr="009B6BA3">
        <w:t>interpret results</w:t>
      </w:r>
    </w:p>
    <w:p w:rsidR="00000000" w:rsidRPr="009B6BA3" w:rsidP="009B6BA3">
      <w:pPr>
        <w:pStyle w:val="ListBullet2"/>
      </w:pPr>
      <w:r w:rsidRPr="009B6BA3">
        <w:t>take radio frequency (RF) measurements</w:t>
      </w:r>
    </w:p>
    <w:p w:rsidR="00000000" w:rsidRPr="009B6BA3" w:rsidP="009B6BA3">
      <w:pPr>
        <w:pStyle w:val="ListBullet"/>
      </w:pPr>
      <w:r w:rsidRPr="009B6BA3">
        <w:t>planning and organis</w:t>
      </w:r>
      <w:r w:rsidRPr="009B6BA3">
        <w:t>ation skills to arrange site access</w:t>
      </w:r>
    </w:p>
    <w:p w:rsidR="00000000" w:rsidRPr="009B6BA3" w:rsidP="009B6BA3">
      <w:pPr>
        <w:pStyle w:val="ListBullet"/>
      </w:pPr>
      <w:r w:rsidRPr="009B6BA3">
        <w:t>safety awareness skills to:</w:t>
      </w:r>
    </w:p>
    <w:p w:rsidR="00000000" w:rsidRPr="009B6BA3" w:rsidP="009B6BA3">
      <w:pPr>
        <w:pStyle w:val="ListBullet2"/>
      </w:pPr>
      <w:r w:rsidRPr="009B6BA3">
        <w:t>apply precautions and required action to minimise, control or eliminate hazards that may exist during work activities</w:t>
      </w:r>
    </w:p>
    <w:p w:rsidR="00000000" w:rsidRPr="009B6BA3" w:rsidP="009B6BA3">
      <w:pPr>
        <w:pStyle w:val="ListBullet2"/>
      </w:pPr>
      <w:r w:rsidRPr="009B6BA3">
        <w:t>select and use required personal protective equipment conforming to industry and occupational health and safety (OHS) standards</w:t>
      </w:r>
    </w:p>
    <w:p w:rsidR="00000000" w:rsidRPr="009B6BA3" w:rsidP="009B6BA3">
      <w:pPr>
        <w:pStyle w:val="ListBullet2"/>
      </w:pPr>
      <w:r w:rsidRPr="009B6BA3">
        <w:t>work systematically with required attention to detail without injury to self or others, or damage to goods or equipment</w:t>
      </w:r>
    </w:p>
    <w:p w:rsidR="00000000" w:rsidRPr="009B6BA3" w:rsidP="009B6BA3">
      <w:pPr>
        <w:pStyle w:val="ListBullet"/>
      </w:pPr>
      <w:r w:rsidRPr="009B6BA3">
        <w:t>technic</w:t>
      </w:r>
      <w:r w:rsidRPr="009B6BA3">
        <w:t>al skills to:</w:t>
      </w:r>
    </w:p>
    <w:p w:rsidR="00000000" w:rsidRPr="009B6BA3" w:rsidP="009B6BA3">
      <w:pPr>
        <w:pStyle w:val="ListBullet2"/>
      </w:pPr>
      <w:r w:rsidRPr="009B6BA3">
        <w:t>assemble antenna according to plans</w:t>
      </w:r>
    </w:p>
    <w:p w:rsidR="00000000" w:rsidRPr="009B6BA3" w:rsidP="009B6BA3">
      <w:pPr>
        <w:pStyle w:val="ListBullet2"/>
      </w:pPr>
      <w:r w:rsidRPr="009B6BA3">
        <w:t>physically align antenna</w:t>
      </w:r>
    </w:p>
    <w:p w:rsidR="00000000" w:rsidRPr="009B6BA3" w:rsidP="009B6BA3">
      <w:pPr>
        <w:pStyle w:val="ListBullet2"/>
      </w:pPr>
      <w:r w:rsidRPr="009B6BA3">
        <w:t>strip, prepare and terminate single, dual, triple and quad shield coaxial cable</w:t>
      </w:r>
    </w:p>
    <w:p w:rsidR="00000000" w:rsidRPr="009B6BA3" w:rsidP="009B6BA3">
      <w:pPr>
        <w:pStyle w:val="ListBullet2"/>
      </w:pPr>
      <w:r w:rsidRPr="009B6BA3">
        <w:t>use hand and power tools and operate test equipment</w:t>
      </w:r>
    </w:p>
    <w:p w:rsidR="00000000" w:rsidRPr="009B6BA3" w:rsidP="009B6BA3">
      <w:pPr>
        <w:pStyle w:val="ListBullet2"/>
      </w:pPr>
      <w:r w:rsidRPr="009B6BA3">
        <w:t>use multimeter to test coaxial cable</w:t>
      </w:r>
    </w:p>
    <w:p w:rsidR="00CD1C88" w:rsidP="009B6BA3">
      <w:pPr>
        <w:pStyle w:val="ListBullet2"/>
      </w:pPr>
      <w:r w:rsidRPr="009B6BA3">
        <w:t xml:space="preserve">use signal </w:t>
      </w:r>
      <w:r w:rsidRPr="009B6BA3">
        <w:t>level meter or spectrum analyser.</w:t>
      </w:r>
    </w:p>
    <w:p w:rsidR="00CD1C88" w:rsidP="009B6BA3">
      <w:pPr>
        <w:pStyle w:val="ListBullet2"/>
      </w:pPr>
    </w:p>
    <w:p w:rsidR="00000000" w:rsidRPr="009B6BA3" w:rsidP="009B6BA3">
      <w:pPr>
        <w:pStyle w:val="BodyText"/>
      </w:pPr>
      <w:r w:rsidRPr="009B6BA3">
        <w:rPr>
          <w:rStyle w:val="SpecialBold"/>
        </w:rPr>
        <w:t>Required knowledge</w:t>
      </w:r>
    </w:p>
    <w:p w:rsidR="00000000" w:rsidRPr="009B6BA3" w:rsidP="009B6BA3">
      <w:pPr>
        <w:pStyle w:val="BodyText"/>
      </w:pPr>
    </w:p>
    <w:p w:rsidR="00000000" w:rsidRPr="009B6BA3" w:rsidP="009B6BA3">
      <w:pPr>
        <w:pStyle w:val="ListBullet"/>
      </w:pPr>
      <w:r w:rsidRPr="009B6BA3">
        <w:t>antenna:</w:t>
      </w:r>
    </w:p>
    <w:p w:rsidR="00000000" w:rsidRPr="009B6BA3" w:rsidP="009B6BA3">
      <w:pPr>
        <w:pStyle w:val="ListBullet2"/>
      </w:pPr>
      <w:r w:rsidRPr="009B6BA3">
        <w:t>directivity</w:t>
      </w:r>
    </w:p>
    <w:p w:rsidR="00000000" w:rsidRPr="009B6BA3" w:rsidP="009B6BA3">
      <w:pPr>
        <w:pStyle w:val="ListBullet2"/>
      </w:pPr>
      <w:r w:rsidRPr="009B6BA3">
        <w:t>front to back ratio</w:t>
      </w:r>
    </w:p>
    <w:p w:rsidR="00000000" w:rsidRPr="009B6BA3" w:rsidP="009B6BA3">
      <w:pPr>
        <w:pStyle w:val="ListBullet2"/>
      </w:pPr>
      <w:r w:rsidRPr="009B6BA3">
        <w:t>optimum placement</w:t>
      </w:r>
    </w:p>
    <w:p w:rsidR="00000000" w:rsidRPr="009B6BA3" w:rsidP="009B6BA3">
      <w:pPr>
        <w:pStyle w:val="ListBullet2"/>
      </w:pPr>
      <w:r w:rsidRPr="009B6BA3">
        <w:t>pattern</w:t>
      </w:r>
    </w:p>
    <w:p w:rsidR="00000000" w:rsidRPr="009B6BA3" w:rsidP="009B6BA3">
      <w:pPr>
        <w:pStyle w:val="ListBullet2"/>
      </w:pPr>
      <w:r w:rsidRPr="009B6BA3">
        <w:t>polarisation</w:t>
      </w:r>
    </w:p>
    <w:p w:rsidR="00000000" w:rsidRPr="009B6BA3" w:rsidP="009B6BA3">
      <w:pPr>
        <w:pStyle w:val="ListBullet"/>
      </w:pPr>
      <w:r w:rsidRPr="009B6BA3">
        <w:t>bit error ratio (BER)</w:t>
      </w:r>
    </w:p>
    <w:p w:rsidR="00000000" w:rsidRPr="009B6BA3" w:rsidP="009B6BA3">
      <w:pPr>
        <w:pStyle w:val="ListBullet"/>
      </w:pPr>
      <w:r w:rsidRPr="009B6BA3">
        <w:t>coaxial cable types and properties</w:t>
      </w:r>
    </w:p>
    <w:p w:rsidR="00000000" w:rsidRPr="009B6BA3" w:rsidP="009B6BA3">
      <w:pPr>
        <w:pStyle w:val="ListBullet"/>
      </w:pPr>
      <w:r w:rsidRPr="009B6BA3">
        <w:t>electromagnetic waves:</w:t>
      </w:r>
    </w:p>
    <w:p w:rsidR="00000000" w:rsidRPr="009B6BA3" w:rsidP="009B6BA3">
      <w:pPr>
        <w:pStyle w:val="ListBullet2"/>
      </w:pPr>
      <w:r w:rsidRPr="009B6BA3">
        <w:t>absorption by trees and buildings</w:t>
      </w:r>
    </w:p>
    <w:p w:rsidR="00000000" w:rsidRPr="009B6BA3" w:rsidP="009B6BA3">
      <w:pPr>
        <w:pStyle w:val="ListBullet2"/>
      </w:pPr>
      <w:r w:rsidRPr="009B6BA3">
        <w:t>awareness of exposure to electromagnetic radiation (EMR)</w:t>
      </w:r>
    </w:p>
    <w:p w:rsidR="00000000" w:rsidRPr="009B6BA3" w:rsidP="009B6BA3">
      <w:pPr>
        <w:pStyle w:val="ListBullet2"/>
      </w:pPr>
      <w:r w:rsidRPr="009B6BA3">
        <w:t>reflection</w:t>
      </w:r>
    </w:p>
    <w:p w:rsidR="00000000" w:rsidRPr="009B6BA3" w:rsidP="009B6BA3">
      <w:pPr>
        <w:pStyle w:val="ListBullet"/>
      </w:pPr>
      <w:r w:rsidRPr="009B6BA3">
        <w:t>legislation, codes of practice and other formal agreements that directly impact on antenna installation</w:t>
      </w:r>
    </w:p>
    <w:p w:rsidR="00000000" w:rsidRPr="009B6BA3" w:rsidP="009B6BA3">
      <w:pPr>
        <w:pStyle w:val="ListBullet"/>
      </w:pPr>
      <w:r w:rsidRPr="009B6BA3">
        <w:t>modulation:</w:t>
      </w:r>
    </w:p>
    <w:p w:rsidR="00000000" w:rsidRPr="009B6BA3" w:rsidP="009B6BA3">
      <w:pPr>
        <w:pStyle w:val="ListBullet2"/>
      </w:pPr>
      <w:r w:rsidRPr="009B6BA3">
        <w:t>bandwidth</w:t>
      </w:r>
    </w:p>
    <w:p w:rsidR="00000000" w:rsidRPr="009B6BA3" w:rsidP="009B6BA3">
      <w:pPr>
        <w:pStyle w:val="ListBullet2"/>
      </w:pPr>
      <w:r w:rsidRPr="009B6BA3">
        <w:t>individual spectrum shape of analog and digital television signals and DAB+ digital radio signals</w:t>
      </w:r>
    </w:p>
    <w:p w:rsidR="00000000" w:rsidRPr="009B6BA3" w:rsidP="009B6BA3">
      <w:pPr>
        <w:pStyle w:val="ListBullet"/>
      </w:pPr>
      <w:r w:rsidRPr="009B6BA3">
        <w:t>modulation error ratio (MER)</w:t>
      </w:r>
    </w:p>
    <w:p w:rsidR="00000000" w:rsidRPr="009B6BA3" w:rsidP="009B6BA3">
      <w:pPr>
        <w:pStyle w:val="ListBullet"/>
      </w:pPr>
      <w:r w:rsidRPr="009B6BA3">
        <w:t>RF spectrum:</w:t>
      </w:r>
    </w:p>
    <w:p w:rsidR="00000000" w:rsidRPr="009B6BA3" w:rsidP="009B6BA3">
      <w:pPr>
        <w:pStyle w:val="ListBullet2"/>
      </w:pPr>
      <w:r w:rsidRPr="009B6BA3">
        <w:t>Australian DAB+ digital radio channel frequencies</w:t>
      </w:r>
    </w:p>
    <w:p w:rsidR="00000000" w:rsidRPr="009B6BA3" w:rsidP="009B6BA3">
      <w:pPr>
        <w:pStyle w:val="ListBullet2"/>
      </w:pPr>
      <w:r w:rsidRPr="009B6BA3">
        <w:t>Australian television UHF and VHF channel plan (digital and anal</w:t>
      </w:r>
      <w:r w:rsidRPr="009B6BA3">
        <w:t>og)</w:t>
      </w:r>
    </w:p>
    <w:p w:rsidR="00000000" w:rsidRPr="009B6BA3" w:rsidP="009B6BA3">
      <w:pPr>
        <w:pStyle w:val="ListBullet2"/>
      </w:pPr>
      <w:r w:rsidRPr="009B6BA3">
        <w:t>terminology related to bands used for broadcasting (Bands I , II, III, IV and V)</w:t>
      </w:r>
    </w:p>
    <w:p w:rsidR="00000000" w:rsidRPr="009B6BA3" w:rsidP="009B6BA3">
      <w:pPr>
        <w:pStyle w:val="ListBullet"/>
      </w:pPr>
      <w:r w:rsidRPr="009B6BA3">
        <w:t>signal level expressed in dBuV units</w:t>
      </w:r>
    </w:p>
    <w:p w:rsidR="00000000" w:rsidRPr="009B6BA3" w:rsidP="009B6BA3">
      <w:pPr>
        <w:pStyle w:val="ListBullet"/>
      </w:pPr>
      <w:r w:rsidRPr="009B6BA3">
        <w:t>specific OHS requirements that impact on the installation of terrestrial antenna equipment</w:t>
      </w:r>
    </w:p>
    <w:p w:rsidR="00000000" w:rsidRPr="009B6BA3" w:rsidP="009B6BA3">
      <w:pPr>
        <w:pStyle w:val="ListBullet"/>
      </w:pPr>
      <w:r w:rsidRPr="009B6BA3">
        <w:t>television antenna product knowledge.</w:t>
      </w:r>
    </w:p>
    <w:p w:rsidR="00000000" w:rsidRPr="009B6BA3" w:rsidP="009B6BA3">
      <w:pPr>
        <w:pStyle w:val="AllowPageBreak"/>
      </w:pPr>
    </w:p>
    <w:p w:rsidR="00000000" w:rsidRPr="009B6BA3" w:rsidP="009B6BA3">
      <w:pPr>
        <w:pStyle w:val="Heading1"/>
      </w:pPr>
      <w:bookmarkStart w:id="10" w:name="O_639921"/>
      <w:bookmarkEnd w:id="10"/>
      <w:r w:rsidRPr="009B6BA3">
        <w:t>Evidence Guide</w:t>
      </w:r>
    </w:p>
    <w:p w:rsidR="00000000" w:rsidRPr="009B6BA3" w:rsidP="009B6BA3">
      <w:pPr>
        <w:pStyle w:val="BodyText"/>
      </w:pPr>
      <w:r w:rsidRPr="009B6BA3">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B6BA3" w:rsidP="009B6BA3">
      <w:pPr>
        <w:pStyle w:val="BodyText"/>
      </w:pPr>
    </w:p>
    <w:tbl>
      <w:tblPr>
        <w:tblW w:w="0" w:type="auto"/>
        <w:tblLayout w:type="fixed"/>
        <w:tblCellMar>
          <w:left w:w="62" w:type="dxa"/>
          <w:right w:w="62" w:type="dxa"/>
        </w:tblCellMar>
        <w:tblLook w:val="0000"/>
      </w:tblPr>
      <w:tblGrid>
        <w:gridCol w:w="2520"/>
        <w:gridCol w:w="6225"/>
      </w:tblGrid>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Evidence of the ability to:</w:t>
            </w:r>
          </w:p>
          <w:p w:rsidR="00000000" w:rsidRPr="009B6BA3" w:rsidP="009B6BA3">
            <w:pPr>
              <w:pStyle w:val="BodyText"/>
            </w:pPr>
          </w:p>
          <w:p w:rsidR="00000000" w:rsidRPr="009B6BA3" w:rsidP="009B6BA3">
            <w:pPr>
              <w:pStyle w:val="ListBullet"/>
            </w:pPr>
            <w:r w:rsidRPr="009B6BA3">
              <w:t>assemble, install, align and test a terrestrial antenna according to plans and specifications, and site spec</w:t>
            </w:r>
            <w:r w:rsidRPr="009B6BA3">
              <w:t>ific safety requirements</w:t>
            </w:r>
          </w:p>
          <w:p w:rsidR="00000000" w:rsidP="009B6BA3">
            <w:pPr>
              <w:pStyle w:val="ListBullet"/>
              <w:rPr>
                <w:lang w:val="en-NZ"/>
              </w:rPr>
            </w:pPr>
            <w:r w:rsidRPr="009B6BA3">
              <w:t>conduct performance tests according to manufacturer's specifications and enterprise guidelines.</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Assessment must ensure:</w:t>
            </w:r>
          </w:p>
          <w:p w:rsidR="00000000" w:rsidRPr="009B6BA3" w:rsidP="009B6BA3">
            <w:pPr>
              <w:pStyle w:val="BodyText"/>
            </w:pPr>
          </w:p>
          <w:p w:rsidR="00000000" w:rsidRPr="009B6BA3" w:rsidP="009B6BA3">
            <w:pPr>
              <w:pStyle w:val="ListBullet"/>
            </w:pPr>
            <w:r w:rsidRPr="009B6BA3">
              <w:t>site for antenna installation</w:t>
            </w:r>
          </w:p>
          <w:p w:rsidR="00000000" w:rsidRPr="009B6BA3" w:rsidP="009B6BA3">
            <w:pPr>
              <w:pStyle w:val="ListBullet"/>
            </w:pPr>
            <w:r w:rsidRPr="009B6BA3">
              <w:t>range of antennas and coaxial cables currently used in industry</w:t>
            </w:r>
          </w:p>
          <w:p w:rsidR="00000000" w:rsidP="009B6BA3">
            <w:pPr>
              <w:pStyle w:val="ListBullet"/>
              <w:rPr>
                <w:lang w:val="en-NZ"/>
              </w:rPr>
            </w:pPr>
            <w:r w:rsidRPr="009B6BA3">
              <w:t>range of general and test equipment required for antenna installation and testing.</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 xml:space="preserve">A range of assessment methods should be used to assess practical skills and knowledge. </w:t>
            </w:r>
            <w:r w:rsidRPr="009B6BA3">
              <w:t>The following examples are appropriate for this unit:</w:t>
            </w:r>
          </w:p>
          <w:p w:rsidR="00000000" w:rsidRPr="009B6BA3" w:rsidP="009B6BA3">
            <w:pPr>
              <w:pStyle w:val="BodyText"/>
            </w:pPr>
          </w:p>
          <w:p w:rsidR="00000000" w:rsidRPr="009B6BA3" w:rsidP="009B6BA3">
            <w:pPr>
              <w:pStyle w:val="ListBullet"/>
            </w:pPr>
            <w:r w:rsidRPr="009B6BA3">
              <w:t>direct observation of the candidate installing a directional receiving antenna with a given direction of polarisation</w:t>
            </w:r>
          </w:p>
          <w:p w:rsidR="00000000" w:rsidRPr="009B6BA3" w:rsidP="009B6BA3">
            <w:pPr>
              <w:pStyle w:val="ListBullet"/>
            </w:pPr>
            <w:r w:rsidRPr="009B6BA3">
              <w:t>direct observation of the candidate preparing, securing and connecting a coaxial c</w:t>
            </w:r>
            <w:r w:rsidRPr="009B6BA3">
              <w:t>able to the antenna</w:t>
            </w:r>
          </w:p>
          <w:p w:rsidR="00000000" w:rsidRPr="009B6BA3" w:rsidP="009B6BA3">
            <w:pPr>
              <w:pStyle w:val="ListBullet"/>
            </w:pPr>
            <w:r w:rsidRPr="009B6BA3">
              <w:t>direct observation of appropriate signal performance measurement and adjustment of azimuth alignment</w:t>
            </w:r>
          </w:p>
          <w:p w:rsidR="00000000" w:rsidP="009B6BA3">
            <w:pPr>
              <w:pStyle w:val="ListBullet"/>
              <w:rPr>
                <w:lang w:val="en-NZ"/>
              </w:rPr>
            </w:pPr>
            <w:r w:rsidRPr="009B6BA3">
              <w:t>oral or written questioning to assess required knowledge.</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BodyText"/>
            </w:pPr>
            <w:r w:rsidRPr="009B6BA3">
              <w:t>Holistic assessment with other units rel</w:t>
            </w:r>
            <w:r w:rsidRPr="009B6BA3">
              <w:t>evant to the industry sector, workplace and job role is recommended, for example:</w:t>
            </w:r>
          </w:p>
          <w:p w:rsidR="00000000" w:rsidRPr="009B6BA3" w:rsidP="009B6BA3">
            <w:pPr>
              <w:pStyle w:val="BodyText"/>
            </w:pPr>
          </w:p>
          <w:p w:rsidR="00000000" w:rsidRPr="009B6BA3" w:rsidP="009B6BA3">
            <w:pPr>
              <w:pStyle w:val="ListBullet"/>
            </w:pPr>
            <w:r w:rsidRPr="009B6BA3">
              <w:t>ICTRFN2163B Install a satellite antenna</w:t>
            </w:r>
          </w:p>
          <w:p w:rsidR="00000000" w:rsidRPr="009B6BA3" w:rsidP="009B6BA3">
            <w:pPr>
              <w:pStyle w:val="ListBullet"/>
            </w:pPr>
            <w:r w:rsidRPr="009B6BA3">
              <w:t>ICTDRE3156B Install digital reception equipment.</w:t>
            </w:r>
          </w:p>
          <w:p w:rsidR="00000000" w:rsidRPr="009B6BA3" w:rsidP="009B6BA3">
            <w:pPr>
              <w:pStyle w:val="BodyText"/>
            </w:pPr>
          </w:p>
          <w:p w:rsidR="00000000" w:rsidRPr="009B6BA3" w:rsidP="009B6BA3">
            <w:pPr>
              <w:pStyle w:val="BodyText"/>
            </w:pPr>
            <w:r w:rsidRPr="009B6BA3">
              <w:t>Aboriginal people and other people from a non-English speaking background may have second language issues.</w:t>
            </w:r>
          </w:p>
          <w:p w:rsidR="00000000" w:rsidRPr="009B6BA3" w:rsidP="009B6BA3">
            <w:pPr>
              <w:pStyle w:val="BodyText"/>
            </w:pPr>
          </w:p>
          <w:p w:rsidR="00000000" w:rsidRPr="009B6BA3" w:rsidP="009B6BA3">
            <w:pPr>
              <w:pStyle w:val="BodyText"/>
            </w:pPr>
            <w:r w:rsidRPr="009B6BA3">
              <w:t>Access must be provided to appropriate learning and assessment support when required.</w:t>
            </w:r>
          </w:p>
          <w:p w:rsidR="00000000" w:rsidRPr="009B6BA3" w:rsidP="009B6BA3">
            <w:pPr>
              <w:pStyle w:val="BodyText"/>
            </w:pPr>
          </w:p>
          <w:p w:rsidR="00000000" w:rsidRPr="009B6BA3" w:rsidP="009B6BA3">
            <w:pPr>
              <w:pStyle w:val="BodyText"/>
            </w:pPr>
            <w:r w:rsidRPr="009B6BA3">
              <w:t>Assessment processes and techniques must be culturally approp</w:t>
            </w:r>
            <w:r w:rsidRPr="009B6BA3">
              <w:t>riate, and appropriate to the oral communication skill level, and language and literacy capacity of the candidate and the work being performed.</w:t>
            </w:r>
          </w:p>
          <w:p w:rsidR="00000000" w:rsidRPr="009B6BA3" w:rsidP="009B6BA3">
            <w:pPr>
              <w:pStyle w:val="BodyText"/>
            </w:pPr>
          </w:p>
          <w:p w:rsidR="00000000" w:rsidRPr="009B6BA3" w:rsidP="009B6BA3">
            <w:pPr>
              <w:pStyle w:val="BodyText"/>
            </w:pPr>
            <w:r w:rsidRPr="009B6BA3">
              <w:t>In all cases where practical assessment is used it will be combined with targeted questioning to assess require</w:t>
            </w:r>
            <w:r w:rsidRPr="009B6BA3">
              <w:t>d knowledge. Questioning techniques should not require language, literacy and numeracy skills beyond those required in this unit of competency.</w:t>
            </w:r>
          </w:p>
          <w:p w:rsidR="00000000" w:rsidRPr="009B6BA3" w:rsidP="009B6BA3">
            <w:pPr>
              <w:pStyle w:val="BodyText"/>
            </w:pPr>
          </w:p>
          <w:p w:rsidR="00000000" w:rsidRPr="009B6BA3" w:rsidP="009B6BA3">
            <w:pPr>
              <w:pStyle w:val="BodyText"/>
            </w:pPr>
            <w:r w:rsidRPr="009B6BA3">
              <w:t>Where applicable, physical resources should include equipment modified for people with special needs.</w:t>
            </w:r>
          </w:p>
        </w:tc>
      </w:tr>
    </w:tbl>
    <w:p w:rsidR="00000000" w:rsidRPr="009B6BA3" w:rsidP="009B6BA3">
      <w:pPr>
        <w:pStyle w:val="BodyText"/>
      </w:pPr>
    </w:p>
    <w:p w:rsidR="00000000" w:rsidRPr="009B6BA3" w:rsidP="009B6BA3">
      <w:pPr>
        <w:pStyle w:val="AllowPageBreak"/>
      </w:pPr>
    </w:p>
    <w:p w:rsidR="00000000" w:rsidRPr="009B6BA3" w:rsidP="009B6BA3">
      <w:pPr>
        <w:pStyle w:val="Heading1"/>
      </w:pPr>
      <w:bookmarkStart w:id="11" w:name="O_639922"/>
      <w:bookmarkEnd w:id="11"/>
      <w:r w:rsidRPr="009B6BA3">
        <w:t>Range Statement</w:t>
      </w:r>
    </w:p>
    <w:p w:rsidR="00000000" w:rsidRPr="009B6BA3" w:rsidP="009B6BA3">
      <w:pPr>
        <w:pStyle w:val="BodyText"/>
      </w:pPr>
      <w:r w:rsidRPr="009B6BA3">
        <w:rPr>
          <w:rStyle w:val="Emphasis"/>
        </w:rPr>
        <w:t>The range statement relates to the unit of competency as a whole. It allows for different work environments and situations that may affect performance. Bold italicised wording, if used in the performance criteria, is detaile</w:t>
      </w:r>
      <w:r w:rsidRPr="009B6BA3">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9B6BA3" w:rsidP="009B6BA3">
      <w:pPr>
        <w:pStyle w:val="BodyText"/>
      </w:pPr>
    </w:p>
    <w:tbl>
      <w:tblPr>
        <w:tblW w:w="0" w:type="auto"/>
        <w:tblLayout w:type="fixed"/>
        <w:tblCellMar>
          <w:left w:w="62" w:type="dxa"/>
          <w:right w:w="62" w:type="dxa"/>
        </w:tblCellMar>
        <w:tblLook w:val="0000"/>
      </w:tblPr>
      <w:tblGrid>
        <w:gridCol w:w="2520"/>
        <w:gridCol w:w="6225"/>
      </w:tblGrid>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Relevant legislat</w:t>
            </w:r>
            <w:r w:rsidRPr="009B6BA3">
              <w:rPr>
                <w:rStyle w:val="BoldandItalics"/>
              </w:rPr>
              <w:t xml:space="preserve">ion, codes, regulations and standards </w:t>
            </w:r>
            <w:r w:rsidRPr="009B6BA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Australian Communications Industry Forum (ACIF) standards and codes</w:t>
            </w:r>
          </w:p>
          <w:p w:rsidR="00000000" w:rsidRPr="009B6BA3" w:rsidP="009B6BA3">
            <w:pPr>
              <w:pStyle w:val="ListBullet"/>
            </w:pPr>
            <w:r w:rsidRPr="009B6BA3">
              <w:t>Australian Communications and Media Authority (ACMA) technical standards</w:t>
            </w:r>
          </w:p>
          <w:p w:rsidR="00000000" w:rsidRPr="009B6BA3" w:rsidP="009B6BA3">
            <w:pPr>
              <w:pStyle w:val="ListBullet"/>
            </w:pPr>
            <w:r w:rsidRPr="009B6BA3">
              <w:t>AS Communications Cabling Manual (CCM) Volume 1</w:t>
            </w:r>
          </w:p>
          <w:p w:rsidR="00000000" w:rsidRPr="009B6BA3" w:rsidP="009B6BA3">
            <w:pPr>
              <w:pStyle w:val="ListBullet"/>
            </w:pPr>
            <w:r w:rsidRPr="009B6BA3">
              <w:t>Australian buil</w:t>
            </w:r>
            <w:r w:rsidRPr="009B6BA3">
              <w:t>ding codes and regulations</w:t>
            </w:r>
          </w:p>
          <w:p w:rsidR="00000000" w:rsidRPr="009B6BA3" w:rsidP="009B6BA3">
            <w:pPr>
              <w:pStyle w:val="ListBullet"/>
            </w:pPr>
            <w:r w:rsidRPr="009B6BA3">
              <w:t>AS/NZS 1367:2007</w:t>
            </w:r>
          </w:p>
          <w:p w:rsidR="00000000" w:rsidRPr="009B6BA3" w:rsidP="009B6BA3">
            <w:pPr>
              <w:pStyle w:val="ListBullet"/>
            </w:pPr>
            <w:r w:rsidRPr="009B6BA3">
              <w:t>AS/NZS 1768:2007</w:t>
            </w:r>
          </w:p>
          <w:p w:rsidR="00000000" w:rsidRPr="009B6BA3" w:rsidP="009B6BA3">
            <w:pPr>
              <w:pStyle w:val="ListBullet"/>
            </w:pPr>
            <w:r w:rsidRPr="009B6BA3">
              <w:t>AS 1417.1:1987</w:t>
            </w:r>
          </w:p>
          <w:p w:rsidR="00000000" w:rsidRPr="009B6BA3" w:rsidP="009B6BA3">
            <w:pPr>
              <w:pStyle w:val="ListBullet"/>
            </w:pPr>
            <w:r w:rsidRPr="009B6BA3">
              <w:t>enterprise standards</w:t>
            </w:r>
          </w:p>
          <w:p w:rsidR="00000000" w:rsidRPr="009B6BA3" w:rsidP="009B6BA3">
            <w:pPr>
              <w:pStyle w:val="ListBullet"/>
            </w:pPr>
            <w:r w:rsidRPr="009B6BA3">
              <w:t>environmental protection</w:t>
            </w:r>
          </w:p>
          <w:p w:rsidR="00000000" w:rsidRPr="009B6BA3" w:rsidP="009B6BA3">
            <w:pPr>
              <w:pStyle w:val="ListBullet"/>
            </w:pPr>
            <w:r w:rsidRPr="009B6BA3">
              <w:t>fire regulations</w:t>
            </w:r>
          </w:p>
          <w:p w:rsidR="00000000" w:rsidRPr="009B6BA3" w:rsidP="009B6BA3">
            <w:pPr>
              <w:pStyle w:val="ListBullet"/>
            </w:pPr>
            <w:r w:rsidRPr="009B6BA3">
              <w:t>heritage legislation</w:t>
            </w:r>
          </w:p>
          <w:p w:rsidR="00000000" w:rsidRPr="009B6BA3" w:rsidP="009B6BA3">
            <w:pPr>
              <w:pStyle w:val="ListBullet"/>
            </w:pPr>
            <w:r w:rsidRPr="009B6BA3">
              <w:t>industrial relations agreements including awards and enterprise</w:t>
            </w:r>
          </w:p>
          <w:p w:rsidR="00000000" w:rsidRPr="009B6BA3" w:rsidP="009B6BA3">
            <w:pPr>
              <w:pStyle w:val="ListBullet"/>
            </w:pPr>
            <w:r w:rsidRPr="009B6BA3">
              <w:t>international standards</w:t>
            </w:r>
          </w:p>
          <w:p w:rsidR="00000000" w:rsidRPr="009B6BA3" w:rsidP="009B6BA3">
            <w:pPr>
              <w:pStyle w:val="ListBullet"/>
            </w:pPr>
            <w:r w:rsidRPr="009B6BA3">
              <w:t>local go</w:t>
            </w:r>
            <w:r w:rsidRPr="009B6BA3">
              <w:t>vernment</w:t>
            </w:r>
          </w:p>
          <w:p w:rsidR="00000000" w:rsidRPr="009B6BA3" w:rsidP="009B6BA3">
            <w:pPr>
              <w:pStyle w:val="ListBullet"/>
            </w:pPr>
            <w:r w:rsidRPr="009B6BA3">
              <w:t>manufacturer’s enterprise operating policy and procedures</w:t>
            </w:r>
          </w:p>
          <w:p w:rsidR="00000000" w:rsidRPr="009B6BA3" w:rsidP="009B6BA3">
            <w:pPr>
              <w:pStyle w:val="ListBullet"/>
            </w:pPr>
            <w:r w:rsidRPr="009B6BA3">
              <w:t>national code</w:t>
            </w:r>
          </w:p>
          <w:p w:rsidR="00000000" w:rsidRPr="009B6BA3" w:rsidP="009B6BA3">
            <w:pPr>
              <w:pStyle w:val="ListBullet"/>
            </w:pPr>
            <w:r w:rsidRPr="009B6BA3">
              <w:t>OHS Act</w:t>
            </w:r>
          </w:p>
          <w:p w:rsidR="00000000" w:rsidRPr="009B6BA3" w:rsidP="009B6BA3">
            <w:pPr>
              <w:pStyle w:val="ListBullet"/>
            </w:pPr>
            <w:r w:rsidRPr="009B6BA3">
              <w:t>other services and utilities codes of practice and standards:</w:t>
            </w:r>
          </w:p>
          <w:p w:rsidR="00000000" w:rsidRPr="009B6BA3" w:rsidP="009B6BA3">
            <w:pPr>
              <w:pStyle w:val="ListBullet2"/>
            </w:pPr>
            <w:r w:rsidRPr="009B6BA3">
              <w:t>electricity</w:t>
            </w:r>
          </w:p>
          <w:p w:rsidR="00000000" w:rsidRPr="009B6BA3" w:rsidP="009B6BA3">
            <w:pPr>
              <w:pStyle w:val="ListBullet2"/>
            </w:pPr>
            <w:r w:rsidRPr="009B6BA3">
              <w:t>gas</w:t>
            </w:r>
          </w:p>
          <w:p w:rsidR="00000000" w:rsidRPr="009B6BA3" w:rsidP="009B6BA3">
            <w:pPr>
              <w:pStyle w:val="ListBullet2"/>
            </w:pPr>
            <w:r w:rsidRPr="009B6BA3">
              <w:t>water</w:t>
            </w:r>
          </w:p>
          <w:p w:rsidR="00000000" w:rsidRPr="009B6BA3" w:rsidP="009B6BA3">
            <w:pPr>
              <w:pStyle w:val="ListBullet"/>
            </w:pPr>
            <w:r w:rsidRPr="009B6BA3">
              <w:t>power company requirements</w:t>
            </w:r>
          </w:p>
          <w:p w:rsidR="00000000" w:rsidRPr="009B6BA3" w:rsidP="009B6BA3">
            <w:pPr>
              <w:pStyle w:val="ListBullet"/>
            </w:pPr>
            <w:r w:rsidRPr="009B6BA3">
              <w:t>Privacy Act</w:t>
            </w:r>
          </w:p>
          <w:p w:rsidR="00000000" w:rsidRPr="009B6BA3" w:rsidP="009B6BA3">
            <w:pPr>
              <w:pStyle w:val="ListBullet"/>
            </w:pPr>
            <w:r w:rsidRPr="009B6BA3">
              <w:t>spectrum management authority</w:t>
            </w:r>
          </w:p>
          <w:p w:rsidR="00000000" w:rsidRPr="009B6BA3" w:rsidP="009B6BA3">
            <w:pPr>
              <w:pStyle w:val="ListBullet"/>
            </w:pPr>
            <w:r w:rsidRPr="009B6BA3">
              <w:t>statutory requirements</w:t>
            </w:r>
          </w:p>
          <w:p w:rsidR="00000000" w:rsidRPr="009B6BA3" w:rsidP="009B6BA3">
            <w:pPr>
              <w:pStyle w:val="ListBullet"/>
            </w:pPr>
            <w:r w:rsidRPr="009B6BA3">
              <w:t>Trade Practices Act</w:t>
            </w:r>
          </w:p>
          <w:p w:rsidR="00000000" w:rsidP="009B6BA3">
            <w:pPr>
              <w:pStyle w:val="ListBullet"/>
              <w:rPr>
                <w:lang w:val="en-NZ"/>
              </w:rPr>
            </w:pPr>
            <w:r w:rsidRPr="009B6BA3">
              <w:t>traditional land owners.</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Safety issues </w:t>
            </w:r>
            <w:r w:rsidRPr="009B6BA3">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devices to support construction personnel at heights:</w:t>
            </w:r>
          </w:p>
          <w:p w:rsidR="00000000" w:rsidRPr="009B6BA3" w:rsidP="009B6BA3">
            <w:pPr>
              <w:pStyle w:val="ListBullet2"/>
            </w:pPr>
            <w:r w:rsidRPr="009B6BA3">
              <w:t>elevated personnel vehicles</w:t>
            </w:r>
          </w:p>
          <w:p w:rsidR="00000000" w:rsidRPr="009B6BA3" w:rsidP="009B6BA3">
            <w:pPr>
              <w:pStyle w:val="ListBullet2"/>
            </w:pPr>
            <w:r w:rsidRPr="009B6BA3">
              <w:t>non-metallic ladders</w:t>
            </w:r>
          </w:p>
          <w:p w:rsidR="00000000" w:rsidRPr="009B6BA3" w:rsidP="009B6BA3">
            <w:pPr>
              <w:pStyle w:val="ListBullet2"/>
            </w:pPr>
            <w:r w:rsidRPr="009B6BA3">
              <w:t>platforms</w:t>
            </w:r>
          </w:p>
          <w:p w:rsidR="00000000" w:rsidRPr="009B6BA3" w:rsidP="009B6BA3">
            <w:pPr>
              <w:pStyle w:val="ListBullet"/>
            </w:pPr>
            <w:r w:rsidRPr="009B6BA3">
              <w:t>external factors affecting works:</w:t>
            </w:r>
          </w:p>
          <w:p w:rsidR="00000000" w:rsidRPr="009B6BA3" w:rsidP="009B6BA3">
            <w:pPr>
              <w:pStyle w:val="ListBullet2"/>
            </w:pPr>
            <w:r w:rsidRPr="009B6BA3">
              <w:t>concentration of other services</w:t>
            </w:r>
          </w:p>
          <w:p w:rsidR="00000000" w:rsidRPr="009B6BA3" w:rsidP="009B6BA3">
            <w:pPr>
              <w:pStyle w:val="ListBullet2"/>
            </w:pPr>
            <w:r w:rsidRPr="009B6BA3">
              <w:t>terrain</w:t>
            </w:r>
          </w:p>
          <w:p w:rsidR="00000000" w:rsidRPr="009B6BA3" w:rsidP="009B6BA3">
            <w:pPr>
              <w:pStyle w:val="ListBullet2"/>
            </w:pPr>
            <w:r w:rsidRPr="009B6BA3">
              <w:t>weather conditions</w:t>
            </w:r>
          </w:p>
          <w:p w:rsidR="00000000" w:rsidRPr="009B6BA3" w:rsidP="009B6BA3">
            <w:pPr>
              <w:pStyle w:val="ListBullet"/>
            </w:pPr>
            <w:r w:rsidRPr="009B6BA3">
              <w:t>precautions for unsafe weather conditions to undertake works:</w:t>
            </w:r>
          </w:p>
          <w:p w:rsidR="00000000" w:rsidRPr="009B6BA3" w:rsidP="009B6BA3">
            <w:pPr>
              <w:pStyle w:val="ListBullet2"/>
            </w:pPr>
            <w:r w:rsidRPr="009B6BA3">
              <w:t>heavy rains</w:t>
            </w:r>
          </w:p>
          <w:p w:rsidR="00000000" w:rsidRPr="009B6BA3" w:rsidP="009B6BA3">
            <w:pPr>
              <w:pStyle w:val="ListBullet2"/>
            </w:pPr>
            <w:r w:rsidRPr="009B6BA3">
              <w:t>high winds</w:t>
            </w:r>
          </w:p>
          <w:p w:rsidR="00000000" w:rsidRPr="009B6BA3" w:rsidP="009B6BA3">
            <w:pPr>
              <w:pStyle w:val="ListBullet2"/>
            </w:pPr>
            <w:r w:rsidRPr="009B6BA3">
              <w:t>severe cold</w:t>
            </w:r>
          </w:p>
          <w:p w:rsidR="00000000" w:rsidRPr="009B6BA3" w:rsidP="009B6BA3">
            <w:pPr>
              <w:pStyle w:val="ListBullet2"/>
            </w:pPr>
            <w:r w:rsidRPr="009B6BA3">
              <w:t>severe heat</w:t>
            </w:r>
          </w:p>
          <w:p w:rsidR="00000000" w:rsidRPr="009B6BA3" w:rsidP="009B6BA3">
            <w:pPr>
              <w:pStyle w:val="ListBullet2"/>
            </w:pPr>
            <w:r w:rsidRPr="009B6BA3">
              <w:t>thunderstorms</w:t>
            </w:r>
          </w:p>
          <w:p w:rsidR="00000000" w:rsidRPr="009B6BA3" w:rsidP="009B6BA3">
            <w:pPr>
              <w:pStyle w:val="ListBullet"/>
            </w:pPr>
            <w:r w:rsidRPr="009B6BA3">
              <w:t>preparing for work at a telecommunications site with potential EMR haza</w:t>
            </w:r>
            <w:r w:rsidRPr="009B6BA3">
              <w:t>rds</w:t>
            </w:r>
          </w:p>
          <w:p w:rsidR="00000000" w:rsidRPr="009B6BA3" w:rsidP="009B6BA3">
            <w:pPr>
              <w:pStyle w:val="ListBullet"/>
            </w:pPr>
            <w:r w:rsidRPr="009B6BA3">
              <w:t>safety issues in:</w:t>
            </w:r>
          </w:p>
          <w:p w:rsidR="00000000" w:rsidRPr="009B6BA3" w:rsidP="009B6BA3">
            <w:pPr>
              <w:pStyle w:val="ListBullet2"/>
            </w:pPr>
            <w:r w:rsidRPr="009B6BA3">
              <w:t>fall arrest</w:t>
            </w:r>
          </w:p>
          <w:p w:rsidR="00000000" w:rsidRPr="009B6BA3" w:rsidP="009B6BA3">
            <w:pPr>
              <w:pStyle w:val="ListBullet2"/>
            </w:pPr>
            <w:r w:rsidRPr="009B6BA3">
              <w:t>fall guarding</w:t>
            </w:r>
          </w:p>
          <w:p w:rsidR="00000000" w:rsidRPr="009B6BA3" w:rsidP="009B6BA3">
            <w:pPr>
              <w:pStyle w:val="ListBullet2"/>
            </w:pPr>
            <w:r w:rsidRPr="009B6BA3">
              <w:t>roof work</w:t>
            </w:r>
          </w:p>
          <w:p w:rsidR="00000000" w:rsidP="009B6BA3">
            <w:pPr>
              <w:pStyle w:val="ListBullet"/>
              <w:rPr>
                <w:lang w:val="en-NZ"/>
              </w:rPr>
            </w:pPr>
            <w:r w:rsidRPr="009B6BA3">
              <w:t>working safely on telecommunications radio structures.</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Tools and equipment </w:t>
            </w:r>
            <w:r w:rsidRPr="009B6BA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fall arrest systems required on structure where no ladder cages installed</w:t>
            </w:r>
          </w:p>
          <w:p w:rsidR="00000000" w:rsidRPr="009B6BA3" w:rsidP="009B6BA3">
            <w:pPr>
              <w:pStyle w:val="ListBullet"/>
            </w:pPr>
            <w:r w:rsidRPr="009B6BA3">
              <w:t>general equipment:</w:t>
            </w:r>
          </w:p>
          <w:p w:rsidR="00000000" w:rsidRPr="009B6BA3" w:rsidP="009B6BA3">
            <w:pPr>
              <w:pStyle w:val="ListBullet2"/>
            </w:pPr>
            <w:r w:rsidRPr="009B6BA3">
              <w:t>elevated platform</w:t>
            </w:r>
          </w:p>
          <w:p w:rsidR="00000000" w:rsidRPr="009B6BA3" w:rsidP="009B6BA3">
            <w:pPr>
              <w:pStyle w:val="ListBullet2"/>
            </w:pPr>
            <w:r w:rsidRPr="009B6BA3">
              <w:t>hand and power tools</w:t>
            </w:r>
          </w:p>
          <w:p w:rsidR="00000000" w:rsidRPr="009B6BA3" w:rsidP="009B6BA3">
            <w:pPr>
              <w:pStyle w:val="ListBullet2"/>
            </w:pPr>
            <w:r w:rsidRPr="009B6BA3">
              <w:t>ladder</w:t>
            </w:r>
          </w:p>
          <w:p w:rsidR="00000000" w:rsidRPr="009B6BA3" w:rsidP="009B6BA3">
            <w:pPr>
              <w:pStyle w:val="ListBullet2"/>
            </w:pPr>
            <w:r w:rsidRPr="009B6BA3">
              <w:t>winch</w:t>
            </w:r>
          </w:p>
          <w:p w:rsidR="00000000" w:rsidRPr="009B6BA3" w:rsidP="009B6BA3">
            <w:pPr>
              <w:pStyle w:val="ListBullet"/>
            </w:pPr>
            <w:r w:rsidRPr="009B6BA3">
              <w:t>magnetic compass</w:t>
            </w:r>
          </w:p>
          <w:p w:rsidR="00000000" w:rsidRPr="009B6BA3" w:rsidP="009B6BA3">
            <w:pPr>
              <w:pStyle w:val="ListBullet"/>
            </w:pPr>
            <w:r w:rsidRPr="009B6BA3">
              <w:t>personal protective equipment:</w:t>
            </w:r>
          </w:p>
          <w:p w:rsidR="00000000" w:rsidRPr="009B6BA3" w:rsidP="009B6BA3">
            <w:pPr>
              <w:pStyle w:val="ListBullet2"/>
            </w:pPr>
            <w:r w:rsidRPr="009B6BA3">
              <w:t>earmuffs</w:t>
            </w:r>
          </w:p>
          <w:p w:rsidR="00000000" w:rsidRPr="009B6BA3" w:rsidP="009B6BA3">
            <w:pPr>
              <w:pStyle w:val="ListBullet2"/>
            </w:pPr>
            <w:r w:rsidRPr="009B6BA3">
              <w:t>eye protection</w:t>
            </w:r>
          </w:p>
          <w:p w:rsidR="00000000" w:rsidRPr="009B6BA3" w:rsidP="009B6BA3">
            <w:pPr>
              <w:pStyle w:val="ListBullet2"/>
            </w:pPr>
            <w:r w:rsidRPr="009B6BA3">
              <w:t>dust protection</w:t>
            </w:r>
          </w:p>
          <w:p w:rsidR="00000000" w:rsidRPr="009B6BA3" w:rsidP="009B6BA3">
            <w:pPr>
              <w:pStyle w:val="ListBullet2"/>
            </w:pPr>
            <w:r w:rsidRPr="009B6BA3">
              <w:t>gloves</w:t>
            </w:r>
          </w:p>
          <w:p w:rsidR="00000000" w:rsidRPr="009B6BA3" w:rsidP="009B6BA3">
            <w:pPr>
              <w:pStyle w:val="ListBullet2"/>
            </w:pPr>
            <w:r w:rsidRPr="009B6BA3">
              <w:t>hard hats</w:t>
            </w:r>
          </w:p>
          <w:p w:rsidR="00000000" w:rsidRPr="009B6BA3" w:rsidP="009B6BA3">
            <w:pPr>
              <w:pStyle w:val="ListBullet2"/>
            </w:pPr>
            <w:r w:rsidRPr="009B6BA3">
              <w:t>personal reflecting jackets</w:t>
            </w:r>
          </w:p>
          <w:p w:rsidR="00000000" w:rsidRPr="009B6BA3" w:rsidP="009B6BA3">
            <w:pPr>
              <w:pStyle w:val="ListBullet2"/>
            </w:pPr>
            <w:r w:rsidRPr="009B6BA3">
              <w:t xml:space="preserve">safety boots </w:t>
            </w:r>
          </w:p>
          <w:p w:rsidR="00000000" w:rsidRPr="009B6BA3" w:rsidP="009B6BA3">
            <w:pPr>
              <w:pStyle w:val="ListBullet"/>
            </w:pPr>
            <w:r w:rsidRPr="009B6BA3">
              <w:t>safety equipment:</w:t>
            </w:r>
          </w:p>
          <w:p w:rsidR="00000000" w:rsidRPr="009B6BA3" w:rsidP="009B6BA3">
            <w:pPr>
              <w:pStyle w:val="ListBullet2"/>
            </w:pPr>
            <w:r w:rsidRPr="009B6BA3">
              <w:t>aerial safety belts and lines</w:t>
            </w:r>
          </w:p>
          <w:p w:rsidR="00000000" w:rsidRPr="009B6BA3" w:rsidP="009B6BA3">
            <w:pPr>
              <w:pStyle w:val="ListBullet2"/>
            </w:pPr>
            <w:r w:rsidRPr="009B6BA3">
              <w:t>helmets</w:t>
            </w:r>
          </w:p>
          <w:p w:rsidR="00000000" w:rsidRPr="009B6BA3" w:rsidP="009B6BA3">
            <w:pPr>
              <w:pStyle w:val="ListBullet2"/>
            </w:pPr>
            <w:r w:rsidRPr="009B6BA3">
              <w:t>safety cages</w:t>
            </w:r>
          </w:p>
          <w:p w:rsidR="00000000" w:rsidRPr="009B6BA3" w:rsidP="009B6BA3">
            <w:pPr>
              <w:pStyle w:val="ListBullet2"/>
            </w:pPr>
            <w:r w:rsidRPr="009B6BA3">
              <w:t>traffic signs</w:t>
            </w:r>
          </w:p>
          <w:p w:rsidR="00000000" w:rsidRPr="009B6BA3" w:rsidP="009B6BA3">
            <w:pPr>
              <w:pStyle w:val="ListBullet2"/>
            </w:pPr>
            <w:r w:rsidRPr="009B6BA3">
              <w:t>warning signs and tapes</w:t>
            </w:r>
          </w:p>
          <w:p w:rsidR="00000000" w:rsidP="009B6BA3">
            <w:pPr>
              <w:pStyle w:val="ListBullet2"/>
              <w:rPr>
                <w:lang w:val="en-NZ"/>
              </w:rPr>
            </w:pPr>
            <w:r w:rsidRPr="009B6BA3">
              <w:t>witches hats.</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Coaxial cable </w:t>
            </w:r>
            <w:r w:rsidRPr="009B6BA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coaxial cable with flooded polyethylene (PE) jacket for underground applications</w:t>
            </w:r>
          </w:p>
          <w:p w:rsidR="00000000" w:rsidRPr="009B6BA3" w:rsidP="009B6BA3">
            <w:pPr>
              <w:pStyle w:val="ListBullet"/>
            </w:pPr>
            <w:r w:rsidRPr="009B6BA3">
              <w:t>RG11 quad shielded coaxial cable</w:t>
            </w:r>
          </w:p>
          <w:p w:rsidR="00000000" w:rsidP="009B6BA3">
            <w:pPr>
              <w:pStyle w:val="ListBullet"/>
              <w:rPr>
                <w:lang w:val="en-NZ"/>
              </w:rPr>
            </w:pPr>
            <w:r w:rsidRPr="009B6BA3">
              <w:t>RG6 quad shielded coaxial cable.</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Polarisation </w:t>
            </w:r>
            <w:r w:rsidRPr="009B6BA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circular</w:t>
            </w:r>
          </w:p>
          <w:p w:rsidR="00000000" w:rsidRPr="009B6BA3" w:rsidP="009B6BA3">
            <w:pPr>
              <w:pStyle w:val="ListBullet"/>
            </w:pPr>
            <w:r w:rsidRPr="009B6BA3">
              <w:t>horizontal</w:t>
            </w:r>
          </w:p>
          <w:p w:rsidR="00000000" w:rsidP="009B6BA3">
            <w:pPr>
              <w:pStyle w:val="ListBullet"/>
              <w:rPr>
                <w:lang w:val="en-NZ"/>
              </w:rPr>
            </w:pPr>
            <w:r w:rsidRPr="009B6BA3">
              <w:t>vertical.</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Initial antenna azimuth and elevation </w:t>
            </w:r>
            <w:r w:rsidRPr="009B6BA3">
              <w:t>may be set according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best estimate of transmitter direction</w:t>
            </w:r>
          </w:p>
          <w:p w:rsidR="00000000" w:rsidRPr="009B6BA3" w:rsidP="009B6BA3">
            <w:pPr>
              <w:pStyle w:val="ListBullet"/>
            </w:pPr>
            <w:r w:rsidRPr="009B6BA3">
              <w:t>compass bearing provided by plans</w:t>
            </w:r>
          </w:p>
          <w:p w:rsidR="00000000" w:rsidP="009B6BA3">
            <w:pPr>
              <w:pStyle w:val="ListBullet"/>
              <w:rPr>
                <w:lang w:val="en-NZ"/>
              </w:rPr>
            </w:pPr>
            <w:r w:rsidRPr="009B6BA3">
              <w:t>portable measuring instrument.</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Test equipment </w:t>
            </w:r>
            <w:r w:rsidRPr="009B6BA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antenna analyser</w:t>
            </w:r>
          </w:p>
          <w:p w:rsidR="00000000" w:rsidRPr="009B6BA3" w:rsidP="009B6BA3">
            <w:pPr>
              <w:pStyle w:val="ListBullet"/>
            </w:pPr>
            <w:r w:rsidRPr="009B6BA3">
              <w:t>digital video broadcasting – Terrestrial (DVB-T) digital terrestrial meter</w:t>
            </w:r>
          </w:p>
          <w:p w:rsidR="00000000" w:rsidRPr="009B6BA3" w:rsidP="009B6BA3">
            <w:pPr>
              <w:pStyle w:val="ListBullet"/>
            </w:pPr>
            <w:r w:rsidRPr="009B6BA3">
              <w:t>field strength meter</w:t>
            </w:r>
          </w:p>
          <w:p w:rsidR="00000000" w:rsidRPr="009B6BA3" w:rsidP="009B6BA3">
            <w:pPr>
              <w:pStyle w:val="ListBullet"/>
            </w:pPr>
            <w:r w:rsidRPr="009B6BA3">
              <w:t>multimeter</w:t>
            </w:r>
          </w:p>
          <w:p w:rsidR="00000000" w:rsidRPr="009B6BA3" w:rsidP="009B6BA3">
            <w:pPr>
              <w:pStyle w:val="ListBullet"/>
            </w:pPr>
            <w:r w:rsidRPr="009B6BA3">
              <w:t>signal level meter</w:t>
            </w:r>
          </w:p>
          <w:p w:rsidR="00000000" w:rsidP="009B6BA3">
            <w:pPr>
              <w:pStyle w:val="ListBullet"/>
              <w:rPr>
                <w:lang w:val="en-NZ"/>
              </w:rPr>
            </w:pPr>
            <w:r w:rsidRPr="009B6BA3">
              <w:t>spectrum analyser.</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Optimise the signal </w:t>
            </w:r>
            <w:r w:rsidRPr="009B6BA3">
              <w:t>may refer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achieving uniform performance across multiple channels</w:t>
            </w:r>
          </w:p>
          <w:p w:rsidR="00000000" w:rsidRPr="009B6BA3" w:rsidP="009B6BA3">
            <w:pPr>
              <w:pStyle w:val="ListBullet"/>
            </w:pPr>
            <w:r w:rsidRPr="009B6BA3">
              <w:t>carrier to noise ratio (C/N)</w:t>
            </w:r>
          </w:p>
          <w:p w:rsidR="00000000" w:rsidRPr="009B6BA3" w:rsidP="009B6BA3">
            <w:pPr>
              <w:pStyle w:val="ListBullet"/>
            </w:pPr>
            <w:r w:rsidRPr="009B6BA3">
              <w:t>BER pre forward error correction (FEC)</w:t>
            </w:r>
          </w:p>
          <w:p w:rsidR="00000000" w:rsidRPr="009B6BA3" w:rsidP="009B6BA3">
            <w:pPr>
              <w:pStyle w:val="ListBullet"/>
            </w:pPr>
            <w:r w:rsidRPr="009B6BA3">
              <w:t>MER</w:t>
            </w:r>
          </w:p>
          <w:p w:rsidR="00000000" w:rsidP="009B6BA3">
            <w:pPr>
              <w:pStyle w:val="ListBullet"/>
              <w:rPr>
                <w:lang w:val="en-NZ"/>
              </w:rPr>
            </w:pPr>
            <w:r w:rsidRPr="009B6BA3">
              <w:t>signal strength in dBuV.</w:t>
            </w:r>
          </w:p>
        </w:tc>
      </w:tr>
      <w:tr w:rsidTr="009B6BA3">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6BA3">
            <w:pPr>
              <w:pStyle w:val="BodyText"/>
              <w:rPr>
                <w:lang w:val="en-NZ"/>
              </w:rPr>
            </w:pPr>
            <w:r w:rsidRPr="009B6BA3">
              <w:rPr>
                <w:rStyle w:val="BoldandItalics"/>
              </w:rPr>
              <w:t xml:space="preserve">Performance tests </w:t>
            </w:r>
            <w:r w:rsidRPr="009B6BA3">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6BA3" w:rsidP="009B6BA3">
            <w:pPr>
              <w:pStyle w:val="ListBullet"/>
            </w:pPr>
            <w:r w:rsidRPr="009B6BA3">
              <w:t>signal quality across all terrestrial digital channels</w:t>
            </w:r>
          </w:p>
          <w:p w:rsidR="00000000" w:rsidRPr="009B6BA3" w:rsidP="009B6BA3">
            <w:pPr>
              <w:pStyle w:val="ListBullet"/>
            </w:pPr>
            <w:r w:rsidRPr="009B6BA3">
              <w:t>signal strength of analog television channels</w:t>
            </w:r>
          </w:p>
          <w:p w:rsidR="00000000" w:rsidRPr="009B6BA3" w:rsidP="009B6BA3">
            <w:pPr>
              <w:pStyle w:val="ListBullet"/>
            </w:pPr>
            <w:r w:rsidRPr="009B6BA3">
              <w:t>signal strength of digital television channels.</w:t>
            </w:r>
          </w:p>
        </w:tc>
      </w:tr>
    </w:tbl>
    <w:p w:rsidR="00000000" w:rsidRPr="009B6BA3" w:rsidP="009B6BA3">
      <w:pPr>
        <w:pStyle w:val="BodyText"/>
      </w:pPr>
    </w:p>
    <w:p w:rsidR="00000000" w:rsidRPr="009B6BA3" w:rsidP="009B6BA3">
      <w:pPr>
        <w:pStyle w:val="AllowPageBreak"/>
      </w:pPr>
    </w:p>
    <w:p w:rsidR="00000000" w:rsidRPr="009B6BA3" w:rsidP="009B6BA3">
      <w:pPr>
        <w:pStyle w:val="Heading1"/>
      </w:pPr>
      <w:bookmarkStart w:id="12" w:name="O_639923"/>
      <w:bookmarkEnd w:id="12"/>
      <w:r w:rsidRPr="009B6BA3">
        <w:t>Unit Sector(s)</w:t>
      </w:r>
    </w:p>
    <w:p w:rsidR="00000000" w:rsidRPr="009B6BA3" w:rsidP="009B6BA3">
      <w:pPr>
        <w:pStyle w:val="BodyText"/>
      </w:pPr>
      <w:r w:rsidRPr="009B6BA3">
        <w:t>Telecommunications - Radio frequency networks</w:t>
      </w:r>
    </w:p>
    <w:p w:rsidR="00000000" w:rsidRPr="009B6BA3" w:rsidP="009B6BA3"/>
    <w:sectPr w:rsidSect="009B6B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A3" w:rsidRPr="00CD1C88" w:rsidP="00CD1C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88" w:rsidP="009B6B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D1C88" w:rsidP="009B6BA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1C88" w:rsidP="009B6B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A3" w:rsidRPr="00CD1C88" w:rsidP="00CD1C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B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C88" w:rsidRPr="002D2AF8" w:rsidP="009B6BA3">
    <w:pPr>
      <w:pStyle w:val="Header"/>
      <w:framePr w:wrap="around"/>
    </w:pPr>
    <w:r>
      <w:fldChar w:fldCharType="begin"/>
    </w:r>
    <w:r>
      <w:instrText xml:space="preserve"> TITLE   \* MERGEFORMAT </w:instrText>
    </w:r>
    <w:r>
      <w:fldChar w:fldCharType="separate"/>
    </w:r>
    <w:r>
      <w:t>ICTRFN2164B Install a terrestrial antenna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CD1C88" w:rsidP="009B6B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AE84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D61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D25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B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BA3"/>
    <w:pPr>
      <w:spacing w:before="360" w:after="60"/>
      <w:outlineLvl w:val="0"/>
    </w:pPr>
    <w:rPr>
      <w:sz w:val="32"/>
    </w:rPr>
  </w:style>
  <w:style w:type="paragraph" w:styleId="Heading2">
    <w:name w:val="heading 2"/>
    <w:basedOn w:val="HeadingBase"/>
    <w:next w:val="BodyText"/>
    <w:link w:val="Heading2Char"/>
    <w:qFormat/>
    <w:rsid w:val="009B6BA3"/>
    <w:pPr>
      <w:keepLines/>
      <w:spacing w:before="240" w:after="120"/>
      <w:outlineLvl w:val="1"/>
    </w:pPr>
    <w:rPr>
      <w:sz w:val="28"/>
      <w:szCs w:val="40"/>
    </w:rPr>
  </w:style>
  <w:style w:type="paragraph" w:styleId="Heading3">
    <w:name w:val="heading 3"/>
    <w:basedOn w:val="HeadingBase"/>
    <w:next w:val="BodyText"/>
    <w:link w:val="Heading3Char"/>
    <w:qFormat/>
    <w:rsid w:val="009B6BA3"/>
    <w:pPr>
      <w:spacing w:before="180" w:after="120"/>
      <w:outlineLvl w:val="2"/>
    </w:pPr>
    <w:rPr>
      <w:spacing w:val="-10"/>
      <w:kern w:val="32"/>
    </w:rPr>
  </w:style>
  <w:style w:type="paragraph" w:styleId="Heading4">
    <w:name w:val="heading 4"/>
    <w:basedOn w:val="HeadingBase"/>
    <w:next w:val="BodyText"/>
    <w:link w:val="Heading4Char"/>
    <w:qFormat/>
    <w:rsid w:val="009B6BA3"/>
    <w:pPr>
      <w:spacing w:before="160" w:after="120"/>
      <w:outlineLvl w:val="3"/>
    </w:pPr>
    <w:rPr>
      <w:sz w:val="22"/>
    </w:rPr>
  </w:style>
  <w:style w:type="paragraph" w:styleId="Heading5">
    <w:name w:val="heading 5"/>
    <w:basedOn w:val="HeadingBase"/>
    <w:next w:val="Normal"/>
    <w:link w:val="Heading5Char"/>
    <w:qFormat/>
    <w:rsid w:val="009B6BA3"/>
    <w:pPr>
      <w:spacing w:before="80"/>
      <w:outlineLvl w:val="4"/>
    </w:pPr>
    <w:rPr>
      <w:color w:val="918585"/>
      <w:sz w:val="20"/>
    </w:rPr>
  </w:style>
  <w:style w:type="paragraph" w:styleId="Heading6">
    <w:name w:val="heading 6"/>
    <w:basedOn w:val="HeadingBase"/>
    <w:next w:val="Normal"/>
    <w:link w:val="Heading6Char"/>
    <w:qFormat/>
    <w:rsid w:val="009B6BA3"/>
    <w:pPr>
      <w:spacing w:before="60"/>
      <w:outlineLvl w:val="5"/>
    </w:pPr>
    <w:rPr>
      <w:color w:val="918585"/>
      <w:sz w:val="20"/>
    </w:rPr>
  </w:style>
  <w:style w:type="paragraph" w:styleId="Heading7">
    <w:name w:val="heading 7"/>
    <w:basedOn w:val="Normal"/>
    <w:next w:val="Normal"/>
    <w:link w:val="Heading7Char"/>
    <w:qFormat/>
    <w:rsid w:val="009B6BA3"/>
    <w:pPr>
      <w:ind w:left="720"/>
      <w:outlineLvl w:val="6"/>
    </w:pPr>
    <w:rPr>
      <w:i/>
    </w:rPr>
  </w:style>
  <w:style w:type="paragraph" w:styleId="Heading8">
    <w:name w:val="heading 8"/>
    <w:basedOn w:val="Normal"/>
    <w:next w:val="Normal"/>
    <w:link w:val="Heading8Char"/>
    <w:qFormat/>
    <w:rsid w:val="009B6BA3"/>
    <w:pPr>
      <w:ind w:left="720"/>
      <w:outlineLvl w:val="7"/>
    </w:pPr>
    <w:rPr>
      <w:i/>
    </w:rPr>
  </w:style>
  <w:style w:type="paragraph" w:styleId="Heading9">
    <w:name w:val="heading 9"/>
    <w:basedOn w:val="Normal"/>
    <w:next w:val="Normal"/>
    <w:link w:val="Heading9Char"/>
    <w:qFormat/>
    <w:rsid w:val="009B6BA3"/>
    <w:pPr>
      <w:ind w:left="720"/>
      <w:outlineLvl w:val="8"/>
    </w:pPr>
    <w:rPr>
      <w:i/>
    </w:rPr>
  </w:style>
  <w:style w:type="character" w:default="1" w:styleId="DefaultParagraphFont">
    <w:name w:val="Default Paragraph Font"/>
    <w:uiPriority w:val="1"/>
    <w:unhideWhenUsed/>
    <w:rsid w:val="009B6B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BA3"/>
  </w:style>
  <w:style w:type="character" w:customStyle="1" w:styleId="Heading1Char">
    <w:name w:val="Heading 1 Char"/>
    <w:basedOn w:val="DefaultParagraphFont"/>
    <w:link w:val="Heading1"/>
    <w:rsid w:val="009B6BA3"/>
    <w:rPr>
      <w:rFonts w:ascii="Times New Roman" w:eastAsia="Times New Roman" w:hAnsi="Times New Roman" w:cs="Times New Roman"/>
      <w:b/>
      <w:sz w:val="32"/>
      <w:szCs w:val="20"/>
      <w:lang w:eastAsia="en-US"/>
    </w:rPr>
  </w:style>
  <w:style w:type="paragraph" w:styleId="BodyText">
    <w:name w:val="Body Text"/>
    <w:basedOn w:val="Normal"/>
    <w:link w:val="BodyTextChar"/>
    <w:rsid w:val="009B6B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BA3"/>
    <w:rPr>
      <w:rFonts w:ascii="Times New Roman" w:eastAsia="Times New Roman" w:hAnsi="Times New Roman" w:cs="Times New Roman"/>
      <w:sz w:val="24"/>
      <w:lang w:eastAsia="en-US"/>
    </w:rPr>
  </w:style>
  <w:style w:type="paragraph" w:styleId="ListBullet">
    <w:name w:val="List Bullet"/>
    <w:basedOn w:val="List"/>
    <w:rsid w:val="009B6BA3"/>
    <w:pPr>
      <w:numPr>
        <w:numId w:val="13"/>
      </w:numPr>
      <w:tabs>
        <w:tab w:val="clear" w:pos="340"/>
      </w:tabs>
      <w:spacing w:before="40" w:after="40"/>
    </w:pPr>
  </w:style>
  <w:style w:type="character" w:customStyle="1" w:styleId="SpecialBold">
    <w:name w:val="Special Bold"/>
    <w:basedOn w:val="DefaultParagraphFont"/>
    <w:rsid w:val="009B6BA3"/>
    <w:rPr>
      <w:b/>
      <w:spacing w:val="0"/>
    </w:rPr>
  </w:style>
  <w:style w:type="paragraph" w:styleId="ListBullet2">
    <w:name w:val="List Bullet 2"/>
    <w:basedOn w:val="List2"/>
    <w:rsid w:val="009B6BA3"/>
    <w:pPr>
      <w:numPr>
        <w:numId w:val="14"/>
      </w:numPr>
      <w:tabs>
        <w:tab w:val="clear" w:pos="680"/>
      </w:tabs>
    </w:pPr>
  </w:style>
  <w:style w:type="character" w:styleId="Emphasis">
    <w:name w:val="Emphasis"/>
    <w:basedOn w:val="DefaultParagraphFont"/>
    <w:qFormat/>
    <w:rsid w:val="009B6BA3"/>
    <w:rPr>
      <w:i/>
    </w:rPr>
  </w:style>
  <w:style w:type="paragraph" w:customStyle="1" w:styleId="SuperHeading">
    <w:name w:val="SuperHeading"/>
    <w:basedOn w:val="Normal"/>
    <w:rsid w:val="009B6BA3"/>
    <w:pPr>
      <w:spacing w:before="240" w:after="120"/>
      <w:outlineLvl w:val="0"/>
    </w:pPr>
    <w:rPr>
      <w:rFonts w:ascii="Times New Roman" w:hAnsi="Times New Roman"/>
      <w:b/>
      <w:sz w:val="32"/>
    </w:rPr>
  </w:style>
  <w:style w:type="paragraph" w:customStyle="1" w:styleId="AllowPageBreak">
    <w:name w:val="AllowPageBreak"/>
    <w:rsid w:val="009B6B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B6BA3"/>
    <w:rPr>
      <w:b/>
      <w:i/>
      <w:u w:val="none"/>
    </w:rPr>
  </w:style>
  <w:style w:type="character" w:customStyle="1" w:styleId="Heading2Char">
    <w:name w:val="Heading 2 Char"/>
    <w:basedOn w:val="DefaultParagraphFont"/>
    <w:link w:val="Heading2"/>
    <w:rsid w:val="009B6B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B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B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B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B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B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B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BA3"/>
    <w:rPr>
      <w:rFonts w:ascii="Courier New" w:eastAsia="Times New Roman" w:hAnsi="Courier New" w:cs="Times New Roman"/>
      <w:i/>
      <w:szCs w:val="20"/>
      <w:lang w:eastAsia="en-US"/>
    </w:rPr>
  </w:style>
  <w:style w:type="paragraph" w:customStyle="1" w:styleId="HeadingBase">
    <w:name w:val="Heading Base"/>
    <w:rsid w:val="009B6B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BA3"/>
    <w:pPr>
      <w:tabs>
        <w:tab w:val="right" w:leader="dot" w:pos="9072"/>
      </w:tabs>
      <w:ind w:left="567"/>
    </w:pPr>
    <w:rPr>
      <w:szCs w:val="22"/>
    </w:rPr>
  </w:style>
  <w:style w:type="paragraph" w:customStyle="1" w:styleId="TOCBase">
    <w:name w:val="TOC Base"/>
    <w:rsid w:val="009B6B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BA3"/>
    <w:pPr>
      <w:tabs>
        <w:tab w:val="right" w:leader="dot" w:pos="9072"/>
      </w:tabs>
      <w:spacing w:before="40" w:after="40"/>
      <w:ind w:left="284"/>
    </w:pPr>
    <w:rPr>
      <w:rFonts w:ascii="Times New Roman" w:hAnsi="Times New Roman"/>
    </w:rPr>
  </w:style>
  <w:style w:type="paragraph" w:styleId="TOC1">
    <w:name w:val="toc 1"/>
    <w:basedOn w:val="TOCBase"/>
    <w:next w:val="Normal"/>
    <w:rsid w:val="009B6B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B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BA3"/>
    <w:rPr>
      <w:rFonts w:ascii="Times New Roman" w:eastAsia="Times New Roman" w:hAnsi="Times New Roman" w:cs="Times New Roman"/>
      <w:sz w:val="16"/>
      <w:lang w:eastAsia="en-US"/>
    </w:rPr>
  </w:style>
  <w:style w:type="paragraph" w:styleId="Title">
    <w:name w:val="Title"/>
    <w:basedOn w:val="HeadingBase"/>
    <w:link w:val="TitleChar"/>
    <w:qFormat/>
    <w:rsid w:val="009B6BA3"/>
    <w:pPr>
      <w:spacing w:before="5040"/>
      <w:jc w:val="center"/>
    </w:pPr>
    <w:rPr>
      <w:sz w:val="48"/>
      <w:szCs w:val="72"/>
      <w:lang w:val="en-US"/>
    </w:rPr>
  </w:style>
  <w:style w:type="character" w:customStyle="1" w:styleId="TitleChar">
    <w:name w:val="Title Char"/>
    <w:basedOn w:val="DefaultParagraphFont"/>
    <w:link w:val="Title"/>
    <w:rsid w:val="009B6B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BA3"/>
    <w:pPr>
      <w:tabs>
        <w:tab w:val="left" w:pos="3600"/>
        <w:tab w:val="left" w:pos="3958"/>
      </w:tabs>
    </w:pPr>
  </w:style>
  <w:style w:type="paragraph" w:styleId="List">
    <w:name w:val="List"/>
    <w:basedOn w:val="BodyText"/>
    <w:next w:val="BodyText"/>
    <w:rsid w:val="009B6BA3"/>
    <w:pPr>
      <w:tabs>
        <w:tab w:val="left" w:pos="340"/>
      </w:tabs>
      <w:spacing w:before="60" w:after="60"/>
      <w:ind w:left="340" w:hanging="340"/>
    </w:pPr>
  </w:style>
  <w:style w:type="paragraph" w:customStyle="1" w:styleId="Note">
    <w:name w:val="Note"/>
    <w:basedOn w:val="BodyText"/>
    <w:rsid w:val="009B6B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BA3"/>
    <w:pPr>
      <w:framePr w:wrap="auto" w:hAnchor="text" w:y="6049"/>
    </w:pPr>
    <w:rPr>
      <w:color w:val="000000"/>
      <w:sz w:val="40"/>
    </w:rPr>
  </w:style>
  <w:style w:type="paragraph" w:customStyle="1" w:styleId="TOCTitle">
    <w:name w:val="TOCTitle"/>
    <w:basedOn w:val="Heading1"/>
    <w:rsid w:val="009B6BA3"/>
    <w:pPr>
      <w:spacing w:after="240"/>
      <w:jc w:val="center"/>
      <w:outlineLvl w:val="9"/>
    </w:pPr>
    <w:rPr>
      <w:caps/>
    </w:rPr>
  </w:style>
  <w:style w:type="paragraph" w:customStyle="1" w:styleId="Version">
    <w:name w:val="Version"/>
    <w:rsid w:val="009B6B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BA3"/>
    <w:pPr>
      <w:keepNext w:val="0"/>
      <w:tabs>
        <w:tab w:val="right" w:pos="4176"/>
      </w:tabs>
      <w:ind w:left="198" w:hanging="198"/>
    </w:pPr>
    <w:rPr>
      <w:rFonts w:ascii="Garamond" w:hAnsi="Garamond"/>
    </w:rPr>
  </w:style>
  <w:style w:type="paragraph" w:styleId="IndexHeading">
    <w:name w:val="index heading"/>
    <w:basedOn w:val="Normal"/>
    <w:next w:val="Index1"/>
    <w:semiHidden/>
    <w:rsid w:val="009B6BA3"/>
    <w:pPr>
      <w:spacing w:before="120" w:after="120"/>
    </w:pPr>
    <w:rPr>
      <w:rFonts w:ascii="Arial" w:hAnsi="Arial"/>
      <w:b/>
      <w:color w:val="918585"/>
      <w:sz w:val="24"/>
    </w:rPr>
  </w:style>
  <w:style w:type="paragraph" w:styleId="Header">
    <w:name w:val="header"/>
    <w:basedOn w:val="Normal"/>
    <w:link w:val="HeaderChar"/>
    <w:rsid w:val="009B6B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BA3"/>
    <w:rPr>
      <w:rFonts w:ascii="Times New Roman" w:eastAsia="Times New Roman" w:hAnsi="Times New Roman" w:cs="Times New Roman"/>
      <w:sz w:val="16"/>
      <w:szCs w:val="20"/>
      <w:lang w:val="en-GB" w:eastAsia="en-US"/>
    </w:rPr>
  </w:style>
  <w:style w:type="paragraph" w:customStyle="1" w:styleId="Chapter">
    <w:name w:val="Chapter"/>
    <w:basedOn w:val="Normal"/>
    <w:rsid w:val="009B6BA3"/>
    <w:pPr>
      <w:spacing w:before="240"/>
    </w:pPr>
    <w:rPr>
      <w:rFonts w:ascii="Times New Roman" w:hAnsi="Times New Roman"/>
      <w:smallCaps/>
      <w:spacing w:val="80"/>
      <w:sz w:val="28"/>
    </w:rPr>
  </w:style>
  <w:style w:type="paragraph" w:customStyle="1" w:styleId="InChapter">
    <w:name w:val="InChapter"/>
    <w:basedOn w:val="Heading3"/>
    <w:rsid w:val="009B6BA3"/>
    <w:pPr>
      <w:spacing w:after="240"/>
      <w:outlineLvl w:val="9"/>
    </w:pPr>
    <w:rPr>
      <w:noProof/>
    </w:rPr>
  </w:style>
  <w:style w:type="paragraph" w:styleId="Index2">
    <w:name w:val="index 2"/>
    <w:basedOn w:val="Normal"/>
    <w:next w:val="Normal"/>
    <w:semiHidden/>
    <w:rsid w:val="009B6BA3"/>
    <w:pPr>
      <w:tabs>
        <w:tab w:val="right" w:pos="4176"/>
      </w:tabs>
      <w:ind w:left="568" w:hanging="284"/>
    </w:pPr>
    <w:rPr>
      <w:rFonts w:ascii="Garamond" w:hAnsi="Garamond"/>
    </w:rPr>
  </w:style>
  <w:style w:type="paragraph" w:customStyle="1" w:styleId="Byline">
    <w:name w:val="Byline"/>
    <w:rsid w:val="009B6B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BA3"/>
    <w:pPr>
      <w:tabs>
        <w:tab w:val="clear" w:pos="3600"/>
        <w:tab w:val="clear" w:pos="3958"/>
      </w:tabs>
      <w:jc w:val="right"/>
    </w:pPr>
  </w:style>
  <w:style w:type="paragraph" w:styleId="Caption">
    <w:name w:val="caption"/>
    <w:basedOn w:val="BodyText"/>
    <w:next w:val="Normal"/>
    <w:qFormat/>
    <w:rsid w:val="009B6BA3"/>
    <w:pPr>
      <w:framePr w:w="2268" w:hSpace="181" w:vSpace="181" w:wrap="around" w:vAnchor="text" w:hAnchor="page" w:x="1135" w:y="285" w:anchorLock="1"/>
    </w:pPr>
    <w:rPr>
      <w:i/>
    </w:rPr>
  </w:style>
  <w:style w:type="paragraph" w:customStyle="1" w:styleId="MiniTOCTitle">
    <w:name w:val="MiniTOCTitle"/>
    <w:basedOn w:val="Heading4"/>
    <w:rsid w:val="009B6BA3"/>
    <w:pPr>
      <w:spacing w:before="240"/>
      <w:outlineLvl w:val="9"/>
    </w:pPr>
    <w:rPr>
      <w:noProof/>
      <w:sz w:val="24"/>
    </w:rPr>
  </w:style>
  <w:style w:type="paragraph" w:customStyle="1" w:styleId="MiniTOCItem">
    <w:name w:val="MiniTOCItem"/>
    <w:basedOn w:val="ListBullet"/>
    <w:rsid w:val="009B6BA3"/>
    <w:pPr>
      <w:numPr>
        <w:numId w:val="0"/>
      </w:numPr>
      <w:tabs>
        <w:tab w:val="right" w:leader="dot" w:pos="6521"/>
      </w:tabs>
      <w:spacing w:before="0" w:after="0"/>
    </w:pPr>
  </w:style>
  <w:style w:type="paragraph" w:customStyle="1" w:styleId="TOFTitle">
    <w:name w:val="TOFTitle"/>
    <w:basedOn w:val="TOCTitle"/>
    <w:rsid w:val="009B6BA3"/>
  </w:style>
  <w:style w:type="paragraph" w:styleId="TableofFigures">
    <w:name w:val="table of figures"/>
    <w:basedOn w:val="Normal"/>
    <w:next w:val="Normal"/>
    <w:semiHidden/>
    <w:rsid w:val="009B6BA3"/>
    <w:pPr>
      <w:tabs>
        <w:tab w:val="right" w:leader="dot" w:pos="9072"/>
      </w:tabs>
      <w:ind w:left="970" w:hanging="403"/>
    </w:pPr>
    <w:rPr>
      <w:rFonts w:ascii="Times New Roman" w:hAnsi="Times New Roman"/>
      <w:b/>
    </w:rPr>
  </w:style>
  <w:style w:type="paragraph" w:styleId="ListNumber">
    <w:name w:val="List Number"/>
    <w:basedOn w:val="List"/>
    <w:rsid w:val="009B6BA3"/>
    <w:pPr>
      <w:numPr>
        <w:numId w:val="11"/>
      </w:numPr>
    </w:pPr>
  </w:style>
  <w:style w:type="character" w:customStyle="1" w:styleId="WingdingSymbols">
    <w:name w:val="Wingding Symbols"/>
    <w:rsid w:val="009B6BA3"/>
    <w:rPr>
      <w:rFonts w:ascii="Wingdings" w:hAnsi="Wingdings"/>
    </w:rPr>
  </w:style>
  <w:style w:type="paragraph" w:customStyle="1" w:styleId="TableHeading">
    <w:name w:val="Table Heading"/>
    <w:basedOn w:val="HeadingBase"/>
    <w:rsid w:val="009B6BA3"/>
    <w:pPr>
      <w:keepLines/>
      <w:pBdr>
        <w:bottom w:val="single" w:sz="6" w:space="1" w:color="918585"/>
      </w:pBdr>
      <w:spacing w:before="240"/>
    </w:pPr>
  </w:style>
  <w:style w:type="character" w:customStyle="1" w:styleId="HotSpot">
    <w:name w:val="HotSpot"/>
    <w:rsid w:val="009B6BA3"/>
    <w:rPr>
      <w:color w:val="0033CC"/>
      <w:u w:val="none"/>
    </w:rPr>
  </w:style>
  <w:style w:type="paragraph" w:customStyle="1" w:styleId="BodyTextRight">
    <w:name w:val="Body Text Right"/>
    <w:basedOn w:val="BodyText"/>
    <w:rsid w:val="009B6BA3"/>
    <w:pPr>
      <w:spacing w:before="0" w:after="0"/>
      <w:jc w:val="right"/>
    </w:pPr>
  </w:style>
  <w:style w:type="paragraph" w:styleId="Index3">
    <w:name w:val="index 3"/>
    <w:basedOn w:val="ListNumber2"/>
    <w:next w:val="Normal"/>
    <w:semiHidden/>
    <w:rsid w:val="009B6BA3"/>
    <w:pPr>
      <w:numPr>
        <w:numId w:val="0"/>
      </w:numPr>
      <w:tabs>
        <w:tab w:val="right" w:leader="dot" w:pos="4176"/>
      </w:tabs>
    </w:pPr>
  </w:style>
  <w:style w:type="paragraph" w:styleId="ListNumber2">
    <w:name w:val="List Number 2"/>
    <w:basedOn w:val="List2"/>
    <w:rsid w:val="009B6BA3"/>
    <w:pPr>
      <w:numPr>
        <w:numId w:val="10"/>
      </w:numPr>
      <w:tabs>
        <w:tab w:val="clear" w:pos="1060"/>
      </w:tabs>
    </w:pPr>
  </w:style>
  <w:style w:type="paragraph" w:customStyle="1" w:styleId="MarginNote">
    <w:name w:val="Margin Note"/>
    <w:basedOn w:val="BodyText"/>
    <w:rsid w:val="009B6B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B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B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BA3"/>
    <w:rPr>
      <w:sz w:val="32"/>
    </w:rPr>
  </w:style>
  <w:style w:type="paragraph" w:customStyle="1" w:styleId="HeadingProcedure">
    <w:name w:val="Heading Procedure"/>
    <w:basedOn w:val="HeadingBase"/>
    <w:next w:val="Normal"/>
    <w:rsid w:val="009B6BA3"/>
    <w:pPr>
      <w:tabs>
        <w:tab w:val="left" w:pos="0"/>
      </w:tabs>
      <w:spacing w:before="120" w:after="60"/>
    </w:pPr>
    <w:rPr>
      <w:i/>
      <w:color w:val="918585"/>
      <w:sz w:val="22"/>
    </w:rPr>
  </w:style>
  <w:style w:type="paragraph" w:customStyle="1" w:styleId="TableBodyText">
    <w:name w:val="Table Body Text"/>
    <w:basedOn w:val="BodyText"/>
    <w:rsid w:val="009B6BA3"/>
    <w:pPr>
      <w:spacing w:before="60" w:after="60"/>
    </w:pPr>
  </w:style>
  <w:style w:type="paragraph" w:styleId="ListContinue">
    <w:name w:val="List Continue"/>
    <w:basedOn w:val="List"/>
    <w:rsid w:val="009B6BA3"/>
    <w:pPr>
      <w:ind w:firstLine="0"/>
    </w:pPr>
  </w:style>
  <w:style w:type="paragraph" w:customStyle="1" w:styleId="ListNote">
    <w:name w:val="List Note"/>
    <w:basedOn w:val="List"/>
    <w:rsid w:val="009B6BA3"/>
    <w:pPr>
      <w:pBdr>
        <w:top w:val="single" w:sz="6" w:space="2" w:color="918585"/>
        <w:bottom w:val="single" w:sz="6" w:space="2" w:color="918585"/>
      </w:pBdr>
      <w:tabs>
        <w:tab w:val="left" w:pos="1021"/>
      </w:tabs>
      <w:ind w:firstLine="0"/>
    </w:pPr>
  </w:style>
  <w:style w:type="paragraph" w:customStyle="1" w:styleId="Warning">
    <w:name w:val="Warning"/>
    <w:basedOn w:val="BodyText"/>
    <w:rsid w:val="009B6BA3"/>
    <w:pPr>
      <w:shd w:val="clear" w:color="auto" w:fill="D9D9D9"/>
      <w:tabs>
        <w:tab w:val="left" w:pos="992"/>
      </w:tabs>
      <w:ind w:left="119" w:right="119"/>
    </w:pPr>
    <w:rPr>
      <w:sz w:val="20"/>
    </w:rPr>
  </w:style>
  <w:style w:type="paragraph" w:customStyle="1" w:styleId="MarginIcons">
    <w:name w:val="Margin Icons"/>
    <w:basedOn w:val="BodyText"/>
    <w:rsid w:val="009B6B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BA3"/>
    <w:rPr>
      <w:rFonts w:ascii="Courier New" w:hAnsi="Courier New"/>
    </w:rPr>
  </w:style>
  <w:style w:type="paragraph" w:customStyle="1" w:styleId="NoteBullet">
    <w:name w:val="Note Bullet"/>
    <w:basedOn w:val="Note"/>
    <w:rsid w:val="009B6BA3"/>
    <w:pPr>
      <w:tabs>
        <w:tab w:val="clear" w:pos="680"/>
      </w:tabs>
      <w:spacing w:before="60" w:after="60"/>
    </w:pPr>
  </w:style>
  <w:style w:type="paragraph" w:customStyle="1" w:styleId="SubHeading2">
    <w:name w:val="SubHeading2"/>
    <w:basedOn w:val="HeadingBase"/>
    <w:rsid w:val="009B6BA3"/>
    <w:pPr>
      <w:spacing w:before="240" w:after="60"/>
    </w:pPr>
    <w:rPr>
      <w:sz w:val="20"/>
    </w:rPr>
  </w:style>
  <w:style w:type="paragraph" w:customStyle="1" w:styleId="SubHeading1">
    <w:name w:val="SubHeading1"/>
    <w:basedOn w:val="HeadingBase"/>
    <w:rsid w:val="009B6BA3"/>
    <w:pPr>
      <w:spacing w:before="240" w:after="60"/>
    </w:pPr>
    <w:rPr>
      <w:color w:val="918585"/>
      <w:sz w:val="22"/>
    </w:rPr>
  </w:style>
  <w:style w:type="paragraph" w:customStyle="1" w:styleId="SideHeading">
    <w:name w:val="Side Heading"/>
    <w:basedOn w:val="HeadingBase"/>
    <w:rsid w:val="009B6B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BA3"/>
    <w:pPr>
      <w:numPr>
        <w:numId w:val="12"/>
      </w:numPr>
    </w:pPr>
  </w:style>
  <w:style w:type="paragraph" w:styleId="PlainText">
    <w:name w:val="Plain Text"/>
    <w:basedOn w:val="Normal"/>
    <w:link w:val="PlainTextChar"/>
    <w:rsid w:val="009B6BA3"/>
    <w:rPr>
      <w:sz w:val="20"/>
    </w:rPr>
  </w:style>
  <w:style w:type="character" w:customStyle="1" w:styleId="PlainTextChar">
    <w:name w:val="Plain Text Char"/>
    <w:basedOn w:val="DefaultParagraphFont"/>
    <w:link w:val="PlainText"/>
    <w:rsid w:val="009B6BA3"/>
    <w:rPr>
      <w:rFonts w:ascii="Courier New" w:eastAsia="Times New Roman" w:hAnsi="Courier New" w:cs="Times New Roman"/>
      <w:sz w:val="20"/>
      <w:szCs w:val="20"/>
      <w:lang w:eastAsia="en-US"/>
    </w:rPr>
  </w:style>
  <w:style w:type="character" w:customStyle="1" w:styleId="MenuOption">
    <w:name w:val="Menu Option"/>
    <w:basedOn w:val="DefaultParagraphFont"/>
    <w:rsid w:val="009B6BA3"/>
    <w:rPr>
      <w:b/>
      <w:smallCaps/>
    </w:rPr>
  </w:style>
  <w:style w:type="paragraph" w:customStyle="1" w:styleId="TableListNumber">
    <w:name w:val="Table List Number"/>
    <w:basedOn w:val="ListNumber"/>
    <w:rsid w:val="009B6BA3"/>
    <w:pPr>
      <w:numPr>
        <w:numId w:val="0"/>
      </w:numPr>
    </w:pPr>
  </w:style>
  <w:style w:type="paragraph" w:styleId="TOC4">
    <w:name w:val="toc 4"/>
    <w:basedOn w:val="TOCBase"/>
    <w:next w:val="Normal"/>
    <w:semiHidden/>
    <w:rsid w:val="009B6BA3"/>
    <w:pPr>
      <w:tabs>
        <w:tab w:val="right" w:leader="dot" w:pos="9071"/>
      </w:tabs>
      <w:ind w:left="1701"/>
    </w:pPr>
  </w:style>
  <w:style w:type="paragraph" w:customStyle="1" w:styleId="ListAlpha">
    <w:name w:val="List Alpha"/>
    <w:basedOn w:val="List"/>
    <w:rsid w:val="009B6BA3"/>
    <w:pPr>
      <w:numPr>
        <w:numId w:val="9"/>
      </w:numPr>
    </w:pPr>
  </w:style>
  <w:style w:type="paragraph" w:customStyle="1" w:styleId="ListAlpha2">
    <w:name w:val="List Alpha 2"/>
    <w:basedOn w:val="List2"/>
    <w:rsid w:val="009B6BA3"/>
    <w:pPr>
      <w:numPr>
        <w:numId w:val="8"/>
      </w:numPr>
    </w:pPr>
  </w:style>
  <w:style w:type="paragraph" w:styleId="List2">
    <w:name w:val="List 2"/>
    <w:basedOn w:val="BodyText"/>
    <w:rsid w:val="009B6BA3"/>
    <w:pPr>
      <w:tabs>
        <w:tab w:val="left" w:pos="680"/>
      </w:tabs>
      <w:spacing w:before="60" w:after="60"/>
      <w:ind w:left="680" w:hanging="340"/>
    </w:pPr>
  </w:style>
  <w:style w:type="paragraph" w:styleId="List3">
    <w:name w:val="List 3"/>
    <w:basedOn w:val="BodyText"/>
    <w:rsid w:val="009B6BA3"/>
    <w:pPr>
      <w:tabs>
        <w:tab w:val="left" w:pos="1021"/>
      </w:tabs>
      <w:spacing w:before="60" w:after="60"/>
      <w:ind w:left="1020" w:hanging="340"/>
    </w:pPr>
  </w:style>
  <w:style w:type="paragraph" w:styleId="List4">
    <w:name w:val="List 4"/>
    <w:basedOn w:val="BodyText"/>
    <w:rsid w:val="009B6BA3"/>
    <w:pPr>
      <w:tabs>
        <w:tab w:val="left" w:pos="1361"/>
      </w:tabs>
      <w:spacing w:before="60" w:after="60"/>
      <w:ind w:left="1361" w:hanging="340"/>
    </w:pPr>
  </w:style>
  <w:style w:type="paragraph" w:styleId="List5">
    <w:name w:val="List 5"/>
    <w:basedOn w:val="BodyText"/>
    <w:rsid w:val="009B6BA3"/>
    <w:pPr>
      <w:tabs>
        <w:tab w:val="left" w:pos="1701"/>
      </w:tabs>
      <w:spacing w:before="60" w:after="60"/>
      <w:ind w:left="1701" w:hanging="340"/>
    </w:pPr>
  </w:style>
  <w:style w:type="paragraph" w:styleId="ListBullet3">
    <w:name w:val="List Bullet 3"/>
    <w:basedOn w:val="List3"/>
    <w:rsid w:val="009B6BA3"/>
    <w:pPr>
      <w:numPr>
        <w:numId w:val="15"/>
      </w:numPr>
      <w:tabs>
        <w:tab w:val="clear" w:pos="1021"/>
      </w:tabs>
      <w:ind w:left="1037" w:hanging="357"/>
    </w:pPr>
  </w:style>
  <w:style w:type="paragraph" w:styleId="ListBullet4">
    <w:name w:val="List Bullet 4"/>
    <w:basedOn w:val="List4"/>
    <w:rsid w:val="009B6BA3"/>
    <w:pPr>
      <w:numPr>
        <w:numId w:val="3"/>
      </w:numPr>
    </w:pPr>
  </w:style>
  <w:style w:type="paragraph" w:styleId="ListBullet5">
    <w:name w:val="List Bullet 5"/>
    <w:basedOn w:val="List5"/>
    <w:rsid w:val="009B6BA3"/>
    <w:pPr>
      <w:numPr>
        <w:numId w:val="4"/>
      </w:numPr>
    </w:pPr>
  </w:style>
  <w:style w:type="paragraph" w:styleId="ListContinue2">
    <w:name w:val="List Continue 2"/>
    <w:basedOn w:val="List2"/>
    <w:rsid w:val="009B6BA3"/>
    <w:pPr>
      <w:ind w:firstLine="0"/>
    </w:pPr>
  </w:style>
  <w:style w:type="paragraph" w:styleId="ListContinue3">
    <w:name w:val="List Continue 3"/>
    <w:basedOn w:val="List3"/>
    <w:rsid w:val="009B6BA3"/>
    <w:pPr>
      <w:ind w:left="1021" w:firstLine="0"/>
    </w:pPr>
  </w:style>
  <w:style w:type="paragraph" w:styleId="ListContinue4">
    <w:name w:val="List Continue 4"/>
    <w:basedOn w:val="List4"/>
    <w:rsid w:val="009B6BA3"/>
    <w:pPr>
      <w:ind w:firstLine="0"/>
    </w:pPr>
  </w:style>
  <w:style w:type="paragraph" w:styleId="ListContinue5">
    <w:name w:val="List Continue 5"/>
    <w:basedOn w:val="List5"/>
    <w:rsid w:val="009B6BA3"/>
    <w:pPr>
      <w:ind w:firstLine="0"/>
    </w:pPr>
  </w:style>
  <w:style w:type="paragraph" w:styleId="ListNumber3">
    <w:name w:val="List Number 3"/>
    <w:basedOn w:val="List3"/>
    <w:rsid w:val="009B6BA3"/>
    <w:pPr>
      <w:numPr>
        <w:numId w:val="5"/>
      </w:numPr>
    </w:pPr>
  </w:style>
  <w:style w:type="paragraph" w:styleId="ListNumber4">
    <w:name w:val="List Number 4"/>
    <w:basedOn w:val="List4"/>
    <w:rsid w:val="009B6BA3"/>
    <w:pPr>
      <w:numPr>
        <w:numId w:val="6"/>
      </w:numPr>
    </w:pPr>
  </w:style>
  <w:style w:type="paragraph" w:styleId="ListNumber5">
    <w:name w:val="List Number 5"/>
    <w:basedOn w:val="List5"/>
    <w:rsid w:val="009B6BA3"/>
    <w:pPr>
      <w:numPr>
        <w:numId w:val="7"/>
      </w:numPr>
    </w:pPr>
  </w:style>
  <w:style w:type="paragraph" w:styleId="BlockText">
    <w:name w:val="Block Text"/>
    <w:basedOn w:val="Normal"/>
    <w:rsid w:val="009B6BA3"/>
    <w:pPr>
      <w:spacing w:after="120"/>
      <w:ind w:left="1440" w:right="1440"/>
    </w:pPr>
  </w:style>
  <w:style w:type="character" w:customStyle="1" w:styleId="Subscript">
    <w:name w:val="Subscript"/>
    <w:basedOn w:val="DefaultParagraphFont"/>
    <w:rsid w:val="009B6BA3"/>
    <w:rPr>
      <w:sz w:val="16"/>
      <w:vertAlign w:val="subscript"/>
    </w:rPr>
  </w:style>
  <w:style w:type="character" w:customStyle="1" w:styleId="Superscript">
    <w:name w:val="Superscript"/>
    <w:basedOn w:val="DefaultParagraphFont"/>
    <w:rsid w:val="009B6BA3"/>
    <w:rPr>
      <w:sz w:val="16"/>
      <w:vertAlign w:val="superscript"/>
    </w:rPr>
  </w:style>
  <w:style w:type="character" w:customStyle="1" w:styleId="Symbols">
    <w:name w:val="Symbols"/>
    <w:basedOn w:val="DefaultParagraphFont"/>
    <w:rsid w:val="009B6BA3"/>
    <w:rPr>
      <w:rFonts w:ascii="Symbol" w:hAnsi="Symbol"/>
    </w:rPr>
  </w:style>
  <w:style w:type="character" w:customStyle="1" w:styleId="MenuOptions">
    <w:name w:val="Menu Options"/>
    <w:basedOn w:val="DefaultParagraphFont"/>
    <w:rsid w:val="009B6BA3"/>
    <w:rPr>
      <w:rFonts w:ascii="Arial Narrow" w:hAnsi="Arial Narrow"/>
      <w:smallCaps/>
    </w:rPr>
  </w:style>
  <w:style w:type="character" w:customStyle="1" w:styleId="Buttons">
    <w:name w:val="Buttons"/>
    <w:basedOn w:val="DefaultParagraphFont"/>
    <w:rsid w:val="009B6BA3"/>
    <w:rPr>
      <w:b/>
    </w:rPr>
  </w:style>
  <w:style w:type="character" w:customStyle="1" w:styleId="Underlined">
    <w:name w:val="Underlined"/>
    <w:basedOn w:val="DefaultParagraphFont"/>
    <w:rsid w:val="009B6BA3"/>
    <w:rPr>
      <w:u w:val="single"/>
    </w:rPr>
  </w:style>
  <w:style w:type="paragraph" w:customStyle="1" w:styleId="TableBodyTextRight">
    <w:name w:val="Table Body Text Right"/>
    <w:basedOn w:val="TableBodyText"/>
    <w:rsid w:val="009B6BA3"/>
    <w:pPr>
      <w:widowControl w:val="0"/>
      <w:autoSpaceDE w:val="0"/>
      <w:autoSpaceDN w:val="0"/>
      <w:adjustRightInd w:val="0"/>
      <w:jc w:val="right"/>
    </w:pPr>
    <w:rPr>
      <w:rFonts w:cs="Arial"/>
      <w:szCs w:val="18"/>
    </w:rPr>
  </w:style>
  <w:style w:type="paragraph" w:customStyle="1" w:styleId="CopyrightText">
    <w:name w:val="Copyright Text"/>
    <w:basedOn w:val="BodyText"/>
    <w:rsid w:val="009B6BA3"/>
    <w:rPr>
      <w:sz w:val="18"/>
    </w:rPr>
  </w:style>
  <w:style w:type="paragraph" w:customStyle="1" w:styleId="BodySmallRight">
    <w:name w:val="Body Small Right"/>
    <w:basedOn w:val="BodyTextRight"/>
    <w:rsid w:val="009B6BA3"/>
    <w:rPr>
      <w:sz w:val="18"/>
      <w:szCs w:val="18"/>
    </w:rPr>
  </w:style>
  <w:style w:type="paragraph" w:customStyle="1" w:styleId="MarginEdition">
    <w:name w:val="Margin Edition"/>
    <w:basedOn w:val="MarginNote"/>
    <w:rsid w:val="009B6BA3"/>
    <w:pPr>
      <w:spacing w:before="0" w:after="0"/>
    </w:pPr>
    <w:rPr>
      <w:rFonts w:ascii="Times New Roman" w:hAnsi="Times New Roman"/>
      <w:color w:val="999999"/>
    </w:rPr>
  </w:style>
  <w:style w:type="paragraph" w:customStyle="1" w:styleId="Spacer">
    <w:name w:val="Spacer"/>
    <w:basedOn w:val="Normal"/>
    <w:rsid w:val="009B6BA3"/>
    <w:rPr>
      <w:sz w:val="2"/>
      <w:szCs w:val="2"/>
    </w:rPr>
  </w:style>
  <w:style w:type="character" w:customStyle="1" w:styleId="Small">
    <w:name w:val="Small"/>
    <w:basedOn w:val="DefaultParagraphFont"/>
    <w:rsid w:val="009B6BA3"/>
    <w:rPr>
      <w:sz w:val="16"/>
    </w:rPr>
  </w:style>
  <w:style w:type="paragraph" w:customStyle="1" w:styleId="WideTable">
    <w:name w:val="Wide Table"/>
    <w:basedOn w:val="Normal"/>
    <w:rsid w:val="009B6BA3"/>
    <w:pPr>
      <w:ind w:left="-1418"/>
    </w:pPr>
    <w:rPr>
      <w:sz w:val="2"/>
      <w:szCs w:val="2"/>
    </w:rPr>
  </w:style>
  <w:style w:type="character" w:styleId="PageNumber">
    <w:name w:val="page number"/>
    <w:basedOn w:val="DefaultParagraphFont"/>
    <w:rsid w:val="009B6BA3"/>
  </w:style>
  <w:style w:type="paragraph" w:styleId="Quote">
    <w:name w:val="Quote"/>
    <w:basedOn w:val="Heading1"/>
    <w:link w:val="QuoteChar"/>
    <w:qFormat/>
    <w:rsid w:val="009B6BA3"/>
    <w:rPr>
      <w:b w:val="0"/>
      <w:sz w:val="72"/>
      <w:szCs w:val="72"/>
      <w:lang w:val="en-NZ"/>
    </w:rPr>
  </w:style>
  <w:style w:type="character" w:customStyle="1" w:styleId="QuoteChar">
    <w:name w:val="Quote Char"/>
    <w:basedOn w:val="DefaultParagraphFont"/>
    <w:link w:val="Quote"/>
    <w:rsid w:val="009B6B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BA3"/>
    <w:pPr>
      <w:pageBreakBefore/>
    </w:pPr>
  </w:style>
  <w:style w:type="paragraph" w:customStyle="1" w:styleId="Border">
    <w:name w:val="Border"/>
    <w:basedOn w:val="Normal"/>
    <w:qFormat/>
    <w:rsid w:val="009B6B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BA3"/>
    <w:rPr>
      <w:b/>
      <w:bCs/>
      <w:i/>
      <w:iCs/>
      <w:color w:val="auto"/>
    </w:rPr>
  </w:style>
  <w:style w:type="paragraph" w:styleId="IntenseQuote">
    <w:name w:val="Intense Quote"/>
    <w:basedOn w:val="Normal"/>
    <w:next w:val="Normal"/>
    <w:link w:val="IntenseQuoteChar"/>
    <w:uiPriority w:val="30"/>
    <w:qFormat/>
    <w:rsid w:val="009B6B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B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BA3"/>
    <w:rPr>
      <w:smallCaps/>
      <w:color w:val="auto"/>
      <w:u w:val="single"/>
    </w:rPr>
  </w:style>
  <w:style w:type="character" w:styleId="IntenseReference">
    <w:name w:val="Intense Reference"/>
    <w:basedOn w:val="DefaultParagraphFont"/>
    <w:uiPriority w:val="32"/>
    <w:qFormat/>
    <w:rsid w:val="009B6BA3"/>
    <w:rPr>
      <w:b/>
      <w:bCs/>
      <w:smallCaps/>
      <w:color w:val="auto"/>
      <w:spacing w:val="5"/>
      <w:u w:val="single"/>
    </w:rPr>
  </w:style>
  <w:style w:type="paragraph" w:customStyle="1" w:styleId="2ColumnHeading">
    <w:name w:val="2Column Heading"/>
    <w:basedOn w:val="BodyText"/>
    <w:qFormat/>
    <w:rsid w:val="009B6BA3"/>
    <w:pPr>
      <w:spacing w:after="60"/>
      <w:ind w:left="-2268"/>
    </w:pPr>
    <w:rPr>
      <w:b/>
    </w:rPr>
  </w:style>
  <w:style w:type="paragraph" w:customStyle="1" w:styleId="Heading1TOC">
    <w:name w:val="Heading1 TOC"/>
    <w:basedOn w:val="Normal"/>
    <w:qFormat/>
    <w:rsid w:val="009B6BA3"/>
    <w:pPr>
      <w:spacing w:before="240" w:after="120"/>
    </w:pPr>
    <w:rPr>
      <w:rFonts w:ascii="Times New Roman" w:hAnsi="Times New Roman"/>
      <w:b/>
      <w:sz w:val="32"/>
    </w:rPr>
  </w:style>
  <w:style w:type="paragraph" w:customStyle="1" w:styleId="Heading2TOC">
    <w:name w:val="Heading2 TOC"/>
    <w:basedOn w:val="Normal"/>
    <w:qFormat/>
    <w:rsid w:val="009B6BA3"/>
    <w:pPr>
      <w:spacing w:before="240" w:after="60"/>
    </w:pPr>
    <w:rPr>
      <w:rFonts w:ascii="Times New Roman" w:hAnsi="Times New Roman"/>
      <w:b/>
      <w:sz w:val="28"/>
    </w:rPr>
  </w:style>
  <w:style w:type="character" w:customStyle="1" w:styleId="Underline">
    <w:name w:val="Underline"/>
    <w:basedOn w:val="DefaultParagraphFont"/>
    <w:qFormat/>
    <w:rsid w:val="009B6BA3"/>
    <w:rPr>
      <w:u w:val="single"/>
    </w:rPr>
  </w:style>
  <w:style w:type="paragraph" w:styleId="BalloonText">
    <w:name w:val="Balloon Text"/>
    <w:basedOn w:val="Normal"/>
    <w:link w:val="BalloonTextChar"/>
    <w:rsid w:val="009B6BA3"/>
    <w:rPr>
      <w:rFonts w:ascii="Tahoma" w:hAnsi="Tahoma" w:cs="Tahoma"/>
      <w:sz w:val="16"/>
      <w:szCs w:val="16"/>
    </w:rPr>
  </w:style>
  <w:style w:type="character" w:customStyle="1" w:styleId="BalloonTextChar">
    <w:name w:val="Balloon Text Char"/>
    <w:basedOn w:val="DefaultParagraphFont"/>
    <w:link w:val="BalloonText"/>
    <w:rsid w:val="009B6B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B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B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BA3"/>
    <w:rPr>
      <w:b/>
      <w:color w:val="660033"/>
      <w:spacing w:val="0"/>
    </w:rPr>
  </w:style>
  <w:style w:type="paragraph" w:customStyle="1" w:styleId="Nameditemlist">
    <w:name w:val="Named item list"/>
    <w:basedOn w:val="BodyText"/>
    <w:qFormat/>
    <w:rsid w:val="009B6B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1534</Words>
  <Characters>9849</Characters>
  <Application>Microsoft Office Word</Application>
  <DocSecurity>0</DocSecurity>
  <Lines>362</Lines>
  <Paragraphs>232</Paragraphs>
  <ScaleCrop>false</ScaleCrop>
  <Company>Author-it Software Corporation Ltd.</Company>
  <LinksUpToDate>false</LinksUpToDate>
  <CharactersWithSpaces>11306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ICTRFN2164B Install a terrestrial antenna</dc:title>
  <dc:subject>Approved</dc:subject>
  <dc:creator>Innovation and Business Skills Australia</dc:creator>
  <cp:keywords>Release 1</cp:keywords>
  <dc:description>Review Date: 12 April 2008</dc:description>
  <cp:lastModifiedBy>TPCMS</cp:lastModifiedBy>
  <cp:revision>3</cp:revision>
  <dcterms:created xsi:type="dcterms:W3CDTF">2014-02-07T09:25:52Z</dcterms:created>
  <dcterms:modified xsi:type="dcterms:W3CDTF">2014-02-06T04:25:00Z</dcterms:modified>
</cp:coreProperties>
</file>