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6A49" w:rsidP="00F16A49">
      <w:pPr>
        <w:pStyle w:val="Title"/>
      </w:pPr>
      <w:bookmarkStart w:id="0" w:name="_GoBack"/>
      <w:bookmarkEnd w:id="0"/>
      <w:r>
        <w:fldChar w:fldCharType="begin"/>
      </w:r>
      <w:r>
        <w:instrText xml:space="preserve"> TITLE   \* MERGEFORMAT </w:instrText>
      </w:r>
      <w:r>
        <w:fldChar w:fldCharType="separate"/>
      </w:r>
      <w:r>
        <w:t>ICTOPN5123A Analyse and integrate specialised optical devices in the network</w:t>
      </w:r>
      <w:r>
        <w:fldChar w:fldCharType="end"/>
      </w:r>
    </w:p>
    <w:p w:rsidR="00F16A49" w:rsidP="00F16A49">
      <w:pPr>
        <w:pStyle w:val="Version"/>
        <w:sectPr w:rsidSect="002F0D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0DC9" w:rsidP="002F0DC9">
      <w:pPr>
        <w:pStyle w:val="SuperHeading"/>
      </w:pPr>
      <w:r w:rsidRPr="002F0DC9">
        <w:t>ICTOPN5123A Analyse and integrate specialised optical devices in the network</w:t>
      </w:r>
    </w:p>
    <w:p w:rsidR="00000000" w:rsidRPr="002F0DC9" w:rsidP="002F0DC9">
      <w:pPr>
        <w:pStyle w:val="Heading1"/>
      </w:pPr>
      <w:bookmarkStart w:id="1" w:name="O_271813"/>
      <w:bookmarkEnd w:id="1"/>
      <w:r w:rsidRPr="002F0DC9">
        <w:t>Modification History</w:t>
      </w:r>
    </w:p>
    <w:p w:rsidR="00000000" w:rsidRPr="002F0DC9" w:rsidP="002F0DC9">
      <w:pPr>
        <w:pStyle w:val="BodyText"/>
      </w:pPr>
      <w:r w:rsidRPr="002F0DC9">
        <w:t>Not Applicable</w:t>
      </w:r>
    </w:p>
    <w:p w:rsidR="00000000" w:rsidRPr="002F0DC9" w:rsidP="002F0DC9">
      <w:pPr>
        <w:pStyle w:val="AllowPageBreak"/>
      </w:pPr>
    </w:p>
    <w:p w:rsidR="00000000" w:rsidRPr="002F0DC9" w:rsidP="002F0DC9">
      <w:pPr>
        <w:pStyle w:val="Heading1"/>
      </w:pPr>
      <w:bookmarkStart w:id="2" w:name="O_209130"/>
      <w:bookmarkEnd w:id="2"/>
      <w:r w:rsidRPr="002F0DC9">
        <w:t>Unit Descriptor</w:t>
      </w:r>
    </w:p>
    <w:tbl>
      <w:tblPr>
        <w:tblW w:w="0" w:type="auto"/>
        <w:tblLayout w:type="fixed"/>
        <w:tblCellMar>
          <w:left w:w="62" w:type="dxa"/>
          <w:right w:w="62" w:type="dxa"/>
        </w:tblCellMar>
        <w:tblLook w:val="0000"/>
      </w:tblPr>
      <w:tblGrid>
        <w:gridCol w:w="2620"/>
        <w:gridCol w:w="5902"/>
      </w:tblGrid>
      <w:tr w:rsidTr="00F16A49">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DC9">
            <w:pPr>
              <w:pStyle w:val="BodyText"/>
              <w:rPr>
                <w:lang w:val="en-NZ"/>
              </w:rPr>
            </w:pPr>
            <w:r w:rsidRPr="002F0DC9">
              <w:rPr>
                <w:rStyle w:val="SpecialBold"/>
              </w:rPr>
              <w:t>Unit</w:t>
            </w:r>
            <w:r w:rsidRPr="002F0DC9">
              <w:rPr>
                <w:rStyle w:val="SpecialBold"/>
              </w:rPr>
              <w:t xml:space="preserve"> descriptor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DC9" w:rsidP="002F0DC9">
            <w:pPr>
              <w:pStyle w:val="BodyText"/>
            </w:pPr>
            <w:r w:rsidRPr="002F0DC9">
              <w:t>This unit describes the performance outcomes, skills and knowledge required to analyse and integrate specialised optical devices into existing optical networks to support the higher bandwidths associated with Next Generation Networks (NGN).</w:t>
            </w:r>
          </w:p>
          <w:p w:rsidR="00000000" w:rsidRPr="002F0DC9" w:rsidP="002F0DC9">
            <w:pPr>
              <w:pStyle w:val="BodyText"/>
            </w:pPr>
          </w:p>
          <w:p w:rsidR="00000000" w:rsidRPr="002F0DC9" w:rsidP="002F0DC9">
            <w:pPr>
              <w:pStyle w:val="BodyText"/>
            </w:pPr>
            <w:r w:rsidRPr="002F0DC9">
              <w:t>Ca</w:t>
            </w:r>
            <w:r w:rsidRPr="002F0DC9">
              <w:t>rriers and service providers regularly upgrade existing infrastructures and extend the length of their networks' optical links due to expansion of NGN services such as voice, data and video.</w:t>
            </w:r>
          </w:p>
          <w:p w:rsidR="00000000" w:rsidRPr="002F0DC9" w:rsidP="002F0DC9">
            <w:pPr>
              <w:pStyle w:val="BodyText"/>
            </w:pPr>
          </w:p>
          <w:p w:rsidR="00000000" w:rsidRPr="002F0DC9" w:rsidP="002F0DC9">
            <w:pPr>
              <w:pStyle w:val="BodyText"/>
            </w:pPr>
            <w:r w:rsidRPr="002F0DC9">
              <w:t>Performance testing of specialised optical devices is covered in</w:t>
            </w:r>
            <w:r w:rsidRPr="002F0DC9">
              <w:t xml:space="preserve"> a separate unit ICTOPN5122A Test the performance of specialised optical devices.</w:t>
            </w:r>
          </w:p>
          <w:p w:rsidR="00000000" w:rsidRPr="002F0DC9" w:rsidP="002F0DC9">
            <w:pPr>
              <w:pStyle w:val="BodyText"/>
            </w:pPr>
          </w:p>
          <w:p w:rsidR="00000000" w:rsidRPr="002F0DC9" w:rsidP="002F0DC9">
            <w:pPr>
              <w:pStyle w:val="BodyText"/>
            </w:pPr>
            <w:r w:rsidRPr="002F0DC9">
              <w:t>No licensing, legislative, regulatory or certification requirements apply to this unit at the time of endorsement but users should confirm requirements with the relevant fed</w:t>
            </w:r>
            <w:r w:rsidRPr="002F0DC9">
              <w:t>eral, state or territory authority.</w:t>
            </w:r>
          </w:p>
        </w:tc>
      </w:tr>
    </w:tbl>
    <w:p w:rsidR="00F16A49" w:rsidP="002F0DC9">
      <w:pPr>
        <w:pStyle w:val="BodyText"/>
      </w:pPr>
    </w:p>
    <w:p w:rsidR="00F16A49" w:rsidP="002F0DC9">
      <w:pPr>
        <w:pStyle w:val="BodyText"/>
      </w:pPr>
    </w:p>
    <w:p w:rsidR="00000000" w:rsidRPr="002F0DC9" w:rsidP="002F0DC9">
      <w:pPr>
        <w:pStyle w:val="Heading1"/>
      </w:pPr>
      <w:bookmarkStart w:id="3" w:name="O_209134"/>
      <w:bookmarkEnd w:id="3"/>
      <w:r w:rsidRPr="002F0DC9">
        <w:t>Application of the Unit</w:t>
      </w:r>
    </w:p>
    <w:tbl>
      <w:tblPr>
        <w:tblW w:w="0" w:type="auto"/>
        <w:tblLayout w:type="fixed"/>
        <w:tblCellMar>
          <w:left w:w="62" w:type="dxa"/>
          <w:right w:w="62" w:type="dxa"/>
        </w:tblCellMar>
        <w:tblLook w:val="0000"/>
      </w:tblPr>
      <w:tblGrid>
        <w:gridCol w:w="2716"/>
        <w:gridCol w:w="5806"/>
      </w:tblGrid>
      <w:tr w:rsidTr="00F16A49">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DC9">
            <w:pPr>
              <w:pStyle w:val="BodyText"/>
              <w:rPr>
                <w:lang w:val="en-NZ"/>
              </w:rPr>
            </w:pPr>
            <w:r w:rsidRPr="002F0DC9">
              <w:rPr>
                <w:rStyle w:val="SpecialBold"/>
              </w:rPr>
              <w:t>Application of the unit</w:t>
            </w:r>
          </w:p>
        </w:tc>
        <w:tc>
          <w:tcPr>
            <w:tcW w:w="5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DC9" w:rsidP="002F0DC9">
            <w:pPr>
              <w:pStyle w:val="BodyText"/>
            </w:pPr>
            <w:r w:rsidRPr="002F0DC9">
              <w:t xml:space="preserve">Technical staff from telecommunications carriers, service providers or other private and public organisations who have experience in optical </w:t>
            </w:r>
            <w:r w:rsidRPr="002F0DC9">
              <w:t xml:space="preserve">transmission apply the skills and knowledge in this unit.  </w:t>
            </w:r>
          </w:p>
          <w:p w:rsidR="00000000" w:rsidRPr="002F0DC9" w:rsidP="002F0DC9">
            <w:pPr>
              <w:pStyle w:val="BodyText"/>
            </w:pPr>
          </w:p>
          <w:p w:rsidR="00000000" w:rsidRPr="002F0DC9" w:rsidP="002F0DC9">
            <w:pPr>
              <w:pStyle w:val="BodyText"/>
            </w:pPr>
            <w:r w:rsidRPr="002F0DC9">
              <w:t>They combine technical expertise with a range of analytical, research and planning skills to develop integration solutions for particular business needs.</w:t>
            </w:r>
          </w:p>
          <w:p w:rsidR="00000000" w:rsidRPr="002F0DC9" w:rsidP="002F0DC9">
            <w:pPr>
              <w:pStyle w:val="BodyText"/>
            </w:pPr>
          </w:p>
          <w:p w:rsidR="00000000" w:rsidRPr="002F0DC9" w:rsidP="002F0DC9">
            <w:pPr>
              <w:pStyle w:val="BodyText"/>
            </w:pPr>
            <w:r w:rsidRPr="002F0DC9">
              <w:t>Relevant job roles include design and pl</w:t>
            </w:r>
            <w:r w:rsidRPr="002F0DC9">
              <w:t>anning of networks using emerging technology.</w:t>
            </w:r>
          </w:p>
        </w:tc>
      </w:tr>
    </w:tbl>
    <w:p w:rsidR="00F16A49" w:rsidP="002F0DC9">
      <w:pPr>
        <w:pStyle w:val="BodyText"/>
      </w:pPr>
    </w:p>
    <w:p w:rsidR="00F16A49" w:rsidP="002F0DC9">
      <w:pPr>
        <w:pStyle w:val="BodyText"/>
      </w:pPr>
    </w:p>
    <w:p w:rsidR="00000000" w:rsidRPr="002F0DC9" w:rsidP="002F0DC9">
      <w:pPr>
        <w:pStyle w:val="Heading1"/>
      </w:pPr>
      <w:bookmarkStart w:id="4" w:name="O_280073"/>
      <w:bookmarkEnd w:id="4"/>
      <w:r w:rsidRPr="002F0DC9">
        <w:t>Licensing/Regulatory Information</w:t>
      </w:r>
    </w:p>
    <w:p w:rsidR="00000000" w:rsidRPr="002F0DC9" w:rsidP="002F0DC9">
      <w:pPr>
        <w:pStyle w:val="BodyText"/>
      </w:pPr>
      <w:r w:rsidRPr="002F0DC9">
        <w:t>Refer to Unit Descriptor</w:t>
      </w:r>
    </w:p>
    <w:p w:rsidR="00000000" w:rsidRPr="002F0DC9" w:rsidP="002F0DC9">
      <w:pPr>
        <w:pStyle w:val="AllowPageBreak"/>
      </w:pPr>
    </w:p>
    <w:p w:rsidR="00000000" w:rsidRPr="002F0DC9" w:rsidP="002F0DC9">
      <w:pPr>
        <w:pStyle w:val="Heading1"/>
      </w:pPr>
      <w:bookmarkStart w:id="5" w:name="O_209132"/>
      <w:bookmarkEnd w:id="5"/>
      <w:r w:rsidRPr="002F0DC9">
        <w:t>Pre-Requisites</w:t>
      </w:r>
    </w:p>
    <w:tbl>
      <w:tblPr>
        <w:tblW w:w="0" w:type="auto"/>
        <w:tblLayout w:type="fixed"/>
        <w:tblCellMar>
          <w:left w:w="62" w:type="dxa"/>
          <w:right w:w="62" w:type="dxa"/>
        </w:tblCellMar>
        <w:tblLook w:val="0000"/>
      </w:tblPr>
      <w:tblGrid>
        <w:gridCol w:w="2743"/>
        <w:gridCol w:w="1449"/>
        <w:gridCol w:w="4330"/>
      </w:tblGrid>
      <w:tr w:rsidTr="00F16A49">
        <w:tblPrEx>
          <w:tblW w:w="0" w:type="auto"/>
          <w:tblLayout w:type="fixed"/>
          <w:tblCellMar>
            <w:left w:w="62" w:type="dxa"/>
            <w:right w:w="62" w:type="dxa"/>
          </w:tblCellMar>
          <w:tblLook w:val="0000"/>
        </w:tblPrEx>
        <w:trPr>
          <w:tblHeader/>
        </w:trPr>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DC9">
            <w:pPr>
              <w:pStyle w:val="BodyText"/>
              <w:rPr>
                <w:lang w:val="en-NZ"/>
              </w:rPr>
            </w:pPr>
            <w:r w:rsidRPr="002F0DC9">
              <w:rPr>
                <w:rStyle w:val="SpecialBold"/>
              </w:rPr>
              <w:t>Prerequisite units</w:t>
            </w:r>
          </w:p>
        </w:tc>
        <w:tc>
          <w:tcPr>
            <w:tcW w:w="577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DC9">
            <w:pPr>
              <w:pStyle w:val="BodyText"/>
              <w:rPr>
                <w:lang w:val="en-NZ"/>
              </w:rPr>
            </w:pPr>
          </w:p>
        </w:tc>
      </w:tr>
      <w:tr w:rsidTr="00F16A49">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DC9">
            <w:pPr>
              <w:pStyle w:val="BodyText"/>
              <w:rPr>
                <w:lang w:val="en-NZ"/>
              </w:rPr>
            </w:pPr>
          </w:p>
        </w:tc>
      </w:tr>
      <w:tr w:rsidTr="00F16A49">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DC9" w:rsidP="002F0DC9">
            <w:pPr>
              <w:pStyle w:val="BodyText"/>
            </w:pPr>
          </w:p>
        </w:tc>
      </w:tr>
    </w:tbl>
    <w:p w:rsidR="00F16A49" w:rsidP="002F0DC9">
      <w:pPr>
        <w:pStyle w:val="BodyText"/>
      </w:pPr>
    </w:p>
    <w:p w:rsidR="00F16A49" w:rsidP="002F0DC9">
      <w:pPr>
        <w:pStyle w:val="BodyText"/>
      </w:pPr>
    </w:p>
    <w:p w:rsidR="00000000" w:rsidRPr="002F0DC9" w:rsidP="002F0DC9">
      <w:pPr>
        <w:pStyle w:val="Heading1"/>
      </w:pPr>
      <w:bookmarkStart w:id="6" w:name="O_209131"/>
      <w:bookmarkEnd w:id="6"/>
      <w:r w:rsidRPr="002F0DC9">
        <w:t>Employability Skills Information</w:t>
      </w:r>
    </w:p>
    <w:tbl>
      <w:tblPr>
        <w:tblW w:w="0" w:type="auto"/>
        <w:tblLayout w:type="fixed"/>
        <w:tblCellMar>
          <w:left w:w="62" w:type="dxa"/>
          <w:right w:w="62" w:type="dxa"/>
        </w:tblCellMar>
        <w:tblLook w:val="0000"/>
      </w:tblPr>
      <w:tblGrid>
        <w:gridCol w:w="2777"/>
        <w:gridCol w:w="5745"/>
      </w:tblGrid>
      <w:tr w:rsidTr="00F16A49">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DC9">
            <w:pPr>
              <w:pStyle w:val="BodyText"/>
              <w:rPr>
                <w:lang w:val="en-NZ"/>
              </w:rPr>
            </w:pPr>
            <w:r w:rsidRPr="002F0DC9">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DC9" w:rsidP="002F0DC9">
            <w:pPr>
              <w:pStyle w:val="BodyText"/>
            </w:pPr>
            <w:r w:rsidRPr="002F0DC9">
              <w:t>This unit contains employability skills.</w:t>
            </w:r>
          </w:p>
        </w:tc>
      </w:tr>
    </w:tbl>
    <w:p w:rsidR="00F16A49" w:rsidP="002F0DC9">
      <w:pPr>
        <w:pStyle w:val="BodyText"/>
      </w:pPr>
    </w:p>
    <w:p w:rsidR="00F16A49" w:rsidP="002F0DC9">
      <w:pPr>
        <w:pStyle w:val="BodyText"/>
      </w:pPr>
    </w:p>
    <w:p w:rsidR="00000000" w:rsidRPr="002F0DC9" w:rsidP="002F0DC9">
      <w:pPr>
        <w:pStyle w:val="Heading1"/>
      </w:pPr>
      <w:bookmarkStart w:id="7" w:name="O_289859"/>
      <w:bookmarkEnd w:id="7"/>
      <w:r w:rsidRPr="002F0DC9">
        <w:t>Elements and Performance Criteria Pre-Content</w:t>
      </w:r>
    </w:p>
    <w:tbl>
      <w:tblPr>
        <w:tblW w:w="0" w:type="auto"/>
        <w:tblLayout w:type="fixed"/>
        <w:tblCellMar>
          <w:left w:w="62" w:type="dxa"/>
          <w:right w:w="62" w:type="dxa"/>
        </w:tblCellMar>
        <w:tblLook w:val="0000"/>
      </w:tblPr>
      <w:tblGrid>
        <w:gridCol w:w="2578"/>
        <w:gridCol w:w="5944"/>
      </w:tblGrid>
      <w:tr w:rsidTr="00F16A49">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DC9">
            <w:pPr>
              <w:pStyle w:val="BodyText"/>
              <w:rPr>
                <w:lang w:val="en-NZ"/>
              </w:rPr>
            </w:pPr>
            <w:r w:rsidRPr="002F0DC9">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DC9" w:rsidP="002F0DC9">
            <w:pPr>
              <w:pStyle w:val="BodyText"/>
            </w:pPr>
            <w:r w:rsidRPr="002F0DC9">
              <w:t>Performance criteria describe the performance needed to demons</w:t>
            </w:r>
            <w:r w:rsidRPr="002F0DC9">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2F0DC9" w:rsidP="002F0DC9">
      <w:pPr>
        <w:pStyle w:val="BodyText"/>
      </w:pPr>
    </w:p>
    <w:p w:rsidR="00000000" w:rsidRPr="002F0DC9" w:rsidP="002F0DC9">
      <w:pPr>
        <w:pStyle w:val="AllowPageBreak"/>
      </w:pPr>
    </w:p>
    <w:p w:rsidR="00000000" w:rsidRPr="002F0DC9" w:rsidP="002F0DC9">
      <w:pPr>
        <w:pStyle w:val="Heading1"/>
      </w:pPr>
      <w:bookmarkStart w:id="8" w:name="O_236526"/>
      <w:bookmarkEnd w:id="8"/>
      <w:r w:rsidRPr="002F0DC9">
        <w:t>Elements and Performance Criteria</w:t>
      </w:r>
    </w:p>
    <w:tbl>
      <w:tblPr>
        <w:tblW w:w="0" w:type="auto"/>
        <w:tblLayout w:type="fixed"/>
        <w:tblCellMar>
          <w:left w:w="62" w:type="dxa"/>
          <w:right w:w="62" w:type="dxa"/>
        </w:tblCellMar>
        <w:tblLook w:val="0000"/>
      </w:tblPr>
      <w:tblGrid>
        <w:gridCol w:w="2578"/>
        <w:gridCol w:w="5944"/>
      </w:tblGrid>
      <w:tr w:rsidTr="00F16A49">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DC9" w:rsidP="002F0DC9">
            <w:pPr>
              <w:pStyle w:val="BodyText"/>
            </w:pPr>
            <w:r w:rsidRPr="002F0DC9">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DC9">
            <w:pPr>
              <w:pStyle w:val="BodyText"/>
              <w:rPr>
                <w:lang w:val="en-NZ"/>
              </w:rPr>
            </w:pPr>
            <w:r w:rsidRPr="002F0DC9">
              <w:rPr>
                <w:rStyle w:val="SpecialBold"/>
              </w:rPr>
              <w:t>PERFORMANCE CRITERIA</w:t>
            </w:r>
          </w:p>
        </w:tc>
      </w:tr>
      <w:tr w:rsidTr="00F16A49">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F16A49" w:rsidP="002F0DC9">
            <w:pPr>
              <w:pStyle w:val="List"/>
            </w:pPr>
            <w:r w:rsidRPr="002F0DC9">
              <w:t>1.</w:t>
            </w:r>
            <w:r w:rsidRPr="002F0DC9">
              <w:tab/>
              <w:t>Analyse specialised optical device and prepare for integration in the network</w:t>
            </w:r>
          </w:p>
          <w:p w:rsidR="00F16A49" w:rsidP="002F0DC9">
            <w:pPr>
              <w:pStyle w:val="List"/>
            </w:pPr>
          </w:p>
          <w:p w:rsidR="00000000" w:rsidP="002F0DC9">
            <w:pPr>
              <w:pStyle w:val="BodyText"/>
              <w:rPr>
                <w:lang w:val="en-NZ"/>
              </w:rPr>
            </w:pP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DC9" w:rsidP="002F0DC9">
            <w:pPr>
              <w:pStyle w:val="List2"/>
            </w:pPr>
            <w:r w:rsidRPr="002F0DC9">
              <w:t>1.1.</w:t>
            </w:r>
            <w:r w:rsidRPr="002F0DC9">
              <w:tab/>
              <w:t xml:space="preserve">Obtain </w:t>
            </w:r>
            <w:r w:rsidRPr="002F0DC9">
              <w:rPr>
                <w:rStyle w:val="BoldandItalics"/>
              </w:rPr>
              <w:t>relevant legislation</w:t>
            </w:r>
            <w:r w:rsidRPr="002F0DC9">
              <w:t xml:space="preserve">, </w:t>
            </w:r>
            <w:r w:rsidRPr="002F0DC9">
              <w:rPr>
                <w:rStyle w:val="BoldandItalics"/>
              </w:rPr>
              <w:t>codes</w:t>
            </w:r>
            <w:r w:rsidRPr="002F0DC9">
              <w:t xml:space="preserve">, </w:t>
            </w:r>
            <w:r w:rsidRPr="002F0DC9">
              <w:rPr>
                <w:rStyle w:val="BoldandItalics"/>
              </w:rPr>
              <w:t>regulations and standards</w:t>
            </w:r>
            <w:r w:rsidRPr="002F0DC9">
              <w:t xml:space="preserve"> and follow occupational health an</w:t>
            </w:r>
            <w:r w:rsidRPr="002F0DC9">
              <w:t>d safety (</w:t>
            </w:r>
            <w:r w:rsidRPr="002F0DC9">
              <w:rPr>
                <w:rStyle w:val="BoldandItalics"/>
              </w:rPr>
              <w:t>OHS</w:t>
            </w:r>
            <w:r w:rsidRPr="002F0DC9">
              <w:t xml:space="preserve">) </w:t>
            </w:r>
            <w:r w:rsidRPr="002F0DC9">
              <w:rPr>
                <w:rStyle w:val="BoldandItalics"/>
              </w:rPr>
              <w:t>and environmental requirements</w:t>
            </w:r>
            <w:r w:rsidRPr="002F0DC9">
              <w:t xml:space="preserve"> for the project work</w:t>
            </w:r>
          </w:p>
          <w:p w:rsidR="00000000" w:rsidRPr="002F0DC9" w:rsidP="002F0DC9">
            <w:pPr>
              <w:pStyle w:val="List2"/>
            </w:pPr>
            <w:r w:rsidRPr="002F0DC9">
              <w:t>1.2.</w:t>
            </w:r>
            <w:r w:rsidRPr="002F0DC9">
              <w:tab/>
              <w:t xml:space="preserve">Work safely according to relevant safety legislation and company work practices identifying </w:t>
            </w:r>
            <w:r w:rsidRPr="002F0DC9">
              <w:rPr>
                <w:rStyle w:val="BoldandItalics"/>
              </w:rPr>
              <w:t>hazards</w:t>
            </w:r>
            <w:r w:rsidRPr="002F0DC9">
              <w:t xml:space="preserve"> and using </w:t>
            </w:r>
            <w:r w:rsidRPr="002F0DC9">
              <w:rPr>
                <w:rStyle w:val="BoldandItalics"/>
              </w:rPr>
              <w:t>personal protective equipment</w:t>
            </w:r>
            <w:r w:rsidRPr="002F0DC9">
              <w:t xml:space="preserve"> </w:t>
            </w:r>
          </w:p>
          <w:p w:rsidR="00000000" w:rsidRPr="002F0DC9" w:rsidP="002F0DC9">
            <w:pPr>
              <w:pStyle w:val="List2"/>
            </w:pPr>
            <w:r w:rsidRPr="002F0DC9">
              <w:t>1.3.</w:t>
            </w:r>
            <w:r w:rsidRPr="002F0DC9">
              <w:tab/>
              <w:t xml:space="preserve">Obtain plans and drawings of existing </w:t>
            </w:r>
            <w:r w:rsidRPr="002F0DC9">
              <w:rPr>
                <w:rStyle w:val="BoldandItalics"/>
              </w:rPr>
              <w:t>optical network</w:t>
            </w:r>
            <w:r w:rsidRPr="002F0DC9">
              <w:t xml:space="preserve"> from </w:t>
            </w:r>
            <w:r w:rsidRPr="002F0DC9">
              <w:rPr>
                <w:rStyle w:val="BoldandItalics"/>
              </w:rPr>
              <w:t>appropriate person</w:t>
            </w:r>
            <w:r w:rsidRPr="002F0DC9">
              <w:t xml:space="preserve"> and review potential locations for suitability of integrating additional hardware</w:t>
            </w:r>
          </w:p>
          <w:p w:rsidR="00000000" w:rsidRPr="002F0DC9" w:rsidP="002F0DC9">
            <w:pPr>
              <w:pStyle w:val="List2"/>
            </w:pPr>
            <w:r w:rsidRPr="002F0DC9">
              <w:t>1.4.</w:t>
            </w:r>
            <w:r w:rsidRPr="002F0DC9">
              <w:tab/>
              <w:t xml:space="preserve">Analyse and evaluate a range of integration options using device </w:t>
            </w:r>
            <w:r w:rsidRPr="002F0DC9">
              <w:rPr>
                <w:rStyle w:val="BoldandItalics"/>
              </w:rPr>
              <w:t>specifications</w:t>
            </w:r>
            <w:r w:rsidRPr="002F0DC9">
              <w:t xml:space="preserve"> which satisfy the customer's network requirements</w:t>
            </w:r>
          </w:p>
          <w:p w:rsidR="00000000" w:rsidRPr="002F0DC9" w:rsidP="002F0DC9">
            <w:pPr>
              <w:pStyle w:val="List2"/>
            </w:pPr>
            <w:r w:rsidRPr="002F0DC9">
              <w:t>1.5.</w:t>
            </w:r>
            <w:r w:rsidRPr="002F0DC9">
              <w:tab/>
              <w:t>Prepare and submit the business case for adopting the recommended integration solution</w:t>
            </w:r>
          </w:p>
          <w:p w:rsidR="00000000" w:rsidRPr="002F0DC9" w:rsidP="002F0DC9">
            <w:pPr>
              <w:pStyle w:val="List2"/>
            </w:pPr>
            <w:r w:rsidRPr="002F0DC9">
              <w:t>1.6.</w:t>
            </w:r>
            <w:r w:rsidRPr="002F0DC9">
              <w:tab/>
              <w:t xml:space="preserve">Prepare design plan with interconnection details to existing system and </w:t>
            </w:r>
            <w:r w:rsidRPr="002F0DC9">
              <w:rPr>
                <w:rStyle w:val="BoldandItalics"/>
              </w:rPr>
              <w:t>installation options</w:t>
            </w:r>
            <w:r w:rsidRPr="002F0DC9">
              <w:t xml:space="preserve"> and seek approval to proceed from customer</w:t>
            </w:r>
          </w:p>
          <w:p w:rsidR="00000000" w:rsidP="002F0DC9">
            <w:pPr>
              <w:pStyle w:val="List2"/>
              <w:rPr>
                <w:lang w:val="en-NZ"/>
              </w:rPr>
            </w:pPr>
            <w:r w:rsidRPr="002F0DC9">
              <w:t>1.7.</w:t>
            </w:r>
            <w:r w:rsidRPr="002F0DC9">
              <w:tab/>
              <w:t>Undertake an impa</w:t>
            </w:r>
            <w:r w:rsidRPr="002F0DC9">
              <w:t>ct risk assessment of the hardware integration with the network operations centre (NOC) and prepare for contingencies using contingency plan</w:t>
            </w:r>
          </w:p>
        </w:tc>
      </w:tr>
      <w:tr w:rsidTr="00F16A49">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DC9">
            <w:pPr>
              <w:pStyle w:val="List"/>
              <w:rPr>
                <w:lang w:val="en-NZ"/>
              </w:rPr>
            </w:pPr>
            <w:r w:rsidRPr="002F0DC9">
              <w:t>2.</w:t>
            </w:r>
            <w:r w:rsidRPr="002F0DC9">
              <w:tab/>
              <w:t>Integrate the specialised optical device in the network</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DC9" w:rsidP="002F0DC9">
            <w:pPr>
              <w:pStyle w:val="List2"/>
            </w:pPr>
            <w:r w:rsidRPr="002F0DC9">
              <w:t>2.1.</w:t>
            </w:r>
            <w:r w:rsidRPr="002F0DC9">
              <w:tab/>
              <w:t xml:space="preserve">Install and integrate </w:t>
            </w:r>
            <w:r w:rsidRPr="002F0DC9">
              <w:rPr>
                <w:rStyle w:val="BoldandItalics"/>
              </w:rPr>
              <w:t>specialised optical devices</w:t>
            </w:r>
            <w:r w:rsidRPr="002F0DC9">
              <w:t xml:space="preserve"> </w:t>
            </w:r>
            <w:r w:rsidRPr="002F0DC9">
              <w:t>into existing network according to design plan</w:t>
            </w:r>
          </w:p>
          <w:p w:rsidR="00000000" w:rsidP="002F0DC9">
            <w:pPr>
              <w:pStyle w:val="List2"/>
              <w:rPr>
                <w:lang w:val="en-NZ"/>
              </w:rPr>
            </w:pPr>
            <w:r w:rsidRPr="002F0DC9">
              <w:t>2.2.</w:t>
            </w:r>
            <w:r w:rsidRPr="002F0DC9">
              <w:tab/>
              <w:t xml:space="preserve">Test the network and evaluate the results to </w:t>
            </w:r>
            <w:r w:rsidRPr="002F0DC9">
              <w:rPr>
                <w:rStyle w:val="BoldandItalics"/>
              </w:rPr>
              <w:t>verify optical network performance</w:t>
            </w:r>
            <w:r w:rsidRPr="002F0DC9">
              <w:t xml:space="preserve"> with the integrated specialised optical devices in operation</w:t>
            </w:r>
          </w:p>
        </w:tc>
      </w:tr>
      <w:tr w:rsidTr="00F16A49">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DC9">
            <w:pPr>
              <w:pStyle w:val="List"/>
              <w:rPr>
                <w:lang w:val="en-NZ"/>
              </w:rPr>
            </w:pPr>
            <w:r w:rsidRPr="002F0DC9">
              <w:t>3.</w:t>
            </w:r>
            <w:r w:rsidRPr="002F0DC9">
              <w:tab/>
              <w:t xml:space="preserve">Document the integration of the specialised optical device </w:t>
            </w:r>
            <w:r w:rsidRPr="002F0DC9">
              <w:t>in dense wavelength division multiplexing (DWDM) network</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DC9" w:rsidP="002F0DC9">
            <w:pPr>
              <w:pStyle w:val="List2"/>
            </w:pPr>
            <w:r w:rsidRPr="002F0DC9">
              <w:t>3.1.</w:t>
            </w:r>
            <w:r w:rsidRPr="002F0DC9">
              <w:tab/>
              <w:t>Produce an updated design plan and submit to customer with copies filed for later reference according to organisation's policies</w:t>
            </w:r>
          </w:p>
          <w:p w:rsidR="00000000" w:rsidRPr="002F0DC9" w:rsidP="002F0DC9">
            <w:pPr>
              <w:pStyle w:val="List2"/>
            </w:pPr>
            <w:r w:rsidRPr="002F0DC9">
              <w:t>3.2.</w:t>
            </w:r>
            <w:r w:rsidRPr="002F0DC9">
              <w:tab/>
              <w:t>Prepare an evaluation report on the performance of the netwo</w:t>
            </w:r>
            <w:r w:rsidRPr="002F0DC9">
              <w:t>rk with specialised optical devices with recommendations for future enhancements</w:t>
            </w:r>
          </w:p>
          <w:p w:rsidR="00000000" w:rsidRPr="002F0DC9" w:rsidP="002F0DC9">
            <w:pPr>
              <w:pStyle w:val="List2"/>
            </w:pPr>
            <w:r w:rsidRPr="002F0DC9">
              <w:t>3.3.</w:t>
            </w:r>
            <w:r w:rsidRPr="002F0DC9">
              <w:tab/>
              <w:t>Notify NOC of job completion and obtain sign off  from appropriate person</w:t>
            </w:r>
          </w:p>
        </w:tc>
      </w:tr>
    </w:tbl>
    <w:p w:rsidR="00F16A49" w:rsidP="002F0DC9">
      <w:pPr>
        <w:pStyle w:val="BodyText"/>
      </w:pPr>
    </w:p>
    <w:p w:rsidR="00F16A49" w:rsidP="002F0DC9">
      <w:pPr>
        <w:pStyle w:val="BodyText"/>
      </w:pPr>
    </w:p>
    <w:p w:rsidR="00000000" w:rsidRPr="002F0DC9" w:rsidP="002F0DC9">
      <w:pPr>
        <w:pStyle w:val="Heading1"/>
      </w:pPr>
      <w:bookmarkStart w:id="9" w:name="O_260476"/>
      <w:bookmarkEnd w:id="9"/>
      <w:r w:rsidRPr="002F0DC9">
        <w:t>Required Skills and Knowledge</w:t>
      </w:r>
    </w:p>
    <w:tbl>
      <w:tblPr>
        <w:tblW w:w="0" w:type="auto"/>
        <w:tblLayout w:type="fixed"/>
        <w:tblCellMar>
          <w:left w:w="62" w:type="dxa"/>
          <w:right w:w="62" w:type="dxa"/>
        </w:tblCellMar>
        <w:tblLook w:val="0000"/>
      </w:tblPr>
      <w:tblGrid>
        <w:gridCol w:w="8522"/>
      </w:tblGrid>
      <w:tr w:rsidTr="00F16A4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F0DC9">
            <w:pPr>
              <w:pStyle w:val="BodyText"/>
              <w:rPr>
                <w:lang w:val="en-NZ"/>
              </w:rPr>
            </w:pPr>
            <w:r w:rsidRPr="002F0DC9">
              <w:rPr>
                <w:rStyle w:val="SpecialBold"/>
              </w:rPr>
              <w:t>REQUIRED SKILLS AND KNOWLEDGE</w:t>
            </w:r>
          </w:p>
        </w:tc>
      </w:tr>
      <w:tr w:rsidTr="00F16A4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F0DC9">
            <w:pPr>
              <w:pStyle w:val="BodyText"/>
              <w:rPr>
                <w:lang w:val="en-NZ"/>
              </w:rPr>
            </w:pPr>
            <w:r w:rsidRPr="002F0DC9">
              <w:t>This section describes the skills and knowledge required for this unit.</w:t>
            </w:r>
          </w:p>
        </w:tc>
      </w:tr>
      <w:tr w:rsidTr="00F16A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DC9">
            <w:pPr>
              <w:pStyle w:val="BodyText"/>
              <w:rPr>
                <w:lang w:val="en-NZ"/>
              </w:rPr>
            </w:pPr>
            <w:r w:rsidRPr="002F0DC9">
              <w:rPr>
                <w:rStyle w:val="SpecialBold"/>
              </w:rPr>
              <w:t>Required skills</w:t>
            </w:r>
          </w:p>
        </w:tc>
      </w:tr>
      <w:tr w:rsidTr="00F16A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DC9" w:rsidP="002F0DC9">
            <w:pPr>
              <w:pStyle w:val="ListBullet"/>
            </w:pPr>
            <w:r w:rsidRPr="002F0DC9">
              <w:t>analytical skills to evaluate technical information and develop integration options</w:t>
            </w:r>
          </w:p>
          <w:p w:rsidR="00000000" w:rsidRPr="002F0DC9" w:rsidP="002F0DC9">
            <w:pPr>
              <w:pStyle w:val="ListBullet"/>
            </w:pPr>
            <w:r w:rsidRPr="002F0DC9">
              <w:t>communication skills to:</w:t>
            </w:r>
          </w:p>
          <w:p w:rsidR="00000000" w:rsidRPr="002F0DC9" w:rsidP="002F0DC9">
            <w:pPr>
              <w:pStyle w:val="ListBullet2"/>
            </w:pPr>
            <w:r w:rsidRPr="002F0DC9">
              <w:t>liaise with internal and external personnel on technical and operational matters</w:t>
            </w:r>
          </w:p>
          <w:p w:rsidR="00000000" w:rsidRPr="002F0DC9" w:rsidP="002F0DC9">
            <w:pPr>
              <w:pStyle w:val="ListBullet2"/>
            </w:pPr>
            <w:r w:rsidRPr="002F0DC9">
              <w:t>relate to work associates, supervisors, team members and clients</w:t>
            </w:r>
          </w:p>
          <w:p w:rsidR="00000000" w:rsidRPr="002F0DC9" w:rsidP="002F0DC9">
            <w:pPr>
              <w:pStyle w:val="ListBullet"/>
            </w:pPr>
            <w:r w:rsidRPr="002F0DC9">
              <w:t>literacy skills to:</w:t>
            </w:r>
          </w:p>
          <w:p w:rsidR="00000000" w:rsidRPr="002F0DC9" w:rsidP="002F0DC9">
            <w:pPr>
              <w:pStyle w:val="ListBullet2"/>
            </w:pPr>
            <w:r w:rsidRPr="002F0DC9">
              <w:t xml:space="preserve">interpret technical documentation, such as equipment manuals, specifications and service </w:t>
            </w:r>
            <w:r w:rsidRPr="002F0DC9">
              <w:t>orders</w:t>
            </w:r>
          </w:p>
          <w:p w:rsidR="00000000" w:rsidRPr="002F0DC9" w:rsidP="002F0DC9">
            <w:pPr>
              <w:pStyle w:val="ListBullet2"/>
            </w:pPr>
            <w:r w:rsidRPr="002F0DC9">
              <w:t>write reports using standard formats</w:t>
            </w:r>
          </w:p>
          <w:p w:rsidR="00000000" w:rsidRPr="002F0DC9" w:rsidP="002F0DC9">
            <w:pPr>
              <w:pStyle w:val="ListBullet"/>
            </w:pPr>
            <w:r w:rsidRPr="002F0DC9">
              <w:t>numeracy skills to interpret results and evaluate different types of technical data</w:t>
            </w:r>
          </w:p>
          <w:p w:rsidR="00000000" w:rsidRPr="002F0DC9" w:rsidP="002F0DC9">
            <w:pPr>
              <w:pStyle w:val="ListBullet"/>
            </w:pPr>
            <w:r w:rsidRPr="002F0DC9">
              <w:t>planning and organisational skills to plan, prioritise and monitor own work and that of others</w:t>
            </w:r>
          </w:p>
          <w:p w:rsidR="00000000" w:rsidRPr="002F0DC9" w:rsidP="002F0DC9">
            <w:pPr>
              <w:pStyle w:val="ListBullet"/>
            </w:pPr>
            <w:r w:rsidRPr="002F0DC9">
              <w:t>problem solving and contingency m</w:t>
            </w:r>
            <w:r w:rsidRPr="002F0DC9">
              <w:t>anagement skills to:</w:t>
            </w:r>
          </w:p>
          <w:p w:rsidR="00000000" w:rsidRPr="002F0DC9" w:rsidP="002F0DC9">
            <w:pPr>
              <w:pStyle w:val="ListBullet2"/>
            </w:pPr>
            <w:r w:rsidRPr="002F0DC9">
              <w:t xml:space="preserve">adapt testing procedures to requirements of particular situations </w:t>
            </w:r>
          </w:p>
          <w:p w:rsidR="00000000" w:rsidRPr="002F0DC9" w:rsidP="002F0DC9">
            <w:pPr>
              <w:pStyle w:val="ListBullet2"/>
            </w:pPr>
            <w:r w:rsidRPr="002F0DC9">
              <w:t>modify activities depending on operational contingencies, risk situations and environments</w:t>
            </w:r>
          </w:p>
          <w:p w:rsidR="00000000" w:rsidRPr="002F0DC9" w:rsidP="002F0DC9">
            <w:pPr>
              <w:pStyle w:val="ListBullet"/>
            </w:pPr>
            <w:r w:rsidRPr="002F0DC9">
              <w:t>safety awareness skills to:</w:t>
            </w:r>
          </w:p>
          <w:p w:rsidR="00000000" w:rsidRPr="002F0DC9" w:rsidP="002F0DC9">
            <w:pPr>
              <w:pStyle w:val="ListBullet2"/>
            </w:pPr>
            <w:r w:rsidRPr="002F0DC9">
              <w:t>apply precautions and required action to minimi</w:t>
            </w:r>
            <w:r w:rsidRPr="002F0DC9">
              <w:t>se, control or eliminate hazards that may exist during work activities especially when dealing with infra-red laser light</w:t>
            </w:r>
          </w:p>
          <w:p w:rsidR="00000000" w:rsidRPr="002F0DC9" w:rsidP="002F0DC9">
            <w:pPr>
              <w:pStyle w:val="ListBullet2"/>
            </w:pPr>
            <w:r w:rsidRPr="002F0DC9">
              <w:t>select and use required personal protective equipment conforming to industry and OHS standards</w:t>
            </w:r>
          </w:p>
          <w:p w:rsidR="00000000" w:rsidRPr="002F0DC9" w:rsidP="002F0DC9">
            <w:pPr>
              <w:pStyle w:val="ListBullet2"/>
            </w:pPr>
            <w:r w:rsidRPr="002F0DC9">
              <w:t>work systematically with required atten</w:t>
            </w:r>
            <w:r w:rsidRPr="002F0DC9">
              <w:t xml:space="preserve">tion to detail without injury to self or others, or damage to goods or equipment </w:t>
            </w:r>
          </w:p>
          <w:p w:rsidR="00000000" w:rsidRPr="002F0DC9" w:rsidP="002F0DC9">
            <w:pPr>
              <w:pStyle w:val="ListBullet"/>
            </w:pPr>
            <w:r w:rsidRPr="002F0DC9">
              <w:t>technical skills to:</w:t>
            </w:r>
          </w:p>
          <w:p w:rsidR="00000000" w:rsidRPr="002F0DC9" w:rsidP="002F0DC9">
            <w:pPr>
              <w:pStyle w:val="ListBullet2"/>
            </w:pPr>
            <w:r w:rsidRPr="002F0DC9">
              <w:t>backup and restore</w:t>
            </w:r>
          </w:p>
          <w:p w:rsidR="00000000" w:rsidRPr="002F0DC9" w:rsidP="002F0DC9">
            <w:pPr>
              <w:pStyle w:val="ListBullet2"/>
            </w:pPr>
            <w:r w:rsidRPr="002F0DC9">
              <w:t>clean optical fibre connector</w:t>
            </w:r>
          </w:p>
          <w:p w:rsidR="00000000" w:rsidRPr="002F0DC9" w:rsidP="002F0DC9">
            <w:pPr>
              <w:pStyle w:val="ListBullet2"/>
            </w:pPr>
            <w:r w:rsidRPr="002F0DC9">
              <w:t>examine optical fibre connector for contamination and assess whether cleaning is required</w:t>
            </w:r>
          </w:p>
          <w:p w:rsidR="00000000" w:rsidRPr="002F0DC9" w:rsidP="002F0DC9">
            <w:pPr>
              <w:pStyle w:val="ListBullet2"/>
            </w:pPr>
            <w:r w:rsidRPr="002F0DC9">
              <w:t>install softw</w:t>
            </w:r>
            <w:r w:rsidRPr="002F0DC9">
              <w:t>are</w:t>
            </w:r>
          </w:p>
          <w:p w:rsidR="00000000" w:rsidRPr="002F0DC9" w:rsidP="002F0DC9">
            <w:pPr>
              <w:pStyle w:val="ListBullet2"/>
            </w:pPr>
            <w:r w:rsidRPr="002F0DC9">
              <w:t>measure optical power using handheld optical power meter</w:t>
            </w:r>
          </w:p>
          <w:p w:rsidR="00000000" w:rsidRPr="002F0DC9" w:rsidP="002F0DC9">
            <w:pPr>
              <w:pStyle w:val="ListBullet2"/>
            </w:pPr>
            <w:r w:rsidRPr="002F0DC9">
              <w:t xml:space="preserve">measure DC and AC voltages </w:t>
            </w:r>
          </w:p>
          <w:p w:rsidR="00000000" w:rsidRPr="002F0DC9" w:rsidP="002F0DC9">
            <w:pPr>
              <w:pStyle w:val="ListBullet2"/>
            </w:pPr>
            <w:r w:rsidRPr="002F0DC9">
              <w:t>select and use appropriate test equipment</w:t>
            </w:r>
          </w:p>
          <w:p w:rsidR="00000000" w:rsidP="002F0DC9">
            <w:pPr>
              <w:pStyle w:val="ListBullet2"/>
              <w:rPr>
                <w:lang w:val="en-NZ"/>
              </w:rPr>
            </w:pPr>
            <w:r w:rsidRPr="002F0DC9">
              <w:t>setup internet protocol (IP) addresses and subnet masks</w:t>
            </w:r>
          </w:p>
        </w:tc>
      </w:tr>
      <w:tr w:rsidTr="00F16A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DC9">
            <w:pPr>
              <w:pStyle w:val="BodyText"/>
              <w:rPr>
                <w:lang w:val="en-NZ"/>
              </w:rPr>
            </w:pPr>
            <w:r w:rsidRPr="002F0DC9">
              <w:rPr>
                <w:rStyle w:val="SpecialBold"/>
              </w:rPr>
              <w:t>Required knowledge</w:t>
            </w:r>
          </w:p>
        </w:tc>
      </w:tr>
      <w:tr w:rsidTr="00F16A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DC9" w:rsidP="002F0DC9">
            <w:pPr>
              <w:pStyle w:val="ListBullet"/>
            </w:pPr>
            <w:r w:rsidRPr="002F0DC9">
              <w:t>attenuation characteristics of optical fibres</w:t>
            </w:r>
          </w:p>
          <w:p w:rsidR="00000000" w:rsidRPr="002F0DC9" w:rsidP="002F0DC9">
            <w:pPr>
              <w:pStyle w:val="ListBullet"/>
            </w:pPr>
            <w:r w:rsidRPr="002F0DC9">
              <w:t>DWDM principles of operation</w:t>
            </w:r>
          </w:p>
          <w:p w:rsidR="00000000" w:rsidRPr="002F0DC9" w:rsidP="002F0DC9">
            <w:pPr>
              <w:pStyle w:val="ListBullet"/>
            </w:pPr>
            <w:r w:rsidRPr="002F0DC9">
              <w:t>features and operating requirements of test equipment, including:</w:t>
            </w:r>
          </w:p>
          <w:p w:rsidR="00000000" w:rsidRPr="002F0DC9" w:rsidP="002F0DC9">
            <w:pPr>
              <w:pStyle w:val="ListBullet2"/>
            </w:pPr>
            <w:r w:rsidRPr="002F0DC9">
              <w:t>hand-held optical power meter</w:t>
            </w:r>
          </w:p>
          <w:p w:rsidR="00000000" w:rsidRPr="002F0DC9" w:rsidP="002F0DC9">
            <w:pPr>
              <w:pStyle w:val="ListBullet2"/>
            </w:pPr>
            <w:r w:rsidRPr="002F0DC9">
              <w:t>optical spectrum analyser</w:t>
            </w:r>
          </w:p>
          <w:p w:rsidR="00000000" w:rsidRPr="002F0DC9" w:rsidP="002F0DC9">
            <w:pPr>
              <w:pStyle w:val="ListBullet2"/>
            </w:pPr>
            <w:r w:rsidRPr="002F0DC9">
              <w:t xml:space="preserve">transmission test set </w:t>
            </w:r>
          </w:p>
          <w:p w:rsidR="00000000" w:rsidRPr="002F0DC9" w:rsidP="002F0DC9">
            <w:pPr>
              <w:pStyle w:val="ListBullet"/>
            </w:pPr>
            <w:r w:rsidRPr="002F0DC9">
              <w:t>dispersion characteristics of optical fibres</w:t>
            </w:r>
          </w:p>
          <w:p w:rsidR="00000000" w:rsidRPr="002F0DC9" w:rsidP="002F0DC9">
            <w:pPr>
              <w:pStyle w:val="ListBullet"/>
            </w:pPr>
            <w:r w:rsidRPr="002F0DC9">
              <w:t>dispersion compensation devices</w:t>
            </w:r>
          </w:p>
          <w:p w:rsidR="00000000" w:rsidRPr="002F0DC9" w:rsidP="002F0DC9">
            <w:pPr>
              <w:pStyle w:val="ListBullet"/>
            </w:pPr>
            <w:r w:rsidRPr="002F0DC9">
              <w:t>electrostatic discharge precaution</w:t>
            </w:r>
          </w:p>
          <w:p w:rsidR="00000000" w:rsidRPr="002F0DC9" w:rsidP="002F0DC9">
            <w:pPr>
              <w:pStyle w:val="ListBullet"/>
            </w:pPr>
            <w:r w:rsidRPr="002F0DC9">
              <w:t>functions of optical add drop multiplexer (OADM) and reconfigurable optical add-drop multiplexer (ROADM)</w:t>
            </w:r>
          </w:p>
          <w:p w:rsidR="00000000" w:rsidRPr="002F0DC9" w:rsidP="002F0DC9">
            <w:pPr>
              <w:pStyle w:val="ListBullet"/>
            </w:pPr>
            <w:r w:rsidRPr="002F0DC9">
              <w:t>gain equalisation</w:t>
            </w:r>
          </w:p>
          <w:p w:rsidR="00000000" w:rsidRPr="002F0DC9" w:rsidP="002F0DC9">
            <w:pPr>
              <w:pStyle w:val="ListBullet"/>
            </w:pPr>
            <w:r w:rsidRPr="002F0DC9">
              <w:t>International Telecommunications Union (ITU) wavelength grid for DWDM</w:t>
            </w:r>
          </w:p>
          <w:p w:rsidR="00000000" w:rsidRPr="002F0DC9" w:rsidP="002F0DC9">
            <w:pPr>
              <w:pStyle w:val="ListBullet"/>
            </w:pPr>
            <w:r w:rsidRPr="002F0DC9">
              <w:t>measurement of dispersion</w:t>
            </w:r>
          </w:p>
          <w:p w:rsidR="00000000" w:rsidRPr="002F0DC9" w:rsidP="002F0DC9">
            <w:pPr>
              <w:pStyle w:val="ListBullet"/>
            </w:pPr>
            <w:r w:rsidRPr="002F0DC9">
              <w:t>op</w:t>
            </w:r>
            <w:r w:rsidRPr="002F0DC9">
              <w:t>tical amplifier operation</w:t>
            </w:r>
          </w:p>
          <w:p w:rsidR="00000000" w:rsidRPr="002F0DC9" w:rsidP="002F0DC9">
            <w:pPr>
              <w:pStyle w:val="ListBullet"/>
            </w:pPr>
            <w:r w:rsidRPr="002F0DC9">
              <w:t>optical fibre connector types and characteristics</w:t>
            </w:r>
          </w:p>
          <w:p w:rsidR="00000000" w:rsidRPr="002F0DC9" w:rsidP="002F0DC9">
            <w:pPr>
              <w:pStyle w:val="ListBullet"/>
            </w:pPr>
            <w:r w:rsidRPr="002F0DC9">
              <w:t>optical fibre types and characteristics</w:t>
            </w:r>
          </w:p>
          <w:p w:rsidR="00000000" w:rsidRPr="002F0DC9" w:rsidP="002F0DC9">
            <w:pPr>
              <w:pStyle w:val="ListBullet"/>
            </w:pPr>
            <w:r w:rsidRPr="002F0DC9">
              <w:t>optical return loss (ORL)</w:t>
            </w:r>
          </w:p>
          <w:p w:rsidR="00000000" w:rsidRPr="002F0DC9" w:rsidP="002F0DC9">
            <w:pPr>
              <w:pStyle w:val="ListBullet"/>
            </w:pPr>
            <w:r w:rsidRPr="002F0DC9">
              <w:t>path protection and protection switching</w:t>
            </w:r>
          </w:p>
          <w:p w:rsidR="00000000" w:rsidRPr="002F0DC9" w:rsidP="002F0DC9">
            <w:pPr>
              <w:pStyle w:val="ListBullet"/>
            </w:pPr>
            <w:r w:rsidRPr="002F0DC9">
              <w:t>protocols used on optical DWDM systems</w:t>
            </w:r>
          </w:p>
          <w:p w:rsidR="00000000" w:rsidRPr="002F0DC9" w:rsidP="002F0DC9">
            <w:pPr>
              <w:pStyle w:val="ListBullet"/>
            </w:pPr>
            <w:r w:rsidRPr="002F0DC9">
              <w:t>reflectance</w:t>
            </w:r>
          </w:p>
          <w:p w:rsidR="00000000" w:rsidRPr="002F0DC9" w:rsidP="002F0DC9">
            <w:pPr>
              <w:pStyle w:val="ListBullet"/>
            </w:pPr>
            <w:r w:rsidRPr="002F0DC9">
              <w:t>ring topologies and li</w:t>
            </w:r>
            <w:r w:rsidRPr="002F0DC9">
              <w:t>near network topologies</w:t>
            </w:r>
          </w:p>
          <w:p w:rsidR="00000000" w:rsidRPr="002F0DC9" w:rsidP="002F0DC9">
            <w:pPr>
              <w:pStyle w:val="ListBullet"/>
            </w:pPr>
            <w:r w:rsidRPr="002F0DC9">
              <w:t>specific OHS requirements that impact on the safe inspection of optical connectors and the safe measurement of optical power from laser transmission systems</w:t>
            </w:r>
          </w:p>
          <w:p w:rsidR="00000000" w:rsidRPr="002F0DC9" w:rsidP="002F0DC9">
            <w:pPr>
              <w:pStyle w:val="ListBullet"/>
            </w:pPr>
            <w:r w:rsidRPr="002F0DC9">
              <w:t>tunable laser sources and their characteristics</w:t>
            </w:r>
          </w:p>
        </w:tc>
      </w:tr>
    </w:tbl>
    <w:p w:rsidR="00F16A49" w:rsidP="002F0DC9">
      <w:pPr>
        <w:pStyle w:val="BodyText"/>
      </w:pPr>
    </w:p>
    <w:p w:rsidR="00F16A49" w:rsidP="002F0DC9">
      <w:pPr>
        <w:pStyle w:val="BodyText"/>
      </w:pPr>
    </w:p>
    <w:p w:rsidR="00000000" w:rsidRPr="002F0DC9" w:rsidP="002F0DC9">
      <w:pPr>
        <w:pStyle w:val="AllowPageBreak"/>
      </w:pPr>
    </w:p>
    <w:p w:rsidR="00000000" w:rsidRPr="002F0DC9" w:rsidP="002F0DC9">
      <w:pPr>
        <w:pStyle w:val="Heading1"/>
      </w:pPr>
      <w:bookmarkStart w:id="10" w:name="O_244510"/>
      <w:bookmarkEnd w:id="10"/>
      <w:r w:rsidRPr="002F0DC9">
        <w:t>Evidence Guide</w:t>
      </w:r>
    </w:p>
    <w:tbl>
      <w:tblPr>
        <w:tblW w:w="9570" w:type="dxa"/>
        <w:tblLayout w:type="fixed"/>
        <w:tblCellMar>
          <w:left w:w="62" w:type="dxa"/>
          <w:right w:w="62" w:type="dxa"/>
        </w:tblCellMar>
        <w:tblLook w:val="0000"/>
      </w:tblPr>
      <w:tblGrid>
        <w:gridCol w:w="3908"/>
        <w:gridCol w:w="5662"/>
      </w:tblGrid>
      <w:tr w:rsidTr="00F16A4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DC9">
            <w:pPr>
              <w:pStyle w:val="BodyText"/>
              <w:rPr>
                <w:lang w:val="en-NZ"/>
              </w:rPr>
            </w:pPr>
            <w:r w:rsidRPr="002F0DC9">
              <w:rPr>
                <w:rStyle w:val="SpecialBold"/>
              </w:rPr>
              <w:t>EVIDENCE GUIDE</w:t>
            </w:r>
          </w:p>
        </w:tc>
      </w:tr>
      <w:tr w:rsidTr="00F16A4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DC9">
            <w:pPr>
              <w:pStyle w:val="BodyText"/>
              <w:rPr>
                <w:lang w:val="en-NZ"/>
              </w:rPr>
            </w:pPr>
            <w:r w:rsidRPr="002F0DC9">
              <w:t>The evidence guide provides advice on assessment and must be read in conjunction with the performance criteria, required skills and knowledge, range statement and the Assessment Guidelines for the Training Pa</w:t>
            </w:r>
            <w:r w:rsidRPr="002F0DC9">
              <w:t>ckage.</w:t>
            </w:r>
          </w:p>
        </w:tc>
      </w:tr>
      <w:tr w:rsidTr="00F16A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DC9">
            <w:pPr>
              <w:pStyle w:val="BodyText"/>
              <w:rPr>
                <w:lang w:val="en-NZ"/>
              </w:rPr>
            </w:pPr>
            <w:r w:rsidRPr="002F0DC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DC9">
            <w:pPr>
              <w:pStyle w:val="BodyText"/>
              <w:rPr>
                <w:lang w:val="en-NZ"/>
              </w:rPr>
            </w:pPr>
          </w:p>
        </w:tc>
      </w:tr>
      <w:tr w:rsidTr="00F16A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DC9">
            <w:pPr>
              <w:pStyle w:val="BodyText"/>
              <w:rPr>
                <w:lang w:val="en-NZ"/>
              </w:rPr>
            </w:pPr>
            <w:r w:rsidRPr="002F0DC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DC9" w:rsidP="002F0DC9">
            <w:pPr>
              <w:pStyle w:val="BodyText"/>
            </w:pPr>
            <w:r w:rsidRPr="002F0DC9">
              <w:t>Evidence of the ability to:</w:t>
            </w:r>
          </w:p>
          <w:p w:rsidR="00000000" w:rsidRPr="002F0DC9" w:rsidP="002F0DC9">
            <w:pPr>
              <w:pStyle w:val="ListBullet"/>
            </w:pPr>
            <w:r w:rsidRPr="002F0DC9">
              <w:t>analyse a specialised optical device and prepare a design to integrate it with a network</w:t>
            </w:r>
          </w:p>
          <w:p w:rsidR="00000000" w:rsidRPr="002F0DC9" w:rsidP="002F0DC9">
            <w:pPr>
              <w:pStyle w:val="ListBullet"/>
            </w:pPr>
            <w:r w:rsidRPr="002F0DC9">
              <w:t>integrate and test the device</w:t>
            </w:r>
          </w:p>
          <w:p w:rsidR="00000000" w:rsidRPr="002F0DC9" w:rsidP="002F0DC9">
            <w:pPr>
              <w:pStyle w:val="ListBullet"/>
            </w:pPr>
            <w:r w:rsidRPr="002F0DC9">
              <w:t>document the integration to the network and recommend enhancements</w:t>
            </w:r>
          </w:p>
          <w:p w:rsidR="00000000" w:rsidP="002F0DC9">
            <w:pPr>
              <w:pStyle w:val="ListBullet"/>
              <w:rPr>
                <w:lang w:val="en-NZ"/>
              </w:rPr>
            </w:pPr>
            <w:r w:rsidRPr="002F0DC9">
              <w:t>comply with all related OHS requirements and work practices.</w:t>
            </w:r>
          </w:p>
        </w:tc>
      </w:tr>
      <w:tr w:rsidTr="00F16A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DC9">
            <w:pPr>
              <w:pStyle w:val="BodyText"/>
              <w:rPr>
                <w:lang w:val="en-NZ"/>
              </w:rPr>
            </w:pPr>
            <w:r w:rsidRPr="002F0DC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DC9" w:rsidP="002F0DC9">
            <w:pPr>
              <w:pStyle w:val="BodyText"/>
            </w:pPr>
            <w:r w:rsidRPr="002F0DC9">
              <w:t>Assessment must ensure:</w:t>
            </w:r>
          </w:p>
          <w:p w:rsidR="00000000" w:rsidRPr="002F0DC9" w:rsidP="002F0DC9">
            <w:pPr>
              <w:pStyle w:val="ListBullet"/>
            </w:pPr>
            <w:r w:rsidRPr="002F0DC9">
              <w:t>sites on which specialis</w:t>
            </w:r>
            <w:r w:rsidRPr="002F0DC9">
              <w:t xml:space="preserve">ed optical device can be integrated </w:t>
            </w:r>
          </w:p>
          <w:p w:rsidR="00000000" w:rsidRPr="002F0DC9" w:rsidP="002F0DC9">
            <w:pPr>
              <w:pStyle w:val="ListBullet"/>
            </w:pPr>
            <w:r w:rsidRPr="002F0DC9">
              <w:t>use of test equipment currently used in industry</w:t>
            </w:r>
          </w:p>
          <w:p w:rsidR="00000000" w:rsidP="002F0DC9">
            <w:pPr>
              <w:pStyle w:val="ListBullet"/>
              <w:rPr>
                <w:lang w:val="en-NZ"/>
              </w:rPr>
            </w:pPr>
            <w:r w:rsidRPr="002F0DC9">
              <w:t>manufacturer's technical documentation, legislation, codes and standards.</w:t>
            </w:r>
          </w:p>
        </w:tc>
      </w:tr>
      <w:tr w:rsidTr="00F16A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DC9">
            <w:pPr>
              <w:pStyle w:val="BodyText"/>
              <w:rPr>
                <w:lang w:val="en-NZ"/>
              </w:rPr>
            </w:pPr>
            <w:r w:rsidRPr="002F0DC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DC9" w:rsidP="002F0DC9">
            <w:pPr>
              <w:pStyle w:val="BodyText"/>
            </w:pPr>
            <w:r w:rsidRPr="002F0DC9">
              <w:t>A range of assessment methods should be used to assess practical skills an</w:t>
            </w:r>
            <w:r w:rsidRPr="002F0DC9">
              <w:t>d knowledge. The following examples are appropriate for this unit:</w:t>
            </w:r>
          </w:p>
          <w:p w:rsidR="00000000" w:rsidRPr="002F0DC9" w:rsidP="002F0DC9">
            <w:pPr>
              <w:pStyle w:val="ListBullet"/>
            </w:pPr>
            <w:r w:rsidRPr="002F0DC9">
              <w:t>direct observation of the candidate performing integration</w:t>
            </w:r>
          </w:p>
          <w:p w:rsidR="00000000" w:rsidRPr="002F0DC9" w:rsidP="002F0DC9">
            <w:pPr>
              <w:pStyle w:val="ListBullet"/>
            </w:pPr>
            <w:r w:rsidRPr="002F0DC9">
              <w:t xml:space="preserve">review of test documentation and reports completed by the candidate </w:t>
            </w:r>
          </w:p>
          <w:p w:rsidR="00000000" w:rsidP="002F0DC9">
            <w:pPr>
              <w:pStyle w:val="ListBullet"/>
              <w:rPr>
                <w:lang w:val="en-NZ"/>
              </w:rPr>
            </w:pPr>
            <w:r w:rsidRPr="002F0DC9">
              <w:t>oral or written questioning to assess required knowledge  and</w:t>
            </w:r>
            <w:r w:rsidRPr="002F0DC9">
              <w:t xml:space="preserve"> skill.</w:t>
            </w:r>
          </w:p>
        </w:tc>
      </w:tr>
      <w:tr w:rsidTr="00F16A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DC9">
            <w:pPr>
              <w:pStyle w:val="BodyText"/>
              <w:rPr>
                <w:lang w:val="en-NZ"/>
              </w:rPr>
            </w:pPr>
            <w:r w:rsidRPr="002F0DC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DC9" w:rsidP="002F0DC9">
            <w:pPr>
              <w:pStyle w:val="BodyText"/>
            </w:pPr>
            <w:r w:rsidRPr="002F0DC9">
              <w:t>Holistic assessment with other units relevant to the industry sector, workplace and job role is recommended, for example:</w:t>
            </w:r>
          </w:p>
          <w:p w:rsidR="00000000" w:rsidRPr="002F0DC9" w:rsidP="002F0DC9">
            <w:pPr>
              <w:pStyle w:val="ListBullet"/>
            </w:pPr>
            <w:r w:rsidRPr="002F0DC9">
              <w:t>ICTOPN5118A Plan and configure dense wavelength division multiplexing systems</w:t>
            </w:r>
          </w:p>
          <w:p w:rsidR="00000000" w:rsidRPr="002F0DC9" w:rsidP="002F0DC9">
            <w:pPr>
              <w:pStyle w:val="ListBullet"/>
            </w:pPr>
            <w:r w:rsidRPr="002F0DC9">
              <w:t>ICTOPN5119A Perform acceptance and commissioning test on optical network</w:t>
            </w:r>
          </w:p>
          <w:p w:rsidR="00000000" w:rsidRPr="002F0DC9" w:rsidP="002F0DC9">
            <w:pPr>
              <w:pStyle w:val="ListBullet"/>
            </w:pPr>
            <w:r w:rsidRPr="002F0DC9">
              <w:t>ICTOPN5120A Plan for an optical system upgrade and cut over</w:t>
            </w:r>
          </w:p>
          <w:p w:rsidR="00000000" w:rsidRPr="002F0DC9" w:rsidP="002F0DC9">
            <w:pPr>
              <w:pStyle w:val="ListBullet"/>
            </w:pPr>
            <w:r w:rsidRPr="002F0DC9">
              <w:t>ICTOPN5122A Test the performance of specialised optical devices.</w:t>
            </w:r>
          </w:p>
          <w:p w:rsidR="00000000" w:rsidRPr="002F0DC9" w:rsidP="002F0DC9">
            <w:pPr>
              <w:pStyle w:val="BodyText"/>
            </w:pPr>
          </w:p>
          <w:p w:rsidR="00000000" w:rsidRPr="002F0DC9" w:rsidP="002F0DC9">
            <w:pPr>
              <w:pStyle w:val="BodyText"/>
            </w:pPr>
            <w:r w:rsidRPr="002F0DC9">
              <w:t>Aboriginal people and other people from a non-English spe</w:t>
            </w:r>
            <w:r w:rsidRPr="002F0DC9">
              <w:t>aking background may have second language issues.</w:t>
            </w:r>
          </w:p>
          <w:p w:rsidR="00000000" w:rsidRPr="002F0DC9" w:rsidP="002F0DC9">
            <w:pPr>
              <w:pStyle w:val="BodyText"/>
            </w:pPr>
          </w:p>
          <w:p w:rsidR="00000000" w:rsidRPr="002F0DC9" w:rsidP="002F0DC9">
            <w:pPr>
              <w:pStyle w:val="BodyText"/>
            </w:pPr>
            <w:r w:rsidRPr="002F0DC9">
              <w:t xml:space="preserve">Access must be provided to appropriate learning and assessment support when required. </w:t>
            </w:r>
          </w:p>
          <w:p w:rsidR="00000000" w:rsidRPr="002F0DC9" w:rsidP="002F0DC9">
            <w:pPr>
              <w:pStyle w:val="BodyText"/>
            </w:pPr>
          </w:p>
          <w:p w:rsidR="00000000" w:rsidRPr="002F0DC9" w:rsidP="002F0DC9">
            <w:pPr>
              <w:pStyle w:val="BodyText"/>
            </w:pPr>
            <w:r w:rsidRPr="002F0DC9">
              <w:t>Assessment processes and techniques must be culturally appropriate, and appropriate to the oral communication skill l</w:t>
            </w:r>
            <w:r w:rsidRPr="002F0DC9">
              <w:t>evel, and language and literacy capacity of the candidate and the work being performed.</w:t>
            </w:r>
          </w:p>
          <w:p w:rsidR="00000000" w:rsidRPr="002F0DC9" w:rsidP="002F0DC9">
            <w:pPr>
              <w:pStyle w:val="BodyText"/>
            </w:pPr>
          </w:p>
          <w:p w:rsidR="00000000" w:rsidRPr="002F0DC9" w:rsidP="002F0DC9">
            <w:pPr>
              <w:pStyle w:val="BodyText"/>
            </w:pPr>
            <w:r w:rsidRPr="002F0DC9">
              <w:t>In all cases where practical assessment is used it will be combined with targeted questioning to assess required knowledge. Questioning techniques should not require l</w:t>
            </w:r>
            <w:r w:rsidRPr="002F0DC9">
              <w:t xml:space="preserve">anguage, literacy and numeracy skills beyond those required in this unit of competency. </w:t>
            </w:r>
          </w:p>
          <w:p w:rsidR="00000000" w:rsidRPr="002F0DC9" w:rsidP="002F0DC9">
            <w:pPr>
              <w:pStyle w:val="BodyText"/>
            </w:pPr>
          </w:p>
          <w:p w:rsidR="00000000" w:rsidRPr="002F0DC9" w:rsidP="002F0DC9">
            <w:pPr>
              <w:pStyle w:val="BodyText"/>
            </w:pPr>
            <w:r w:rsidRPr="002F0DC9">
              <w:t>Where applicable, physical resources should include equipment modified for people with special needs.</w:t>
            </w:r>
          </w:p>
          <w:p w:rsidR="00000000" w:rsidRPr="002F0DC9" w:rsidP="002F0DC9">
            <w:pPr>
              <w:pStyle w:val="BodyText"/>
            </w:pPr>
          </w:p>
        </w:tc>
      </w:tr>
    </w:tbl>
    <w:p w:rsidR="00F16A49" w:rsidP="002F0DC9">
      <w:pPr>
        <w:pStyle w:val="BodyText"/>
      </w:pPr>
    </w:p>
    <w:p w:rsidR="00F16A49" w:rsidP="002F0DC9">
      <w:pPr>
        <w:pStyle w:val="BodyText"/>
      </w:pPr>
    </w:p>
    <w:p w:rsidR="00000000" w:rsidRPr="002F0DC9" w:rsidP="002F0DC9">
      <w:pPr>
        <w:pStyle w:val="Heading1"/>
      </w:pPr>
      <w:bookmarkStart w:id="11" w:name="O_252493"/>
      <w:bookmarkEnd w:id="11"/>
      <w:r w:rsidRPr="002F0DC9">
        <w:t>Range Statement</w:t>
      </w:r>
    </w:p>
    <w:tbl>
      <w:tblPr>
        <w:tblW w:w="0" w:type="auto"/>
        <w:tblLayout w:type="fixed"/>
        <w:tblCellMar>
          <w:left w:w="62" w:type="dxa"/>
          <w:right w:w="62" w:type="dxa"/>
        </w:tblCellMar>
        <w:tblLook w:val="0000"/>
      </w:tblPr>
      <w:tblGrid>
        <w:gridCol w:w="3429"/>
        <w:gridCol w:w="5093"/>
      </w:tblGrid>
      <w:tr w:rsidTr="00F16A4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DC9">
            <w:pPr>
              <w:pStyle w:val="BodyText"/>
              <w:rPr>
                <w:lang w:val="en-NZ"/>
              </w:rPr>
            </w:pPr>
            <w:r w:rsidRPr="002F0DC9">
              <w:rPr>
                <w:rStyle w:val="SpecialBold"/>
              </w:rPr>
              <w:t>RANGE STATEMENT</w:t>
            </w:r>
          </w:p>
        </w:tc>
      </w:tr>
      <w:tr w:rsidTr="00F16A4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DC9">
            <w:pPr>
              <w:pStyle w:val="BodyText"/>
              <w:rPr>
                <w:lang w:val="en-NZ"/>
              </w:rPr>
            </w:pPr>
            <w:r w:rsidRPr="002F0DC9">
              <w:t>The range statement relates to the unit of competency as a whole. It allows for different work environments and situations that may affect performance. Bold italicised wording, if used in the performance criteria, is detailed below. Essential operating con</w:t>
            </w:r>
            <w:r w:rsidRPr="002F0DC9">
              <w:t>ditions that may be present with training and assessment (depending on the work situation, needs of the candidate, accessibility of the item, and local industry and regional contexts) may also be included.</w:t>
            </w:r>
          </w:p>
        </w:tc>
      </w:tr>
      <w:tr w:rsidTr="00F16A49">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DC9">
            <w:pPr>
              <w:pStyle w:val="BodyText"/>
              <w:rPr>
                <w:lang w:val="en-NZ"/>
              </w:rPr>
            </w:pPr>
            <w:r w:rsidRPr="002F0DC9">
              <w:rPr>
                <w:rStyle w:val="BoldandItalics"/>
              </w:rPr>
              <w:t>Relevant legislation</w:t>
            </w:r>
            <w:r w:rsidRPr="002F0DC9">
              <w:t xml:space="preserve">, </w:t>
            </w:r>
            <w:r w:rsidRPr="002F0DC9">
              <w:rPr>
                <w:rStyle w:val="BoldandItalics"/>
              </w:rPr>
              <w:t>codes</w:t>
            </w:r>
            <w:r w:rsidRPr="002F0DC9">
              <w:t xml:space="preserve">, </w:t>
            </w:r>
            <w:r w:rsidRPr="002F0DC9">
              <w:rPr>
                <w:rStyle w:val="BoldandItalics"/>
              </w:rPr>
              <w:t>regulations and sta</w:t>
            </w:r>
            <w:r w:rsidRPr="002F0DC9">
              <w:rPr>
                <w:rStyle w:val="BoldandItalics"/>
              </w:rPr>
              <w:t>ndards</w:t>
            </w:r>
            <w:r w:rsidRPr="002F0DC9">
              <w:t xml:space="preserve">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DC9" w:rsidP="002F0DC9">
            <w:pPr>
              <w:pStyle w:val="ListBullet"/>
            </w:pPr>
            <w:r w:rsidRPr="002F0DC9">
              <w:t>Australian Communications Industry Forum (ACIF) standards and codes</w:t>
            </w:r>
          </w:p>
          <w:p w:rsidR="00000000" w:rsidRPr="002F0DC9" w:rsidP="002F0DC9">
            <w:pPr>
              <w:pStyle w:val="ListBullet"/>
            </w:pPr>
            <w:r w:rsidRPr="002F0DC9">
              <w:t>AS Communications Cabling Manual (CCM) Volume 1</w:t>
            </w:r>
          </w:p>
          <w:p w:rsidR="00000000" w:rsidRPr="002F0DC9" w:rsidP="002F0DC9">
            <w:pPr>
              <w:pStyle w:val="ListBullet"/>
            </w:pPr>
            <w:r w:rsidRPr="002F0DC9">
              <w:t>Australian building codes and regulations</w:t>
            </w:r>
          </w:p>
          <w:p w:rsidR="00000000" w:rsidRPr="002F0DC9" w:rsidP="002F0DC9">
            <w:pPr>
              <w:pStyle w:val="ListBullet"/>
            </w:pPr>
            <w:r w:rsidRPr="002F0DC9">
              <w:t xml:space="preserve">compliance with appropriate Australian Communications and Media Authority (ACMA) technical standard requirements for underground, aerial, Category 5 or Category 6, 6A, 7 or 7A, and unshielded twisted pairs (UTP) </w:t>
            </w:r>
          </w:p>
          <w:p w:rsidR="00000000" w:rsidRPr="002F0DC9" w:rsidP="002F0DC9">
            <w:pPr>
              <w:pStyle w:val="ListBullet"/>
            </w:pPr>
            <w:r w:rsidRPr="002F0DC9">
              <w:t>Environmental Protection Acts</w:t>
            </w:r>
          </w:p>
          <w:p w:rsidR="00000000" w:rsidRPr="002F0DC9" w:rsidP="002F0DC9">
            <w:pPr>
              <w:pStyle w:val="ListBullet"/>
            </w:pPr>
            <w:r w:rsidRPr="002F0DC9">
              <w:t>fire regulati</w:t>
            </w:r>
            <w:r w:rsidRPr="002F0DC9">
              <w:t>ons</w:t>
            </w:r>
          </w:p>
          <w:p w:rsidR="00000000" w:rsidRPr="002F0DC9" w:rsidP="002F0DC9">
            <w:pPr>
              <w:pStyle w:val="ListBullet"/>
            </w:pPr>
            <w:r w:rsidRPr="002F0DC9">
              <w:t>Institute of Electrical and Electronics Engineers (IEEE) standards</w:t>
            </w:r>
          </w:p>
          <w:p w:rsidR="00000000" w:rsidRPr="002F0DC9" w:rsidP="002F0DC9">
            <w:pPr>
              <w:pStyle w:val="ListBullet"/>
            </w:pPr>
            <w:r w:rsidRPr="002F0DC9">
              <w:t>OHS</w:t>
            </w:r>
          </w:p>
          <w:p w:rsidR="00000000" w:rsidRPr="002F0DC9" w:rsidP="002F0DC9">
            <w:pPr>
              <w:pStyle w:val="ListBullet"/>
            </w:pPr>
            <w:r w:rsidRPr="002F0DC9">
              <w:t>relevant international standards</w:t>
            </w:r>
          </w:p>
          <w:p w:rsidR="00000000" w:rsidP="002F0DC9">
            <w:pPr>
              <w:pStyle w:val="ListBullet"/>
              <w:rPr>
                <w:lang w:val="en-NZ"/>
              </w:rPr>
            </w:pPr>
            <w:r w:rsidRPr="002F0DC9">
              <w:t>technical standards AS/ACIF S008:2006 and AS/ACIF S009:2006.</w:t>
            </w:r>
          </w:p>
        </w:tc>
      </w:tr>
      <w:tr w:rsidTr="00F16A49">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DC9">
            <w:pPr>
              <w:pStyle w:val="BodyText"/>
              <w:rPr>
                <w:lang w:val="en-NZ"/>
              </w:rPr>
            </w:pPr>
            <w:r w:rsidRPr="002F0DC9">
              <w:rPr>
                <w:rStyle w:val="BoldandItalics"/>
              </w:rPr>
              <w:t>OHS and environmental requirements</w:t>
            </w:r>
            <w:r w:rsidRPr="002F0DC9">
              <w:t xml:space="preserve"> may relate to:</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DC9" w:rsidP="002F0DC9">
            <w:pPr>
              <w:pStyle w:val="ListBullet"/>
            </w:pPr>
            <w:r w:rsidRPr="002F0DC9">
              <w:t>decommissioning and isolating work s</w:t>
            </w:r>
            <w:r w:rsidRPr="002F0DC9">
              <w:t>ite and lines prior to commencement</w:t>
            </w:r>
          </w:p>
          <w:p w:rsidR="00000000" w:rsidRPr="002F0DC9" w:rsidP="002F0DC9">
            <w:pPr>
              <w:pStyle w:val="ListBullet"/>
            </w:pPr>
            <w:r w:rsidRPr="002F0DC9">
              <w:t>flashing lights</w:t>
            </w:r>
          </w:p>
          <w:p w:rsidR="00000000" w:rsidRPr="002F0DC9" w:rsidP="002F0DC9">
            <w:pPr>
              <w:pStyle w:val="ListBullet"/>
            </w:pPr>
            <w:r w:rsidRPr="002F0DC9">
              <w:t>gas and other hazard detection equipment</w:t>
            </w:r>
          </w:p>
          <w:p w:rsidR="00000000" w:rsidRPr="002F0DC9" w:rsidP="002F0DC9">
            <w:pPr>
              <w:pStyle w:val="ListBullet"/>
            </w:pPr>
            <w:r w:rsidRPr="002F0DC9">
              <w:t>identifying other services, including power and gas</w:t>
            </w:r>
          </w:p>
          <w:p w:rsidR="00000000" w:rsidRPr="002F0DC9" w:rsidP="002F0DC9">
            <w:pPr>
              <w:pStyle w:val="ListBullet"/>
            </w:pPr>
            <w:r w:rsidRPr="002F0DC9">
              <w:t>safety barriers</w:t>
            </w:r>
          </w:p>
          <w:p w:rsidR="00000000" w:rsidRPr="002F0DC9" w:rsidP="002F0DC9">
            <w:pPr>
              <w:pStyle w:val="ListBullet"/>
            </w:pPr>
            <w:r w:rsidRPr="002F0DC9">
              <w:t>safety equipment</w:t>
            </w:r>
          </w:p>
          <w:p w:rsidR="00000000" w:rsidRPr="002F0DC9" w:rsidP="002F0DC9">
            <w:pPr>
              <w:pStyle w:val="ListBullet"/>
            </w:pPr>
            <w:r w:rsidRPr="002F0DC9">
              <w:t>safe working practices, such as the safe use and handling of:</w:t>
            </w:r>
          </w:p>
          <w:p w:rsidR="00000000" w:rsidRPr="002F0DC9" w:rsidP="002F0DC9">
            <w:pPr>
              <w:pStyle w:val="ListBullet2"/>
            </w:pPr>
            <w:r w:rsidRPr="002F0DC9">
              <w:t>asbestos</w:t>
            </w:r>
          </w:p>
          <w:p w:rsidR="00000000" w:rsidRPr="002F0DC9" w:rsidP="002F0DC9">
            <w:pPr>
              <w:pStyle w:val="ListBullet2"/>
            </w:pPr>
            <w:r w:rsidRPr="002F0DC9">
              <w:t>chemicals</w:t>
            </w:r>
          </w:p>
          <w:p w:rsidR="00000000" w:rsidRPr="002F0DC9" w:rsidP="002F0DC9">
            <w:pPr>
              <w:pStyle w:val="ListBullet2"/>
            </w:pPr>
            <w:r w:rsidRPr="002F0DC9">
              <w:t>materials</w:t>
            </w:r>
          </w:p>
          <w:p w:rsidR="00000000" w:rsidRPr="002F0DC9" w:rsidP="002F0DC9">
            <w:pPr>
              <w:pStyle w:val="ListBullet2"/>
            </w:pPr>
            <w:r w:rsidRPr="002F0DC9">
              <w:t>tools and equipment</w:t>
            </w:r>
          </w:p>
          <w:p w:rsidR="00000000" w:rsidRPr="002F0DC9" w:rsidP="002F0DC9">
            <w:pPr>
              <w:pStyle w:val="ListBullet2"/>
            </w:pPr>
            <w:r w:rsidRPr="002F0DC9">
              <w:t>work platforms</w:t>
            </w:r>
          </w:p>
          <w:p w:rsidR="00000000" w:rsidRPr="002F0DC9" w:rsidP="002F0DC9">
            <w:pPr>
              <w:pStyle w:val="ListBullet"/>
            </w:pPr>
            <w:r w:rsidRPr="002F0DC9">
              <w:t>special access requirements</w:t>
            </w:r>
          </w:p>
          <w:p w:rsidR="00000000" w:rsidRPr="002F0DC9" w:rsidP="002F0DC9">
            <w:pPr>
              <w:pStyle w:val="ListBullet"/>
            </w:pPr>
            <w:r w:rsidRPr="002F0DC9">
              <w:t>suitable light and ventilation</w:t>
            </w:r>
          </w:p>
          <w:p w:rsidR="00000000" w:rsidRPr="002F0DC9" w:rsidP="002F0DC9">
            <w:pPr>
              <w:pStyle w:val="ListBullet"/>
            </w:pPr>
            <w:r w:rsidRPr="002F0DC9">
              <w:t>trench guards</w:t>
            </w:r>
          </w:p>
          <w:p w:rsidR="00000000" w:rsidRPr="002F0DC9" w:rsidP="002F0DC9">
            <w:pPr>
              <w:pStyle w:val="ListBullet"/>
            </w:pPr>
            <w:r w:rsidRPr="002F0DC9">
              <w:t>warning signs and tapes</w:t>
            </w:r>
          </w:p>
          <w:p w:rsidR="00000000" w:rsidRPr="002F0DC9" w:rsidP="002F0DC9">
            <w:pPr>
              <w:pStyle w:val="ListBullet"/>
            </w:pPr>
            <w:r w:rsidRPr="002F0DC9">
              <w:t>witches hats</w:t>
            </w:r>
          </w:p>
          <w:p w:rsidR="00000000" w:rsidRPr="002F0DC9" w:rsidP="002F0DC9">
            <w:pPr>
              <w:pStyle w:val="ListBullet"/>
            </w:pPr>
            <w:r w:rsidRPr="002F0DC9">
              <w:t>environmental considerations:</w:t>
            </w:r>
          </w:p>
          <w:p w:rsidR="00000000" w:rsidRPr="002F0DC9" w:rsidP="002F0DC9">
            <w:pPr>
              <w:pStyle w:val="ListBullet2"/>
            </w:pPr>
            <w:r w:rsidRPr="002F0DC9">
              <w:t>clean-up protection</w:t>
            </w:r>
          </w:p>
          <w:p w:rsidR="00000000" w:rsidRPr="002F0DC9" w:rsidP="002F0DC9">
            <w:pPr>
              <w:pStyle w:val="ListBullet2"/>
            </w:pPr>
            <w:r w:rsidRPr="002F0DC9">
              <w:t>noise, dust and clean-up management</w:t>
            </w:r>
          </w:p>
          <w:p w:rsidR="00000000" w:rsidRPr="002F0DC9" w:rsidP="002F0DC9">
            <w:pPr>
              <w:pStyle w:val="ListBullet2"/>
            </w:pPr>
            <w:r w:rsidRPr="002F0DC9">
              <w:t>stor</w:t>
            </w:r>
            <w:r w:rsidRPr="002F0DC9">
              <w:t>mwater protection</w:t>
            </w:r>
          </w:p>
          <w:p w:rsidR="00000000" w:rsidP="002F0DC9">
            <w:pPr>
              <w:pStyle w:val="ListBullet2"/>
              <w:rPr>
                <w:lang w:val="en-NZ"/>
              </w:rPr>
            </w:pPr>
            <w:r w:rsidRPr="002F0DC9">
              <w:t>waste management.</w:t>
            </w:r>
          </w:p>
        </w:tc>
      </w:tr>
      <w:tr w:rsidTr="00F16A49">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DC9">
            <w:pPr>
              <w:pStyle w:val="BodyText"/>
              <w:rPr>
                <w:lang w:val="en-NZ"/>
              </w:rPr>
            </w:pPr>
            <w:r w:rsidRPr="002F0DC9">
              <w:rPr>
                <w:rStyle w:val="BoldandItalics"/>
              </w:rPr>
              <w:t>Hazards</w:t>
            </w:r>
            <w:r w:rsidRPr="002F0DC9">
              <w:t xml:space="preserve">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DC9" w:rsidP="002F0DC9">
            <w:pPr>
              <w:pStyle w:val="ListBullet"/>
            </w:pPr>
            <w:r w:rsidRPr="002F0DC9">
              <w:t>activating equipment without notifying other staff who may be working remotely on the network</w:t>
            </w:r>
          </w:p>
          <w:p w:rsidR="00000000" w:rsidRPr="002F0DC9" w:rsidP="002F0DC9">
            <w:pPr>
              <w:pStyle w:val="ListBullet"/>
            </w:pPr>
            <w:r w:rsidRPr="002F0DC9">
              <w:t>cleaning alcohol, epoxy resins and other solvents and chemicals may be carcinogenic, cause allergies or be dangerous to health in other ways</w:t>
            </w:r>
          </w:p>
          <w:p w:rsidR="00000000" w:rsidRPr="002F0DC9" w:rsidP="002F0DC9">
            <w:pPr>
              <w:pStyle w:val="ListBullet"/>
            </w:pPr>
            <w:r w:rsidRPr="002F0DC9">
              <w:t>environmental hazards:</w:t>
            </w:r>
          </w:p>
          <w:p w:rsidR="00000000" w:rsidRPr="002F0DC9" w:rsidP="002F0DC9">
            <w:pPr>
              <w:pStyle w:val="ListBullet2"/>
            </w:pPr>
            <w:r w:rsidRPr="002F0DC9">
              <w:t>air pollution</w:t>
            </w:r>
          </w:p>
          <w:p w:rsidR="00000000" w:rsidRPr="002F0DC9" w:rsidP="002F0DC9">
            <w:pPr>
              <w:pStyle w:val="ListBullet2"/>
            </w:pPr>
            <w:r w:rsidRPr="002F0DC9">
              <w:t>damage to natural or heritage precincts</w:t>
            </w:r>
          </w:p>
          <w:p w:rsidR="00000000" w:rsidRPr="002F0DC9" w:rsidP="002F0DC9">
            <w:pPr>
              <w:pStyle w:val="ListBullet2"/>
            </w:pPr>
            <w:r w:rsidRPr="002F0DC9">
              <w:t>dangerous gases</w:t>
            </w:r>
          </w:p>
          <w:p w:rsidR="00000000" w:rsidRPr="002F0DC9" w:rsidP="002F0DC9">
            <w:pPr>
              <w:pStyle w:val="ListBullet2"/>
            </w:pPr>
            <w:r w:rsidRPr="002F0DC9">
              <w:t>ground water contamin</w:t>
            </w:r>
            <w:r w:rsidRPr="002F0DC9">
              <w:t>ation</w:t>
            </w:r>
          </w:p>
          <w:p w:rsidR="00000000" w:rsidRPr="002F0DC9" w:rsidP="002F0DC9">
            <w:pPr>
              <w:pStyle w:val="ListBullet2"/>
            </w:pPr>
            <w:r w:rsidRPr="002F0DC9">
              <w:t>heavy or noxious metals pollution</w:t>
            </w:r>
          </w:p>
          <w:p w:rsidR="00000000" w:rsidRPr="002F0DC9" w:rsidP="002F0DC9">
            <w:pPr>
              <w:pStyle w:val="ListBullet2"/>
            </w:pPr>
            <w:r w:rsidRPr="002F0DC9">
              <w:t>noise</w:t>
            </w:r>
          </w:p>
          <w:p w:rsidR="00000000" w:rsidRPr="002F0DC9" w:rsidP="002F0DC9">
            <w:pPr>
              <w:pStyle w:val="ListBullet2"/>
            </w:pPr>
            <w:r w:rsidRPr="002F0DC9">
              <w:t>petrochemical spillage</w:t>
            </w:r>
          </w:p>
          <w:p w:rsidR="00000000" w:rsidRPr="002F0DC9" w:rsidP="002F0DC9">
            <w:pPr>
              <w:pStyle w:val="ListBullet2"/>
            </w:pPr>
            <w:r w:rsidRPr="002F0DC9">
              <w:t>release of hydrochlorofluorocarbons (HCFC)</w:t>
            </w:r>
          </w:p>
          <w:p w:rsidR="00000000" w:rsidRPr="002F0DC9" w:rsidP="002F0DC9">
            <w:pPr>
              <w:pStyle w:val="ListBullet"/>
            </w:pPr>
            <w:r w:rsidRPr="002F0DC9">
              <w:t xml:space="preserve">flammable cleaning chemicals fluids and solvents </w:t>
            </w:r>
          </w:p>
          <w:p w:rsidR="00000000" w:rsidRPr="002F0DC9" w:rsidP="002F0DC9">
            <w:pPr>
              <w:pStyle w:val="ListBullet"/>
            </w:pPr>
            <w:r w:rsidRPr="002F0DC9">
              <w:t>fibre offcut damage to eyes and skin</w:t>
            </w:r>
          </w:p>
          <w:p w:rsidR="00000000" w:rsidRPr="002F0DC9" w:rsidP="002F0DC9">
            <w:pPr>
              <w:pStyle w:val="ListBullet"/>
            </w:pPr>
            <w:r w:rsidRPr="002F0DC9">
              <w:t>health hazards:</w:t>
            </w:r>
          </w:p>
          <w:p w:rsidR="00000000" w:rsidRPr="002F0DC9" w:rsidP="002F0DC9">
            <w:pPr>
              <w:pStyle w:val="ListBullet2"/>
            </w:pPr>
            <w:r w:rsidRPr="002F0DC9">
              <w:t>dangerous or harmful substances</w:t>
            </w:r>
          </w:p>
          <w:p w:rsidR="00000000" w:rsidRPr="002F0DC9" w:rsidP="002F0DC9">
            <w:pPr>
              <w:pStyle w:val="ListBullet2"/>
            </w:pPr>
            <w:r w:rsidRPr="002F0DC9">
              <w:t>handling of optic fibres and lasers</w:t>
            </w:r>
          </w:p>
          <w:p w:rsidR="00000000" w:rsidRPr="002F0DC9" w:rsidP="002F0DC9">
            <w:pPr>
              <w:pStyle w:val="ListBullet2"/>
            </w:pPr>
            <w:r w:rsidRPr="002F0DC9">
              <w:t>risk of infection</w:t>
            </w:r>
          </w:p>
          <w:p w:rsidR="00000000" w:rsidRPr="002F0DC9" w:rsidP="002F0DC9">
            <w:pPr>
              <w:pStyle w:val="ListBullet2"/>
            </w:pPr>
            <w:r w:rsidRPr="002F0DC9">
              <w:t>risk of sustained injury from repetitive tasks</w:t>
            </w:r>
          </w:p>
          <w:p w:rsidR="00000000" w:rsidRPr="002F0DC9" w:rsidP="002F0DC9">
            <w:pPr>
              <w:pStyle w:val="ListBullet"/>
            </w:pPr>
            <w:r w:rsidRPr="002F0DC9">
              <w:t>inhalation of fibre offcuts and particles from vacuum cleaning of worksite</w:t>
            </w:r>
          </w:p>
          <w:p w:rsidR="00000000" w:rsidP="002F0DC9">
            <w:pPr>
              <w:pStyle w:val="ListBullet"/>
              <w:rPr>
                <w:lang w:val="en-NZ"/>
              </w:rPr>
            </w:pPr>
            <w:r w:rsidRPr="002F0DC9">
              <w:t>laser damage to eyes.</w:t>
            </w:r>
          </w:p>
        </w:tc>
      </w:tr>
      <w:tr w:rsidTr="00F16A49">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DC9">
            <w:pPr>
              <w:pStyle w:val="BodyText"/>
              <w:rPr>
                <w:lang w:val="en-NZ"/>
              </w:rPr>
            </w:pPr>
            <w:r w:rsidRPr="002F0DC9">
              <w:rPr>
                <w:rStyle w:val="BoldandItalics"/>
              </w:rPr>
              <w:t>Personal protective equipment</w:t>
            </w:r>
            <w:r w:rsidRPr="002F0DC9">
              <w:t xml:space="preserve">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DC9" w:rsidP="002F0DC9">
            <w:pPr>
              <w:pStyle w:val="ListBullet"/>
            </w:pPr>
            <w:r w:rsidRPr="002F0DC9">
              <w:t xml:space="preserve">inspection microscope with integral laser safety filter </w:t>
            </w:r>
          </w:p>
          <w:p w:rsidR="00000000" w:rsidRPr="002F0DC9" w:rsidP="002F0DC9">
            <w:pPr>
              <w:pStyle w:val="ListBullet"/>
            </w:pPr>
            <w:r w:rsidRPr="002F0DC9">
              <w:t>safety glasses</w:t>
            </w:r>
          </w:p>
          <w:p w:rsidR="00000000" w:rsidP="002F0DC9">
            <w:pPr>
              <w:pStyle w:val="ListBullet"/>
              <w:rPr>
                <w:lang w:val="en-NZ"/>
              </w:rPr>
            </w:pPr>
            <w:r w:rsidRPr="002F0DC9">
              <w:t>video microscope.</w:t>
            </w:r>
          </w:p>
        </w:tc>
      </w:tr>
      <w:tr w:rsidTr="00F16A49">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DC9">
            <w:pPr>
              <w:pStyle w:val="BodyText"/>
              <w:rPr>
                <w:lang w:val="en-NZ"/>
              </w:rPr>
            </w:pPr>
            <w:r w:rsidRPr="002F0DC9">
              <w:rPr>
                <w:rStyle w:val="BoldandItalics"/>
              </w:rPr>
              <w:t>Optical network</w:t>
            </w:r>
            <w:r w:rsidRPr="002F0DC9">
              <w:t xml:space="preserve">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DC9" w:rsidP="002F0DC9">
            <w:pPr>
              <w:pStyle w:val="ListBullet"/>
            </w:pPr>
            <w:r w:rsidRPr="002F0DC9">
              <w:t xml:space="preserve">coarse wavelength division multiplexing (CWDM) </w:t>
            </w:r>
          </w:p>
          <w:p w:rsidR="00000000" w:rsidRPr="002F0DC9" w:rsidP="002F0DC9">
            <w:pPr>
              <w:pStyle w:val="ListBullet"/>
            </w:pPr>
            <w:r w:rsidRPr="002F0DC9">
              <w:t>DWDM</w:t>
            </w:r>
          </w:p>
          <w:p w:rsidR="00000000" w:rsidP="002F0DC9">
            <w:pPr>
              <w:pStyle w:val="ListBullet"/>
              <w:rPr>
                <w:lang w:val="en-NZ"/>
              </w:rPr>
            </w:pPr>
            <w:r w:rsidRPr="002F0DC9">
              <w:t>Hybrid fibre coaxial (HFC).</w:t>
            </w:r>
          </w:p>
        </w:tc>
      </w:tr>
      <w:tr w:rsidTr="00F16A49">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DC9">
            <w:pPr>
              <w:pStyle w:val="BodyText"/>
              <w:rPr>
                <w:lang w:val="en-NZ"/>
              </w:rPr>
            </w:pPr>
            <w:r w:rsidRPr="002F0DC9">
              <w:rPr>
                <w:rStyle w:val="BoldandItalics"/>
              </w:rPr>
              <w:t>Appropriate person</w:t>
            </w:r>
            <w:r w:rsidRPr="002F0DC9">
              <w:t xml:space="preserve">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DC9" w:rsidP="002F0DC9">
            <w:pPr>
              <w:pStyle w:val="ListBullet"/>
            </w:pPr>
            <w:r w:rsidRPr="002F0DC9">
              <w:t>customer</w:t>
            </w:r>
          </w:p>
          <w:p w:rsidR="00000000" w:rsidRPr="002F0DC9" w:rsidP="002F0DC9">
            <w:pPr>
              <w:pStyle w:val="ListBullet"/>
            </w:pPr>
            <w:r w:rsidRPr="002F0DC9">
              <w:t>network manag</w:t>
            </w:r>
            <w:r w:rsidRPr="002F0DC9">
              <w:t>er</w:t>
            </w:r>
          </w:p>
          <w:p w:rsidR="00000000" w:rsidRPr="002F0DC9" w:rsidP="002F0DC9">
            <w:pPr>
              <w:pStyle w:val="ListBullet"/>
            </w:pPr>
            <w:r w:rsidRPr="002F0DC9">
              <w:t>project engineer</w:t>
            </w:r>
          </w:p>
          <w:p w:rsidR="00000000" w:rsidP="002F0DC9">
            <w:pPr>
              <w:pStyle w:val="ListBullet"/>
              <w:rPr>
                <w:lang w:val="en-NZ"/>
              </w:rPr>
            </w:pPr>
            <w:r w:rsidRPr="002F0DC9">
              <w:t>project manager.</w:t>
            </w:r>
          </w:p>
        </w:tc>
      </w:tr>
      <w:tr w:rsidTr="00F16A49">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DC9">
            <w:pPr>
              <w:pStyle w:val="BodyText"/>
              <w:rPr>
                <w:lang w:val="en-NZ"/>
              </w:rPr>
            </w:pPr>
            <w:r w:rsidRPr="002F0DC9">
              <w:rPr>
                <w:rStyle w:val="BoldandItalics"/>
              </w:rPr>
              <w:t>Specifications</w:t>
            </w:r>
            <w:r w:rsidRPr="002F0DC9">
              <w:t xml:space="preserve">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DC9" w:rsidP="002F0DC9">
            <w:pPr>
              <w:pStyle w:val="ListBullet"/>
            </w:pPr>
            <w:r w:rsidRPr="002F0DC9">
              <w:t>bandwidth</w:t>
            </w:r>
          </w:p>
          <w:p w:rsidR="00000000" w:rsidRPr="002F0DC9" w:rsidP="002F0DC9">
            <w:pPr>
              <w:pStyle w:val="ListBullet"/>
            </w:pPr>
            <w:r w:rsidRPr="002F0DC9">
              <w:t>insertion loss</w:t>
            </w:r>
          </w:p>
          <w:p w:rsidR="00000000" w:rsidRPr="002F0DC9" w:rsidP="002F0DC9">
            <w:pPr>
              <w:pStyle w:val="ListBullet"/>
            </w:pPr>
            <w:r w:rsidRPr="002F0DC9">
              <w:t>operating wavelength</w:t>
            </w:r>
          </w:p>
          <w:p w:rsidR="00000000" w:rsidRPr="002F0DC9" w:rsidP="002F0DC9">
            <w:pPr>
              <w:pStyle w:val="ListBullet"/>
            </w:pPr>
            <w:r w:rsidRPr="002F0DC9">
              <w:t>optical return loss (ORL)</w:t>
            </w:r>
          </w:p>
          <w:p w:rsidR="00000000" w:rsidP="002F0DC9">
            <w:pPr>
              <w:pStyle w:val="ListBullet"/>
              <w:rPr>
                <w:lang w:val="en-NZ"/>
              </w:rPr>
            </w:pPr>
            <w:r w:rsidRPr="002F0DC9">
              <w:t>ripple.</w:t>
            </w:r>
          </w:p>
        </w:tc>
      </w:tr>
      <w:tr w:rsidTr="00F16A49">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DC9">
            <w:pPr>
              <w:pStyle w:val="BodyText"/>
              <w:rPr>
                <w:lang w:val="en-NZ"/>
              </w:rPr>
            </w:pPr>
            <w:r w:rsidRPr="002F0DC9">
              <w:rPr>
                <w:rStyle w:val="BoldandItalics"/>
              </w:rPr>
              <w:t>Installation options</w:t>
            </w:r>
            <w:r w:rsidRPr="002F0DC9">
              <w:t xml:space="preserve">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DC9" w:rsidP="002F0DC9">
            <w:pPr>
              <w:pStyle w:val="ListBullet"/>
            </w:pPr>
            <w:r w:rsidRPr="002F0DC9">
              <w:t>location at intermediate location</w:t>
            </w:r>
          </w:p>
          <w:p w:rsidR="00000000" w:rsidRPr="002F0DC9" w:rsidP="002F0DC9">
            <w:pPr>
              <w:pStyle w:val="ListBullet"/>
            </w:pPr>
            <w:r w:rsidRPr="002F0DC9">
              <w:t>location at OADM site</w:t>
            </w:r>
          </w:p>
          <w:p w:rsidR="00000000" w:rsidRPr="002F0DC9" w:rsidP="002F0DC9">
            <w:pPr>
              <w:pStyle w:val="ListBullet"/>
            </w:pPr>
            <w:r w:rsidRPr="002F0DC9">
              <w:t>location at terminal site</w:t>
            </w:r>
          </w:p>
          <w:p w:rsidR="00000000" w:rsidP="002F0DC9">
            <w:pPr>
              <w:pStyle w:val="ListBullet"/>
              <w:rPr>
                <w:lang w:val="en-NZ"/>
              </w:rPr>
            </w:pPr>
            <w:r w:rsidRPr="002F0DC9">
              <w:t>location underground.</w:t>
            </w:r>
          </w:p>
        </w:tc>
      </w:tr>
      <w:tr w:rsidTr="00F16A49">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DC9">
            <w:pPr>
              <w:pStyle w:val="BodyText"/>
              <w:rPr>
                <w:lang w:val="en-NZ"/>
              </w:rPr>
            </w:pPr>
            <w:r w:rsidRPr="002F0DC9">
              <w:rPr>
                <w:rStyle w:val="BoldandItalics"/>
              </w:rPr>
              <w:t>Specialised optical devices</w:t>
            </w:r>
            <w:r w:rsidRPr="002F0DC9">
              <w:t xml:space="preserve">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DC9" w:rsidP="002F0DC9">
            <w:pPr>
              <w:pStyle w:val="ListBullet"/>
            </w:pPr>
            <w:r w:rsidRPr="002F0DC9">
              <w:t>Bragg grating</w:t>
            </w:r>
          </w:p>
          <w:p w:rsidR="00000000" w:rsidRPr="002F0DC9" w:rsidP="002F0DC9">
            <w:pPr>
              <w:pStyle w:val="ListBullet"/>
            </w:pPr>
            <w:r w:rsidRPr="002F0DC9">
              <w:t>coupler</w:t>
            </w:r>
          </w:p>
          <w:p w:rsidR="00000000" w:rsidRPr="002F0DC9" w:rsidP="002F0DC9">
            <w:pPr>
              <w:pStyle w:val="ListBullet"/>
            </w:pPr>
            <w:r w:rsidRPr="002F0DC9">
              <w:t>dispersion compensation device (DCD)</w:t>
            </w:r>
          </w:p>
          <w:p w:rsidR="00000000" w:rsidRPr="002F0DC9" w:rsidP="002F0DC9">
            <w:pPr>
              <w:pStyle w:val="ListBullet"/>
            </w:pPr>
            <w:r w:rsidRPr="002F0DC9">
              <w:t>DWDM multiplexer</w:t>
            </w:r>
          </w:p>
          <w:p w:rsidR="00000000" w:rsidRPr="002F0DC9" w:rsidP="002F0DC9">
            <w:pPr>
              <w:pStyle w:val="ListBullet"/>
            </w:pPr>
            <w:r w:rsidRPr="002F0DC9">
              <w:t>erbium doped fibre amplifier (EDFA)</w:t>
            </w:r>
          </w:p>
          <w:p w:rsidR="00000000" w:rsidRPr="002F0DC9" w:rsidP="002F0DC9">
            <w:pPr>
              <w:pStyle w:val="ListBullet"/>
            </w:pPr>
            <w:r w:rsidRPr="002F0DC9">
              <w:t xml:space="preserve">gain equaliser </w:t>
            </w:r>
          </w:p>
          <w:p w:rsidR="00000000" w:rsidRPr="002F0DC9" w:rsidP="002F0DC9">
            <w:pPr>
              <w:pStyle w:val="ListBullet"/>
            </w:pPr>
            <w:r w:rsidRPr="002F0DC9">
              <w:t>Raman amplifier</w:t>
            </w:r>
          </w:p>
          <w:p w:rsidR="00000000" w:rsidP="002F0DC9">
            <w:pPr>
              <w:pStyle w:val="ListBullet"/>
              <w:rPr>
                <w:lang w:val="en-NZ"/>
              </w:rPr>
            </w:pPr>
            <w:r w:rsidRPr="002F0DC9">
              <w:t>ROADM.</w:t>
            </w:r>
          </w:p>
        </w:tc>
      </w:tr>
      <w:tr w:rsidTr="00F16A49">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DC9">
            <w:pPr>
              <w:pStyle w:val="BodyText"/>
              <w:rPr>
                <w:lang w:val="en-NZ"/>
              </w:rPr>
            </w:pPr>
            <w:r w:rsidRPr="002F0DC9">
              <w:rPr>
                <w:rStyle w:val="BoldandItalics"/>
              </w:rPr>
              <w:t>Verify optical network performance</w:t>
            </w:r>
            <w:r w:rsidRPr="002F0DC9">
              <w:t xml:space="preserve">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DC9" w:rsidP="002F0DC9">
            <w:pPr>
              <w:pStyle w:val="ListBullet"/>
            </w:pPr>
            <w:r w:rsidRPr="002F0DC9">
              <w:t>stability test</w:t>
            </w:r>
          </w:p>
          <w:p w:rsidR="00000000" w:rsidRPr="002F0DC9" w:rsidP="002F0DC9">
            <w:pPr>
              <w:pStyle w:val="ListBullet"/>
            </w:pPr>
            <w:r w:rsidRPr="002F0DC9">
              <w:t>bit error ratio test (BERT).</w:t>
            </w:r>
          </w:p>
        </w:tc>
      </w:tr>
    </w:tbl>
    <w:p w:rsidR="00F16A49" w:rsidP="002F0DC9">
      <w:pPr>
        <w:pStyle w:val="BodyText"/>
      </w:pPr>
    </w:p>
    <w:p w:rsidR="00F16A49" w:rsidP="002F0DC9">
      <w:pPr>
        <w:pStyle w:val="BodyText"/>
      </w:pPr>
    </w:p>
    <w:p w:rsidR="00000000" w:rsidRPr="002F0DC9" w:rsidP="002F0DC9">
      <w:pPr>
        <w:pStyle w:val="Heading1"/>
      </w:pPr>
      <w:bookmarkStart w:id="12" w:name="O_209136"/>
      <w:bookmarkEnd w:id="12"/>
      <w:r w:rsidRPr="002F0DC9">
        <w:t>Unit Sector(s)</w:t>
      </w:r>
    </w:p>
    <w:tbl>
      <w:tblPr>
        <w:tblW w:w="0" w:type="auto"/>
        <w:tblLayout w:type="fixed"/>
        <w:tblCellMar>
          <w:left w:w="62" w:type="dxa"/>
          <w:right w:w="62" w:type="dxa"/>
        </w:tblCellMar>
        <w:tblLook w:val="0000"/>
      </w:tblPr>
      <w:tblGrid>
        <w:gridCol w:w="2539"/>
        <w:gridCol w:w="5983"/>
      </w:tblGrid>
      <w:tr w:rsidTr="00F16A49">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DC9">
            <w:pPr>
              <w:pStyle w:val="BodyText"/>
              <w:rPr>
                <w:lang w:val="en-NZ"/>
              </w:rPr>
            </w:pPr>
            <w:r w:rsidRPr="002F0DC9">
              <w:rPr>
                <w:rStyle w:val="SpecialBold"/>
              </w:rPr>
              <w:t>Unit sector</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DC9" w:rsidP="002F0DC9">
            <w:pPr>
              <w:pStyle w:val="BodyText"/>
            </w:pPr>
            <w:r w:rsidRPr="002F0DC9">
              <w:t>Telecommunications</w:t>
            </w:r>
          </w:p>
        </w:tc>
      </w:tr>
    </w:tbl>
    <w:p w:rsidR="00F16A49" w:rsidP="002F0DC9">
      <w:pPr>
        <w:pStyle w:val="BodyText"/>
      </w:pPr>
    </w:p>
    <w:p w:rsidR="00F16A49" w:rsidP="002F0DC9">
      <w:pPr>
        <w:pStyle w:val="BodyText"/>
      </w:pPr>
    </w:p>
    <w:p w:rsidR="00000000" w:rsidRPr="002F0DC9" w:rsidP="002F0DC9">
      <w:pPr>
        <w:pStyle w:val="Heading1"/>
      </w:pPr>
      <w:bookmarkStart w:id="13" w:name="O_209133"/>
      <w:bookmarkEnd w:id="13"/>
      <w:r w:rsidRPr="002F0DC9">
        <w:t>Co-requisite units</w:t>
      </w:r>
    </w:p>
    <w:tbl>
      <w:tblPr>
        <w:tblW w:w="0" w:type="auto"/>
        <w:tblLayout w:type="fixed"/>
        <w:tblCellMar>
          <w:left w:w="62" w:type="dxa"/>
          <w:right w:w="62" w:type="dxa"/>
        </w:tblCellMar>
        <w:tblLook w:val="0000"/>
      </w:tblPr>
      <w:tblGrid>
        <w:gridCol w:w="2608"/>
        <w:gridCol w:w="1480"/>
        <w:gridCol w:w="4434"/>
      </w:tblGrid>
      <w:tr w:rsidTr="00F16A49">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DC9">
            <w:pPr>
              <w:pStyle w:val="BodyText"/>
              <w:rPr>
                <w:lang w:val="en-NZ"/>
              </w:rPr>
            </w:pPr>
            <w:r w:rsidRPr="002F0DC9">
              <w:rPr>
                <w:rStyle w:val="SpecialBold"/>
              </w:rPr>
              <w:t>Co-requisite units</w:t>
            </w:r>
          </w:p>
        </w:tc>
        <w:tc>
          <w:tcPr>
            <w:tcW w:w="591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DC9">
            <w:pPr>
              <w:pStyle w:val="BodyText"/>
              <w:rPr>
                <w:lang w:val="en-NZ"/>
              </w:rPr>
            </w:pPr>
          </w:p>
        </w:tc>
      </w:tr>
      <w:tr w:rsidTr="00F16A49">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DC9">
            <w:pPr>
              <w:pStyle w:val="BodyText"/>
              <w:rPr>
                <w:lang w:val="en-NZ"/>
              </w:rPr>
            </w:pPr>
          </w:p>
        </w:tc>
      </w:tr>
      <w:tr w:rsidTr="00F16A49">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DC9" w:rsidP="002F0DC9">
            <w:pPr>
              <w:pStyle w:val="BodyText"/>
            </w:pPr>
          </w:p>
        </w:tc>
      </w:tr>
    </w:tbl>
    <w:p w:rsidR="00F16A49" w:rsidP="002F0DC9">
      <w:pPr>
        <w:pStyle w:val="BodyText"/>
      </w:pPr>
    </w:p>
    <w:p w:rsidR="00F16A49" w:rsidP="002F0DC9">
      <w:pPr>
        <w:pStyle w:val="BodyText"/>
      </w:pPr>
    </w:p>
    <w:p w:rsidR="00000000" w:rsidRPr="002F0DC9" w:rsidP="002F0DC9">
      <w:pPr>
        <w:pStyle w:val="Heading1"/>
      </w:pPr>
      <w:bookmarkStart w:id="14" w:name="O_209135"/>
      <w:bookmarkEnd w:id="14"/>
      <w:r w:rsidRPr="002F0DC9">
        <w:t>Competency field</w:t>
      </w:r>
    </w:p>
    <w:tbl>
      <w:tblPr>
        <w:tblW w:w="0" w:type="auto"/>
        <w:tblLayout w:type="fixed"/>
        <w:tblCellMar>
          <w:left w:w="62" w:type="dxa"/>
          <w:right w:w="62" w:type="dxa"/>
        </w:tblCellMar>
        <w:tblLook w:val="0000"/>
      </w:tblPr>
      <w:tblGrid>
        <w:gridCol w:w="2747"/>
        <w:gridCol w:w="5775"/>
      </w:tblGrid>
      <w:tr w:rsidTr="00F16A49">
        <w:tblPrEx>
          <w:tblW w:w="0" w:type="auto"/>
          <w:tblLayout w:type="fixed"/>
          <w:tblCellMar>
            <w:left w:w="62" w:type="dxa"/>
            <w:right w:w="62" w:type="dxa"/>
          </w:tblCellMar>
          <w:tblLook w:val="0000"/>
        </w:tblPrEx>
        <w:trPr>
          <w:tblHeader/>
        </w:trPr>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DC9">
            <w:pPr>
              <w:pStyle w:val="BodyText"/>
              <w:rPr>
                <w:lang w:val="en-NZ"/>
              </w:rPr>
            </w:pPr>
            <w:r w:rsidRPr="002F0DC9">
              <w:rPr>
                <w:rStyle w:val="SpecialBold"/>
              </w:rPr>
              <w:t>Competency field</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DC9" w:rsidP="002F0DC9">
            <w:pPr>
              <w:pStyle w:val="BodyText"/>
            </w:pPr>
            <w:r w:rsidRPr="002F0DC9">
              <w:t>Optical networks</w:t>
            </w:r>
          </w:p>
        </w:tc>
      </w:tr>
    </w:tbl>
    <w:p w:rsidR="00F16A49" w:rsidP="002F0DC9">
      <w:pPr>
        <w:pStyle w:val="BodyText"/>
      </w:pPr>
    </w:p>
    <w:p w:rsidR="00F16A49" w:rsidP="002F0DC9">
      <w:pPr>
        <w:pStyle w:val="BodyText"/>
      </w:pPr>
    </w:p>
    <w:p w:rsidR="00000000" w:rsidRPr="002F0DC9" w:rsidP="002F0DC9"/>
    <w:sectPr w:rsidSect="002F0D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D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6A49" w:rsidP="00F16A4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D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A49" w:rsidP="002F0DC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F16A49" w:rsidP="002F0D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16A49" w:rsidP="002F0D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D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DC9" w:rsidRPr="00F16A49" w:rsidP="00F16A4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D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A49" w:rsidRPr="002D2AF8" w:rsidP="002F0DC9">
    <w:pPr>
      <w:pStyle w:val="Header"/>
      <w:framePr w:wrap="around"/>
    </w:pPr>
    <w:r>
      <w:fldChar w:fldCharType="begin"/>
    </w:r>
    <w:r>
      <w:instrText xml:space="preserve"> TITLE   \* MERGEFORMAT </w:instrText>
    </w:r>
    <w:r>
      <w:fldChar w:fldCharType="separate"/>
    </w:r>
    <w:r>
      <w:t>ICTOPN5123A Analyse and integrate specialised optical devices in the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F16A49" w:rsidP="002F0D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9C86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CE2C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C66F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D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0DC9"/>
    <w:pPr>
      <w:spacing w:before="360" w:after="60"/>
      <w:outlineLvl w:val="0"/>
    </w:pPr>
    <w:rPr>
      <w:sz w:val="32"/>
    </w:rPr>
  </w:style>
  <w:style w:type="paragraph" w:styleId="Heading2">
    <w:name w:val="heading 2"/>
    <w:basedOn w:val="HeadingBase"/>
    <w:next w:val="BodyText"/>
    <w:link w:val="Heading2Char"/>
    <w:qFormat/>
    <w:rsid w:val="002F0DC9"/>
    <w:pPr>
      <w:keepLines/>
      <w:spacing w:before="240" w:after="120"/>
      <w:outlineLvl w:val="1"/>
    </w:pPr>
    <w:rPr>
      <w:sz w:val="28"/>
      <w:szCs w:val="40"/>
    </w:rPr>
  </w:style>
  <w:style w:type="paragraph" w:styleId="Heading3">
    <w:name w:val="heading 3"/>
    <w:basedOn w:val="HeadingBase"/>
    <w:next w:val="BodyText"/>
    <w:link w:val="Heading3Char"/>
    <w:qFormat/>
    <w:rsid w:val="002F0DC9"/>
    <w:pPr>
      <w:spacing w:before="180" w:after="120"/>
      <w:outlineLvl w:val="2"/>
    </w:pPr>
    <w:rPr>
      <w:spacing w:val="-10"/>
      <w:kern w:val="32"/>
    </w:rPr>
  </w:style>
  <w:style w:type="paragraph" w:styleId="Heading4">
    <w:name w:val="heading 4"/>
    <w:basedOn w:val="HeadingBase"/>
    <w:next w:val="BodyText"/>
    <w:link w:val="Heading4Char"/>
    <w:qFormat/>
    <w:rsid w:val="002F0DC9"/>
    <w:pPr>
      <w:spacing w:before="160" w:after="120"/>
      <w:outlineLvl w:val="3"/>
    </w:pPr>
    <w:rPr>
      <w:sz w:val="22"/>
    </w:rPr>
  </w:style>
  <w:style w:type="paragraph" w:styleId="Heading5">
    <w:name w:val="heading 5"/>
    <w:basedOn w:val="HeadingBase"/>
    <w:next w:val="Normal"/>
    <w:link w:val="Heading5Char"/>
    <w:qFormat/>
    <w:rsid w:val="002F0DC9"/>
    <w:pPr>
      <w:spacing w:before="80"/>
      <w:outlineLvl w:val="4"/>
    </w:pPr>
    <w:rPr>
      <w:color w:val="918585"/>
      <w:sz w:val="20"/>
    </w:rPr>
  </w:style>
  <w:style w:type="paragraph" w:styleId="Heading6">
    <w:name w:val="heading 6"/>
    <w:basedOn w:val="HeadingBase"/>
    <w:next w:val="Normal"/>
    <w:link w:val="Heading6Char"/>
    <w:qFormat/>
    <w:rsid w:val="002F0DC9"/>
    <w:pPr>
      <w:spacing w:before="60"/>
      <w:outlineLvl w:val="5"/>
    </w:pPr>
    <w:rPr>
      <w:color w:val="918585"/>
      <w:sz w:val="20"/>
    </w:rPr>
  </w:style>
  <w:style w:type="paragraph" w:styleId="Heading7">
    <w:name w:val="heading 7"/>
    <w:basedOn w:val="Normal"/>
    <w:next w:val="Normal"/>
    <w:link w:val="Heading7Char"/>
    <w:qFormat/>
    <w:rsid w:val="002F0DC9"/>
    <w:pPr>
      <w:ind w:left="720"/>
      <w:outlineLvl w:val="6"/>
    </w:pPr>
    <w:rPr>
      <w:i/>
    </w:rPr>
  </w:style>
  <w:style w:type="paragraph" w:styleId="Heading8">
    <w:name w:val="heading 8"/>
    <w:basedOn w:val="Normal"/>
    <w:next w:val="Normal"/>
    <w:link w:val="Heading8Char"/>
    <w:qFormat/>
    <w:rsid w:val="002F0DC9"/>
    <w:pPr>
      <w:ind w:left="720"/>
      <w:outlineLvl w:val="7"/>
    </w:pPr>
    <w:rPr>
      <w:i/>
    </w:rPr>
  </w:style>
  <w:style w:type="paragraph" w:styleId="Heading9">
    <w:name w:val="heading 9"/>
    <w:basedOn w:val="Normal"/>
    <w:next w:val="Normal"/>
    <w:link w:val="Heading9Char"/>
    <w:qFormat/>
    <w:rsid w:val="002F0DC9"/>
    <w:pPr>
      <w:ind w:left="720"/>
      <w:outlineLvl w:val="8"/>
    </w:pPr>
    <w:rPr>
      <w:i/>
    </w:rPr>
  </w:style>
  <w:style w:type="character" w:default="1" w:styleId="DefaultParagraphFont">
    <w:name w:val="Default Paragraph Font"/>
    <w:uiPriority w:val="1"/>
    <w:unhideWhenUsed/>
    <w:rsid w:val="002F0D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0DC9"/>
  </w:style>
  <w:style w:type="character" w:customStyle="1" w:styleId="Heading1Char">
    <w:name w:val="Heading 1 Char"/>
    <w:basedOn w:val="DefaultParagraphFont"/>
    <w:link w:val="Heading1"/>
    <w:rsid w:val="002F0DC9"/>
    <w:rPr>
      <w:rFonts w:ascii="Times New Roman" w:eastAsia="Times New Roman" w:hAnsi="Times New Roman" w:cs="Times New Roman"/>
      <w:b/>
      <w:sz w:val="32"/>
      <w:szCs w:val="20"/>
      <w:lang w:eastAsia="en-US"/>
    </w:rPr>
  </w:style>
  <w:style w:type="paragraph" w:styleId="BodyText">
    <w:name w:val="Body Text"/>
    <w:basedOn w:val="Normal"/>
    <w:link w:val="BodyTextChar"/>
    <w:rsid w:val="002F0D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0DC9"/>
    <w:rPr>
      <w:rFonts w:ascii="Times New Roman" w:eastAsia="Times New Roman" w:hAnsi="Times New Roman" w:cs="Times New Roman"/>
      <w:sz w:val="24"/>
      <w:lang w:eastAsia="en-US"/>
    </w:rPr>
  </w:style>
  <w:style w:type="paragraph" w:styleId="Footer">
    <w:name w:val="footer"/>
    <w:basedOn w:val="Normal"/>
    <w:link w:val="FooterChar"/>
    <w:rsid w:val="002F0D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0DC9"/>
    <w:rPr>
      <w:rFonts w:ascii="Times New Roman" w:eastAsia="Times New Roman" w:hAnsi="Times New Roman" w:cs="Times New Roman"/>
      <w:sz w:val="16"/>
      <w:lang w:eastAsia="en-US"/>
    </w:rPr>
  </w:style>
  <w:style w:type="paragraph" w:styleId="List">
    <w:name w:val="List"/>
    <w:basedOn w:val="BodyText"/>
    <w:next w:val="BodyText"/>
    <w:rsid w:val="002F0DC9"/>
    <w:pPr>
      <w:tabs>
        <w:tab w:val="left" w:pos="340"/>
      </w:tabs>
      <w:spacing w:before="60" w:after="60"/>
      <w:ind w:left="340" w:hanging="340"/>
    </w:pPr>
  </w:style>
  <w:style w:type="paragraph" w:styleId="ListBullet">
    <w:name w:val="List Bullet"/>
    <w:basedOn w:val="List"/>
    <w:rsid w:val="002F0DC9"/>
    <w:pPr>
      <w:numPr>
        <w:numId w:val="13"/>
      </w:numPr>
      <w:tabs>
        <w:tab w:val="clear" w:pos="340"/>
      </w:tabs>
      <w:spacing w:before="40" w:after="40"/>
    </w:pPr>
  </w:style>
  <w:style w:type="character" w:customStyle="1" w:styleId="SpecialBold">
    <w:name w:val="Special Bold"/>
    <w:basedOn w:val="DefaultParagraphFont"/>
    <w:rsid w:val="002F0DC9"/>
    <w:rPr>
      <w:b/>
      <w:spacing w:val="0"/>
    </w:rPr>
  </w:style>
  <w:style w:type="paragraph" w:styleId="ListBullet2">
    <w:name w:val="List Bullet 2"/>
    <w:basedOn w:val="List2"/>
    <w:rsid w:val="002F0DC9"/>
    <w:pPr>
      <w:numPr>
        <w:numId w:val="14"/>
      </w:numPr>
      <w:tabs>
        <w:tab w:val="clear" w:pos="680"/>
      </w:tabs>
    </w:pPr>
  </w:style>
  <w:style w:type="paragraph" w:customStyle="1" w:styleId="SuperHeading">
    <w:name w:val="SuperHeading"/>
    <w:basedOn w:val="Normal"/>
    <w:rsid w:val="002F0DC9"/>
    <w:pPr>
      <w:spacing w:before="240" w:after="120"/>
      <w:outlineLvl w:val="0"/>
    </w:pPr>
    <w:rPr>
      <w:rFonts w:ascii="Times New Roman" w:hAnsi="Times New Roman"/>
      <w:b/>
      <w:sz w:val="28"/>
    </w:rPr>
  </w:style>
  <w:style w:type="paragraph" w:customStyle="1" w:styleId="AllowPageBreak">
    <w:name w:val="AllowPageBreak"/>
    <w:rsid w:val="002F0D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0DC9"/>
    <w:pPr>
      <w:tabs>
        <w:tab w:val="left" w:pos="680"/>
      </w:tabs>
      <w:spacing w:before="60" w:after="60"/>
      <w:ind w:left="680" w:hanging="340"/>
    </w:pPr>
  </w:style>
  <w:style w:type="character" w:customStyle="1" w:styleId="BoldandItalics">
    <w:name w:val="Bold and Italics"/>
    <w:qFormat/>
    <w:rsid w:val="002F0DC9"/>
    <w:rPr>
      <w:b/>
      <w:i/>
      <w:u w:val="none"/>
    </w:rPr>
  </w:style>
  <w:style w:type="character" w:customStyle="1" w:styleId="Heading2Char">
    <w:name w:val="Heading 2 Char"/>
    <w:basedOn w:val="DefaultParagraphFont"/>
    <w:link w:val="Heading2"/>
    <w:rsid w:val="002F0D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0D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0D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0D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0D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0D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0D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0DC9"/>
    <w:rPr>
      <w:rFonts w:ascii="Courier New" w:eastAsia="Times New Roman" w:hAnsi="Courier New" w:cs="Times New Roman"/>
      <w:i/>
      <w:szCs w:val="20"/>
      <w:lang w:eastAsia="en-US"/>
    </w:rPr>
  </w:style>
  <w:style w:type="paragraph" w:customStyle="1" w:styleId="HeadingBase">
    <w:name w:val="Heading Base"/>
    <w:rsid w:val="002F0D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0DC9"/>
    <w:pPr>
      <w:tabs>
        <w:tab w:val="right" w:leader="dot" w:pos="9072"/>
      </w:tabs>
      <w:ind w:left="567"/>
    </w:pPr>
    <w:rPr>
      <w:szCs w:val="22"/>
    </w:rPr>
  </w:style>
  <w:style w:type="paragraph" w:customStyle="1" w:styleId="TOCBase">
    <w:name w:val="TOC Base"/>
    <w:rsid w:val="002F0D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0DC9"/>
    <w:pPr>
      <w:tabs>
        <w:tab w:val="right" w:leader="dot" w:pos="9072"/>
      </w:tabs>
      <w:spacing w:before="40" w:after="40"/>
      <w:ind w:left="284"/>
    </w:pPr>
    <w:rPr>
      <w:rFonts w:ascii="Times New Roman" w:hAnsi="Times New Roman"/>
    </w:rPr>
  </w:style>
  <w:style w:type="paragraph" w:styleId="TOC1">
    <w:name w:val="toc 1"/>
    <w:basedOn w:val="TOCBase"/>
    <w:next w:val="Normal"/>
    <w:rsid w:val="002F0D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0DC9"/>
    <w:pPr>
      <w:spacing w:before="5040"/>
      <w:jc w:val="center"/>
    </w:pPr>
    <w:rPr>
      <w:sz w:val="48"/>
      <w:szCs w:val="72"/>
      <w:lang w:val="en-US"/>
    </w:rPr>
  </w:style>
  <w:style w:type="character" w:customStyle="1" w:styleId="TitleChar">
    <w:name w:val="Title Char"/>
    <w:basedOn w:val="DefaultParagraphFont"/>
    <w:link w:val="Title"/>
    <w:rsid w:val="002F0D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0DC9"/>
    <w:pPr>
      <w:tabs>
        <w:tab w:val="left" w:pos="3600"/>
        <w:tab w:val="left" w:pos="3958"/>
      </w:tabs>
    </w:pPr>
  </w:style>
  <w:style w:type="paragraph" w:customStyle="1" w:styleId="Note">
    <w:name w:val="Note"/>
    <w:basedOn w:val="BodyText"/>
    <w:rsid w:val="002F0D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0DC9"/>
    <w:pPr>
      <w:framePr w:wrap="auto" w:hAnchor="text" w:y="6049"/>
    </w:pPr>
    <w:rPr>
      <w:color w:val="000000"/>
      <w:sz w:val="40"/>
    </w:rPr>
  </w:style>
  <w:style w:type="paragraph" w:customStyle="1" w:styleId="TOCTitle">
    <w:name w:val="TOCTitle"/>
    <w:basedOn w:val="Heading1"/>
    <w:rsid w:val="002F0DC9"/>
    <w:pPr>
      <w:spacing w:after="240"/>
      <w:jc w:val="center"/>
      <w:outlineLvl w:val="9"/>
    </w:pPr>
    <w:rPr>
      <w:caps/>
    </w:rPr>
  </w:style>
  <w:style w:type="paragraph" w:customStyle="1" w:styleId="Version">
    <w:name w:val="Version"/>
    <w:rsid w:val="002F0D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0DC9"/>
    <w:pPr>
      <w:keepNext w:val="0"/>
      <w:tabs>
        <w:tab w:val="right" w:pos="4176"/>
      </w:tabs>
      <w:ind w:left="198" w:hanging="198"/>
    </w:pPr>
    <w:rPr>
      <w:rFonts w:ascii="Garamond" w:hAnsi="Garamond"/>
    </w:rPr>
  </w:style>
  <w:style w:type="paragraph" w:styleId="IndexHeading">
    <w:name w:val="index heading"/>
    <w:basedOn w:val="Normal"/>
    <w:next w:val="Index1"/>
    <w:semiHidden/>
    <w:rsid w:val="002F0DC9"/>
    <w:pPr>
      <w:spacing w:before="120" w:after="120"/>
    </w:pPr>
    <w:rPr>
      <w:rFonts w:ascii="Arial" w:hAnsi="Arial"/>
      <w:b/>
      <w:color w:val="918585"/>
      <w:sz w:val="24"/>
    </w:rPr>
  </w:style>
  <w:style w:type="paragraph" w:styleId="Header">
    <w:name w:val="header"/>
    <w:basedOn w:val="Normal"/>
    <w:link w:val="HeaderChar"/>
    <w:rsid w:val="002F0D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0DC9"/>
    <w:rPr>
      <w:rFonts w:ascii="Times New Roman" w:eastAsia="Times New Roman" w:hAnsi="Times New Roman" w:cs="Times New Roman"/>
      <w:sz w:val="16"/>
      <w:szCs w:val="20"/>
      <w:lang w:val="en-GB" w:eastAsia="en-US"/>
    </w:rPr>
  </w:style>
  <w:style w:type="paragraph" w:customStyle="1" w:styleId="Chapter">
    <w:name w:val="Chapter"/>
    <w:basedOn w:val="Normal"/>
    <w:rsid w:val="002F0DC9"/>
    <w:pPr>
      <w:spacing w:before="240"/>
    </w:pPr>
    <w:rPr>
      <w:rFonts w:ascii="Times New Roman" w:hAnsi="Times New Roman"/>
      <w:smallCaps/>
      <w:spacing w:val="80"/>
      <w:sz w:val="28"/>
    </w:rPr>
  </w:style>
  <w:style w:type="paragraph" w:customStyle="1" w:styleId="InChapter">
    <w:name w:val="InChapter"/>
    <w:basedOn w:val="Heading3"/>
    <w:rsid w:val="002F0DC9"/>
    <w:pPr>
      <w:spacing w:after="240"/>
      <w:outlineLvl w:val="9"/>
    </w:pPr>
    <w:rPr>
      <w:noProof/>
    </w:rPr>
  </w:style>
  <w:style w:type="paragraph" w:styleId="Index2">
    <w:name w:val="index 2"/>
    <w:basedOn w:val="Normal"/>
    <w:next w:val="Normal"/>
    <w:semiHidden/>
    <w:rsid w:val="002F0DC9"/>
    <w:pPr>
      <w:tabs>
        <w:tab w:val="right" w:pos="4176"/>
      </w:tabs>
      <w:ind w:left="568" w:hanging="284"/>
    </w:pPr>
    <w:rPr>
      <w:rFonts w:ascii="Garamond" w:hAnsi="Garamond"/>
    </w:rPr>
  </w:style>
  <w:style w:type="paragraph" w:customStyle="1" w:styleId="Byline">
    <w:name w:val="Byline"/>
    <w:rsid w:val="002F0D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0DC9"/>
    <w:pPr>
      <w:tabs>
        <w:tab w:val="clear" w:pos="3600"/>
        <w:tab w:val="clear" w:pos="3958"/>
      </w:tabs>
      <w:jc w:val="right"/>
    </w:pPr>
  </w:style>
  <w:style w:type="character" w:styleId="Emphasis">
    <w:name w:val="Emphasis"/>
    <w:basedOn w:val="DefaultParagraphFont"/>
    <w:qFormat/>
    <w:rsid w:val="002F0DC9"/>
    <w:rPr>
      <w:i/>
    </w:rPr>
  </w:style>
  <w:style w:type="paragraph" w:styleId="Caption">
    <w:name w:val="caption"/>
    <w:basedOn w:val="BodyText"/>
    <w:next w:val="Normal"/>
    <w:qFormat/>
    <w:rsid w:val="002F0DC9"/>
    <w:pPr>
      <w:framePr w:w="2268" w:hSpace="181" w:vSpace="181" w:wrap="around" w:vAnchor="text" w:hAnchor="page" w:x="1135" w:y="285" w:anchorLock="1"/>
    </w:pPr>
    <w:rPr>
      <w:i/>
    </w:rPr>
  </w:style>
  <w:style w:type="paragraph" w:customStyle="1" w:styleId="MiniTOCTitle">
    <w:name w:val="MiniTOCTitle"/>
    <w:basedOn w:val="Heading4"/>
    <w:rsid w:val="002F0DC9"/>
    <w:pPr>
      <w:spacing w:before="240"/>
      <w:outlineLvl w:val="9"/>
    </w:pPr>
    <w:rPr>
      <w:noProof/>
      <w:sz w:val="24"/>
    </w:rPr>
  </w:style>
  <w:style w:type="paragraph" w:customStyle="1" w:styleId="MiniTOCItem">
    <w:name w:val="MiniTOCItem"/>
    <w:basedOn w:val="ListBullet"/>
    <w:rsid w:val="002F0DC9"/>
    <w:pPr>
      <w:numPr>
        <w:numId w:val="0"/>
      </w:numPr>
      <w:tabs>
        <w:tab w:val="right" w:leader="dot" w:pos="6521"/>
      </w:tabs>
      <w:spacing w:before="0" w:after="0"/>
    </w:pPr>
  </w:style>
  <w:style w:type="paragraph" w:customStyle="1" w:styleId="TOFTitle">
    <w:name w:val="TOFTitle"/>
    <w:basedOn w:val="TOCTitle"/>
    <w:rsid w:val="002F0DC9"/>
  </w:style>
  <w:style w:type="paragraph" w:styleId="TableofFigures">
    <w:name w:val="table of figures"/>
    <w:basedOn w:val="Normal"/>
    <w:next w:val="Normal"/>
    <w:semiHidden/>
    <w:rsid w:val="002F0DC9"/>
    <w:pPr>
      <w:tabs>
        <w:tab w:val="right" w:leader="dot" w:pos="9072"/>
      </w:tabs>
      <w:ind w:left="970" w:hanging="403"/>
    </w:pPr>
    <w:rPr>
      <w:rFonts w:ascii="Times New Roman" w:hAnsi="Times New Roman"/>
      <w:b/>
    </w:rPr>
  </w:style>
  <w:style w:type="paragraph" w:styleId="ListNumber">
    <w:name w:val="List Number"/>
    <w:basedOn w:val="List"/>
    <w:rsid w:val="002F0DC9"/>
    <w:pPr>
      <w:numPr>
        <w:numId w:val="11"/>
      </w:numPr>
    </w:pPr>
  </w:style>
  <w:style w:type="character" w:customStyle="1" w:styleId="WingdingSymbols">
    <w:name w:val="Wingding Symbols"/>
    <w:rsid w:val="002F0DC9"/>
    <w:rPr>
      <w:rFonts w:ascii="Wingdings" w:hAnsi="Wingdings"/>
    </w:rPr>
  </w:style>
  <w:style w:type="paragraph" w:customStyle="1" w:styleId="TableHeading">
    <w:name w:val="Table Heading"/>
    <w:basedOn w:val="HeadingBase"/>
    <w:rsid w:val="002F0DC9"/>
    <w:pPr>
      <w:keepLines/>
      <w:pBdr>
        <w:bottom w:val="single" w:sz="6" w:space="1" w:color="918585"/>
      </w:pBdr>
      <w:spacing w:before="240"/>
    </w:pPr>
  </w:style>
  <w:style w:type="character" w:customStyle="1" w:styleId="HotSpot">
    <w:name w:val="HotSpot"/>
    <w:rsid w:val="002F0DC9"/>
    <w:rPr>
      <w:color w:val="0033CC"/>
      <w:u w:val="none"/>
    </w:rPr>
  </w:style>
  <w:style w:type="paragraph" w:customStyle="1" w:styleId="BodyTextRight">
    <w:name w:val="Body Text Right"/>
    <w:basedOn w:val="BodyText"/>
    <w:rsid w:val="002F0DC9"/>
    <w:pPr>
      <w:spacing w:before="0" w:after="0"/>
      <w:jc w:val="right"/>
    </w:pPr>
  </w:style>
  <w:style w:type="paragraph" w:styleId="Index3">
    <w:name w:val="index 3"/>
    <w:basedOn w:val="ListNumber2"/>
    <w:next w:val="Normal"/>
    <w:semiHidden/>
    <w:rsid w:val="002F0DC9"/>
    <w:pPr>
      <w:numPr>
        <w:numId w:val="0"/>
      </w:numPr>
      <w:tabs>
        <w:tab w:val="right" w:leader="dot" w:pos="4176"/>
      </w:tabs>
    </w:pPr>
  </w:style>
  <w:style w:type="paragraph" w:styleId="ListNumber2">
    <w:name w:val="List Number 2"/>
    <w:basedOn w:val="List2"/>
    <w:rsid w:val="002F0DC9"/>
    <w:pPr>
      <w:numPr>
        <w:numId w:val="10"/>
      </w:numPr>
      <w:tabs>
        <w:tab w:val="clear" w:pos="1060"/>
      </w:tabs>
    </w:pPr>
  </w:style>
  <w:style w:type="paragraph" w:customStyle="1" w:styleId="MarginNote">
    <w:name w:val="Margin Note"/>
    <w:basedOn w:val="BodyText"/>
    <w:rsid w:val="002F0D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0D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0D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0DC9"/>
    <w:rPr>
      <w:sz w:val="32"/>
    </w:rPr>
  </w:style>
  <w:style w:type="paragraph" w:customStyle="1" w:styleId="HeadingProcedure">
    <w:name w:val="Heading Procedure"/>
    <w:basedOn w:val="HeadingBase"/>
    <w:next w:val="Normal"/>
    <w:rsid w:val="002F0DC9"/>
    <w:pPr>
      <w:tabs>
        <w:tab w:val="left" w:pos="0"/>
      </w:tabs>
      <w:spacing w:before="120" w:after="60"/>
    </w:pPr>
    <w:rPr>
      <w:i/>
      <w:color w:val="918585"/>
      <w:sz w:val="22"/>
    </w:rPr>
  </w:style>
  <w:style w:type="paragraph" w:customStyle="1" w:styleId="TableBodyText">
    <w:name w:val="Table Body Text"/>
    <w:basedOn w:val="BodyText"/>
    <w:rsid w:val="002F0DC9"/>
    <w:pPr>
      <w:spacing w:before="60" w:after="60"/>
    </w:pPr>
  </w:style>
  <w:style w:type="paragraph" w:styleId="ListContinue">
    <w:name w:val="List Continue"/>
    <w:basedOn w:val="List"/>
    <w:rsid w:val="002F0DC9"/>
    <w:pPr>
      <w:ind w:firstLine="0"/>
    </w:pPr>
  </w:style>
  <w:style w:type="paragraph" w:customStyle="1" w:styleId="ListNote">
    <w:name w:val="List Note"/>
    <w:basedOn w:val="List"/>
    <w:rsid w:val="002F0DC9"/>
    <w:pPr>
      <w:pBdr>
        <w:top w:val="single" w:sz="6" w:space="2" w:color="918585"/>
        <w:bottom w:val="single" w:sz="6" w:space="2" w:color="918585"/>
      </w:pBdr>
      <w:tabs>
        <w:tab w:val="left" w:pos="1021"/>
      </w:tabs>
      <w:ind w:firstLine="0"/>
    </w:pPr>
  </w:style>
  <w:style w:type="paragraph" w:customStyle="1" w:styleId="Warning">
    <w:name w:val="Warning"/>
    <w:basedOn w:val="BodyText"/>
    <w:rsid w:val="002F0DC9"/>
    <w:pPr>
      <w:shd w:val="clear" w:color="auto" w:fill="D9D9D9"/>
      <w:tabs>
        <w:tab w:val="left" w:pos="992"/>
      </w:tabs>
      <w:ind w:left="119" w:right="119"/>
    </w:pPr>
    <w:rPr>
      <w:sz w:val="20"/>
    </w:rPr>
  </w:style>
  <w:style w:type="paragraph" w:customStyle="1" w:styleId="MarginIcons">
    <w:name w:val="Margin Icons"/>
    <w:basedOn w:val="BodyText"/>
    <w:rsid w:val="002F0D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0DC9"/>
    <w:rPr>
      <w:rFonts w:ascii="Courier New" w:hAnsi="Courier New"/>
    </w:rPr>
  </w:style>
  <w:style w:type="paragraph" w:customStyle="1" w:styleId="NoteBullet">
    <w:name w:val="Note Bullet"/>
    <w:basedOn w:val="Note"/>
    <w:rsid w:val="002F0DC9"/>
    <w:pPr>
      <w:tabs>
        <w:tab w:val="clear" w:pos="680"/>
      </w:tabs>
      <w:spacing w:before="60" w:after="60"/>
    </w:pPr>
  </w:style>
  <w:style w:type="paragraph" w:customStyle="1" w:styleId="SubHeading2">
    <w:name w:val="SubHeading2"/>
    <w:basedOn w:val="HeadingBase"/>
    <w:rsid w:val="002F0DC9"/>
    <w:pPr>
      <w:spacing w:before="240" w:after="60"/>
    </w:pPr>
    <w:rPr>
      <w:sz w:val="20"/>
    </w:rPr>
  </w:style>
  <w:style w:type="paragraph" w:customStyle="1" w:styleId="SubHeading1">
    <w:name w:val="SubHeading1"/>
    <w:basedOn w:val="HeadingBase"/>
    <w:rsid w:val="002F0DC9"/>
    <w:pPr>
      <w:spacing w:before="240" w:after="60"/>
    </w:pPr>
    <w:rPr>
      <w:color w:val="918585"/>
      <w:sz w:val="22"/>
    </w:rPr>
  </w:style>
  <w:style w:type="paragraph" w:customStyle="1" w:styleId="SideHeading">
    <w:name w:val="Side Heading"/>
    <w:basedOn w:val="HeadingBase"/>
    <w:rsid w:val="002F0D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0DC9"/>
    <w:pPr>
      <w:numPr>
        <w:numId w:val="12"/>
      </w:numPr>
    </w:pPr>
  </w:style>
  <w:style w:type="paragraph" w:styleId="PlainText">
    <w:name w:val="Plain Text"/>
    <w:basedOn w:val="Normal"/>
    <w:link w:val="PlainTextChar"/>
    <w:rsid w:val="002F0DC9"/>
    <w:rPr>
      <w:sz w:val="20"/>
    </w:rPr>
  </w:style>
  <w:style w:type="character" w:customStyle="1" w:styleId="PlainTextChar">
    <w:name w:val="Plain Text Char"/>
    <w:basedOn w:val="DefaultParagraphFont"/>
    <w:link w:val="PlainText"/>
    <w:rsid w:val="002F0DC9"/>
    <w:rPr>
      <w:rFonts w:ascii="Courier New" w:eastAsia="Times New Roman" w:hAnsi="Courier New" w:cs="Times New Roman"/>
      <w:sz w:val="20"/>
      <w:szCs w:val="20"/>
      <w:lang w:eastAsia="en-US"/>
    </w:rPr>
  </w:style>
  <w:style w:type="character" w:customStyle="1" w:styleId="MenuOption">
    <w:name w:val="Menu Option"/>
    <w:basedOn w:val="DefaultParagraphFont"/>
    <w:rsid w:val="002F0DC9"/>
    <w:rPr>
      <w:b/>
      <w:smallCaps/>
    </w:rPr>
  </w:style>
  <w:style w:type="paragraph" w:customStyle="1" w:styleId="TableListNumber">
    <w:name w:val="Table List Number"/>
    <w:basedOn w:val="ListNumber"/>
    <w:rsid w:val="002F0DC9"/>
    <w:pPr>
      <w:numPr>
        <w:numId w:val="0"/>
      </w:numPr>
    </w:pPr>
  </w:style>
  <w:style w:type="paragraph" w:styleId="TOC4">
    <w:name w:val="toc 4"/>
    <w:basedOn w:val="TOCBase"/>
    <w:next w:val="Normal"/>
    <w:semiHidden/>
    <w:rsid w:val="002F0DC9"/>
    <w:pPr>
      <w:tabs>
        <w:tab w:val="right" w:leader="dot" w:pos="9071"/>
      </w:tabs>
      <w:ind w:left="1701"/>
    </w:pPr>
  </w:style>
  <w:style w:type="paragraph" w:customStyle="1" w:styleId="ListAlpha">
    <w:name w:val="List Alpha"/>
    <w:basedOn w:val="List"/>
    <w:rsid w:val="002F0DC9"/>
    <w:pPr>
      <w:numPr>
        <w:numId w:val="9"/>
      </w:numPr>
    </w:pPr>
  </w:style>
  <w:style w:type="paragraph" w:customStyle="1" w:styleId="ListAlpha2">
    <w:name w:val="List Alpha 2"/>
    <w:basedOn w:val="List2"/>
    <w:rsid w:val="002F0DC9"/>
    <w:pPr>
      <w:numPr>
        <w:numId w:val="8"/>
      </w:numPr>
    </w:pPr>
  </w:style>
  <w:style w:type="paragraph" w:styleId="List3">
    <w:name w:val="List 3"/>
    <w:basedOn w:val="BodyText"/>
    <w:rsid w:val="002F0DC9"/>
    <w:pPr>
      <w:tabs>
        <w:tab w:val="left" w:pos="1021"/>
      </w:tabs>
      <w:spacing w:before="60" w:after="60"/>
      <w:ind w:left="1020" w:hanging="340"/>
    </w:pPr>
  </w:style>
  <w:style w:type="paragraph" w:styleId="List4">
    <w:name w:val="List 4"/>
    <w:basedOn w:val="BodyText"/>
    <w:rsid w:val="002F0DC9"/>
    <w:pPr>
      <w:tabs>
        <w:tab w:val="left" w:pos="1361"/>
      </w:tabs>
      <w:spacing w:before="60" w:after="60"/>
      <w:ind w:left="1361" w:hanging="340"/>
    </w:pPr>
  </w:style>
  <w:style w:type="paragraph" w:styleId="List5">
    <w:name w:val="List 5"/>
    <w:basedOn w:val="BodyText"/>
    <w:rsid w:val="002F0DC9"/>
    <w:pPr>
      <w:tabs>
        <w:tab w:val="left" w:pos="1701"/>
      </w:tabs>
      <w:spacing w:before="60" w:after="60"/>
      <w:ind w:left="1701" w:hanging="340"/>
    </w:pPr>
  </w:style>
  <w:style w:type="paragraph" w:styleId="ListBullet3">
    <w:name w:val="List Bullet 3"/>
    <w:basedOn w:val="List3"/>
    <w:rsid w:val="002F0DC9"/>
    <w:pPr>
      <w:numPr>
        <w:numId w:val="15"/>
      </w:numPr>
      <w:tabs>
        <w:tab w:val="clear" w:pos="1021"/>
      </w:tabs>
      <w:ind w:left="1037" w:hanging="357"/>
    </w:pPr>
  </w:style>
  <w:style w:type="paragraph" w:styleId="ListBullet4">
    <w:name w:val="List Bullet 4"/>
    <w:basedOn w:val="List4"/>
    <w:rsid w:val="002F0DC9"/>
    <w:pPr>
      <w:numPr>
        <w:numId w:val="3"/>
      </w:numPr>
    </w:pPr>
  </w:style>
  <w:style w:type="paragraph" w:styleId="ListBullet5">
    <w:name w:val="List Bullet 5"/>
    <w:basedOn w:val="List5"/>
    <w:rsid w:val="002F0DC9"/>
    <w:pPr>
      <w:numPr>
        <w:numId w:val="4"/>
      </w:numPr>
    </w:pPr>
  </w:style>
  <w:style w:type="paragraph" w:styleId="ListContinue2">
    <w:name w:val="List Continue 2"/>
    <w:basedOn w:val="List2"/>
    <w:rsid w:val="002F0DC9"/>
    <w:pPr>
      <w:ind w:firstLine="0"/>
    </w:pPr>
  </w:style>
  <w:style w:type="paragraph" w:styleId="ListContinue3">
    <w:name w:val="List Continue 3"/>
    <w:basedOn w:val="List3"/>
    <w:rsid w:val="002F0DC9"/>
    <w:pPr>
      <w:ind w:left="1021" w:firstLine="0"/>
    </w:pPr>
  </w:style>
  <w:style w:type="paragraph" w:styleId="ListContinue4">
    <w:name w:val="List Continue 4"/>
    <w:basedOn w:val="List4"/>
    <w:rsid w:val="002F0DC9"/>
    <w:pPr>
      <w:ind w:firstLine="0"/>
    </w:pPr>
  </w:style>
  <w:style w:type="paragraph" w:styleId="ListContinue5">
    <w:name w:val="List Continue 5"/>
    <w:basedOn w:val="List5"/>
    <w:rsid w:val="002F0DC9"/>
    <w:pPr>
      <w:ind w:firstLine="0"/>
    </w:pPr>
  </w:style>
  <w:style w:type="paragraph" w:styleId="ListNumber3">
    <w:name w:val="List Number 3"/>
    <w:basedOn w:val="List3"/>
    <w:rsid w:val="002F0DC9"/>
    <w:pPr>
      <w:numPr>
        <w:numId w:val="5"/>
      </w:numPr>
    </w:pPr>
  </w:style>
  <w:style w:type="paragraph" w:styleId="ListNumber4">
    <w:name w:val="List Number 4"/>
    <w:basedOn w:val="List4"/>
    <w:rsid w:val="002F0DC9"/>
    <w:pPr>
      <w:numPr>
        <w:numId w:val="6"/>
      </w:numPr>
    </w:pPr>
  </w:style>
  <w:style w:type="paragraph" w:styleId="ListNumber5">
    <w:name w:val="List Number 5"/>
    <w:basedOn w:val="List5"/>
    <w:rsid w:val="002F0DC9"/>
    <w:pPr>
      <w:numPr>
        <w:numId w:val="7"/>
      </w:numPr>
    </w:pPr>
  </w:style>
  <w:style w:type="paragraph" w:styleId="BlockText">
    <w:name w:val="Block Text"/>
    <w:basedOn w:val="Normal"/>
    <w:rsid w:val="002F0DC9"/>
    <w:pPr>
      <w:spacing w:after="120"/>
      <w:ind w:left="1440" w:right="1440"/>
    </w:pPr>
  </w:style>
  <w:style w:type="character" w:customStyle="1" w:styleId="Subscript">
    <w:name w:val="Subscript"/>
    <w:basedOn w:val="DefaultParagraphFont"/>
    <w:rsid w:val="002F0DC9"/>
    <w:rPr>
      <w:sz w:val="16"/>
      <w:vertAlign w:val="subscript"/>
    </w:rPr>
  </w:style>
  <w:style w:type="character" w:customStyle="1" w:styleId="Superscript">
    <w:name w:val="Superscript"/>
    <w:basedOn w:val="DefaultParagraphFont"/>
    <w:rsid w:val="002F0DC9"/>
    <w:rPr>
      <w:sz w:val="16"/>
      <w:vertAlign w:val="superscript"/>
    </w:rPr>
  </w:style>
  <w:style w:type="character" w:customStyle="1" w:styleId="Symbols">
    <w:name w:val="Symbols"/>
    <w:basedOn w:val="DefaultParagraphFont"/>
    <w:rsid w:val="002F0DC9"/>
    <w:rPr>
      <w:rFonts w:ascii="Symbol" w:hAnsi="Symbol"/>
    </w:rPr>
  </w:style>
  <w:style w:type="character" w:customStyle="1" w:styleId="MenuOptions">
    <w:name w:val="Menu Options"/>
    <w:basedOn w:val="DefaultParagraphFont"/>
    <w:rsid w:val="002F0DC9"/>
    <w:rPr>
      <w:rFonts w:ascii="Arial Narrow" w:hAnsi="Arial Narrow"/>
      <w:smallCaps/>
    </w:rPr>
  </w:style>
  <w:style w:type="character" w:customStyle="1" w:styleId="Buttons">
    <w:name w:val="Buttons"/>
    <w:basedOn w:val="DefaultParagraphFont"/>
    <w:rsid w:val="002F0DC9"/>
    <w:rPr>
      <w:b/>
    </w:rPr>
  </w:style>
  <w:style w:type="character" w:customStyle="1" w:styleId="Underlined">
    <w:name w:val="Underlined"/>
    <w:basedOn w:val="DefaultParagraphFont"/>
    <w:rsid w:val="002F0DC9"/>
    <w:rPr>
      <w:u w:val="single"/>
    </w:rPr>
  </w:style>
  <w:style w:type="paragraph" w:customStyle="1" w:styleId="TableBodyTextRight">
    <w:name w:val="Table Body Text Right"/>
    <w:basedOn w:val="TableBodyText"/>
    <w:rsid w:val="002F0DC9"/>
    <w:pPr>
      <w:widowControl w:val="0"/>
      <w:autoSpaceDE w:val="0"/>
      <w:autoSpaceDN w:val="0"/>
      <w:adjustRightInd w:val="0"/>
      <w:jc w:val="right"/>
    </w:pPr>
    <w:rPr>
      <w:rFonts w:cs="Arial"/>
      <w:szCs w:val="18"/>
    </w:rPr>
  </w:style>
  <w:style w:type="paragraph" w:customStyle="1" w:styleId="CopyrightText">
    <w:name w:val="Copyright Text"/>
    <w:basedOn w:val="BodyText"/>
    <w:rsid w:val="002F0DC9"/>
    <w:rPr>
      <w:sz w:val="18"/>
    </w:rPr>
  </w:style>
  <w:style w:type="paragraph" w:customStyle="1" w:styleId="BodySmallRight">
    <w:name w:val="Body Small Right"/>
    <w:basedOn w:val="BodyTextRight"/>
    <w:rsid w:val="002F0DC9"/>
    <w:rPr>
      <w:sz w:val="18"/>
      <w:szCs w:val="18"/>
    </w:rPr>
  </w:style>
  <w:style w:type="paragraph" w:customStyle="1" w:styleId="MarginEdition">
    <w:name w:val="Margin Edition"/>
    <w:basedOn w:val="MarginNote"/>
    <w:rsid w:val="002F0DC9"/>
    <w:pPr>
      <w:spacing w:before="0" w:after="0"/>
    </w:pPr>
    <w:rPr>
      <w:rFonts w:ascii="Times New Roman" w:hAnsi="Times New Roman"/>
      <w:color w:val="999999"/>
    </w:rPr>
  </w:style>
  <w:style w:type="paragraph" w:customStyle="1" w:styleId="Spacer">
    <w:name w:val="Spacer"/>
    <w:basedOn w:val="Normal"/>
    <w:rsid w:val="002F0DC9"/>
    <w:rPr>
      <w:sz w:val="2"/>
      <w:szCs w:val="2"/>
    </w:rPr>
  </w:style>
  <w:style w:type="character" w:customStyle="1" w:styleId="Small">
    <w:name w:val="Small"/>
    <w:basedOn w:val="DefaultParagraphFont"/>
    <w:rsid w:val="002F0DC9"/>
    <w:rPr>
      <w:sz w:val="16"/>
    </w:rPr>
  </w:style>
  <w:style w:type="paragraph" w:customStyle="1" w:styleId="WideTable">
    <w:name w:val="Wide Table"/>
    <w:basedOn w:val="Normal"/>
    <w:rsid w:val="002F0DC9"/>
    <w:pPr>
      <w:ind w:left="-1418"/>
    </w:pPr>
    <w:rPr>
      <w:sz w:val="2"/>
      <w:szCs w:val="2"/>
    </w:rPr>
  </w:style>
  <w:style w:type="character" w:styleId="PageNumber">
    <w:name w:val="page number"/>
    <w:basedOn w:val="DefaultParagraphFont"/>
    <w:rsid w:val="002F0DC9"/>
  </w:style>
  <w:style w:type="paragraph" w:styleId="Quote">
    <w:name w:val="Quote"/>
    <w:basedOn w:val="Heading1"/>
    <w:link w:val="QuoteChar"/>
    <w:qFormat/>
    <w:rsid w:val="002F0DC9"/>
    <w:rPr>
      <w:b w:val="0"/>
      <w:sz w:val="72"/>
      <w:szCs w:val="72"/>
      <w:lang w:val="en-NZ"/>
    </w:rPr>
  </w:style>
  <w:style w:type="character" w:customStyle="1" w:styleId="QuoteChar">
    <w:name w:val="Quote Char"/>
    <w:basedOn w:val="DefaultParagraphFont"/>
    <w:link w:val="Quote"/>
    <w:rsid w:val="002F0D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0DC9"/>
    <w:pPr>
      <w:pageBreakBefore/>
    </w:pPr>
  </w:style>
  <w:style w:type="paragraph" w:customStyle="1" w:styleId="Border">
    <w:name w:val="Border"/>
    <w:basedOn w:val="Normal"/>
    <w:qFormat/>
    <w:rsid w:val="002F0D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0DC9"/>
    <w:rPr>
      <w:b/>
      <w:bCs/>
      <w:i/>
      <w:iCs/>
      <w:color w:val="auto"/>
    </w:rPr>
  </w:style>
  <w:style w:type="paragraph" w:styleId="IntenseQuote">
    <w:name w:val="Intense Quote"/>
    <w:basedOn w:val="Normal"/>
    <w:next w:val="Normal"/>
    <w:link w:val="IntenseQuoteChar"/>
    <w:uiPriority w:val="30"/>
    <w:qFormat/>
    <w:rsid w:val="002F0D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0D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0DC9"/>
    <w:rPr>
      <w:smallCaps/>
      <w:color w:val="auto"/>
      <w:u w:val="single"/>
    </w:rPr>
  </w:style>
  <w:style w:type="character" w:styleId="IntenseReference">
    <w:name w:val="Intense Reference"/>
    <w:basedOn w:val="DefaultParagraphFont"/>
    <w:uiPriority w:val="32"/>
    <w:qFormat/>
    <w:rsid w:val="002F0DC9"/>
    <w:rPr>
      <w:b/>
      <w:bCs/>
      <w:smallCaps/>
      <w:color w:val="auto"/>
      <w:spacing w:val="5"/>
      <w:u w:val="single"/>
    </w:rPr>
  </w:style>
  <w:style w:type="paragraph" w:customStyle="1" w:styleId="2ColumnHeading">
    <w:name w:val="2Column Heading"/>
    <w:basedOn w:val="BodyText"/>
    <w:qFormat/>
    <w:rsid w:val="002F0DC9"/>
    <w:pPr>
      <w:spacing w:after="60"/>
      <w:ind w:left="-2268"/>
    </w:pPr>
    <w:rPr>
      <w:b/>
    </w:rPr>
  </w:style>
  <w:style w:type="paragraph" w:customStyle="1" w:styleId="Heading1TOC">
    <w:name w:val="Heading1 TOC"/>
    <w:basedOn w:val="Normal"/>
    <w:qFormat/>
    <w:rsid w:val="002F0DC9"/>
    <w:pPr>
      <w:spacing w:before="240" w:after="120"/>
    </w:pPr>
    <w:rPr>
      <w:rFonts w:ascii="Times New Roman" w:hAnsi="Times New Roman"/>
      <w:b/>
      <w:sz w:val="32"/>
    </w:rPr>
  </w:style>
  <w:style w:type="paragraph" w:customStyle="1" w:styleId="Heading2TOC">
    <w:name w:val="Heading2 TOC"/>
    <w:basedOn w:val="Normal"/>
    <w:qFormat/>
    <w:rsid w:val="002F0DC9"/>
    <w:pPr>
      <w:spacing w:before="240" w:after="60"/>
    </w:pPr>
    <w:rPr>
      <w:rFonts w:ascii="Times New Roman" w:hAnsi="Times New Roman"/>
      <w:b/>
      <w:sz w:val="28"/>
    </w:rPr>
  </w:style>
  <w:style w:type="character" w:customStyle="1" w:styleId="Underline">
    <w:name w:val="Underline"/>
    <w:basedOn w:val="DefaultParagraphFont"/>
    <w:qFormat/>
    <w:rsid w:val="002F0DC9"/>
    <w:rPr>
      <w:u w:val="single"/>
    </w:rPr>
  </w:style>
  <w:style w:type="paragraph" w:styleId="BalloonText">
    <w:name w:val="Balloon Text"/>
    <w:basedOn w:val="Normal"/>
    <w:link w:val="BalloonTextChar"/>
    <w:rsid w:val="002F0DC9"/>
    <w:rPr>
      <w:rFonts w:ascii="Tahoma" w:hAnsi="Tahoma" w:cs="Tahoma"/>
      <w:sz w:val="16"/>
      <w:szCs w:val="16"/>
    </w:rPr>
  </w:style>
  <w:style w:type="character" w:customStyle="1" w:styleId="BalloonTextChar">
    <w:name w:val="Balloon Text Char"/>
    <w:basedOn w:val="DefaultParagraphFont"/>
    <w:link w:val="BalloonText"/>
    <w:rsid w:val="002F0D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0D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0D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0DC9"/>
    <w:rPr>
      <w:b/>
      <w:color w:val="660033"/>
      <w:spacing w:val="0"/>
    </w:rPr>
  </w:style>
  <w:style w:type="paragraph" w:customStyle="1" w:styleId="Nameditemlist">
    <w:name w:val="Named item list"/>
    <w:basedOn w:val="BodyText"/>
    <w:qFormat/>
    <w:rsid w:val="002F0DC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1744</Words>
  <Characters>11239</Characters>
  <Application>Microsoft Office Word</Application>
  <DocSecurity>0</DocSecurity>
  <Lines>424</Lines>
  <Paragraphs>230</Paragraphs>
  <ScaleCrop>false</ScaleCrop>
  <Company>Author-it Software Corporation Ltd.</Company>
  <LinksUpToDate>false</LinksUpToDate>
  <CharactersWithSpaces>12913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ICTOPN5123A Analyse and integrate specialised optical devices in the network</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2012-10-05T16:49:00Z</dcterms:created>
  <dcterms:modified xsi:type="dcterms:W3CDTF">2012-10-05T16:49:00Z</dcterms:modified>
</cp:coreProperties>
</file>