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6BE" w:rsidP="000816BE">
      <w:pPr>
        <w:pStyle w:val="Title"/>
      </w:pPr>
      <w:r>
        <w:fldChar w:fldCharType="begin"/>
      </w:r>
      <w:r>
        <w:instrText xml:space="preserve"> TITLE   \* MERGEFORMAT </w:instrText>
      </w:r>
      <w:r>
        <w:fldChar w:fldCharType="separate"/>
      </w:r>
      <w:r>
        <w:t>ICTOPN4116A Use advanced optical test equipment</w:t>
      </w:r>
      <w:r>
        <w:fldChar w:fldCharType="end"/>
      </w:r>
    </w:p>
    <w:p w:rsidR="000816BE" w:rsidP="000816BE">
      <w:pPr>
        <w:pStyle w:val="Version"/>
        <w:sectPr w:rsidSect="00AF2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A63" w:rsidP="00AF2A63">
      <w:pPr>
        <w:pStyle w:val="SuperHeading"/>
      </w:pPr>
      <w:r w:rsidRPr="00AF2A63">
        <w:t>ICTOPN4116A Use advanced optical test equipment</w:t>
      </w:r>
    </w:p>
    <w:p w:rsidR="00000000" w:rsidRPr="00AF2A63" w:rsidP="00AF2A63">
      <w:pPr>
        <w:pStyle w:val="Heading1"/>
      </w:pPr>
      <w:bookmarkStart w:id="1" w:name="O_271806"/>
      <w:bookmarkEnd w:id="1"/>
      <w:r w:rsidRPr="00AF2A63">
        <w:t>Modification History</w:t>
      </w:r>
    </w:p>
    <w:p w:rsidR="00000000" w:rsidRPr="00AF2A63" w:rsidP="00AF2A63">
      <w:pPr>
        <w:pStyle w:val="BodyText"/>
      </w:pPr>
      <w:r w:rsidRPr="00AF2A63">
        <w:t>Not Applicable</w:t>
      </w:r>
    </w:p>
    <w:p w:rsidR="00000000" w:rsidRPr="00AF2A63" w:rsidP="00AF2A63">
      <w:pPr>
        <w:pStyle w:val="AllowPageBreak"/>
      </w:pPr>
    </w:p>
    <w:p w:rsidR="00000000" w:rsidRPr="00AF2A63" w:rsidP="00AF2A63">
      <w:pPr>
        <w:pStyle w:val="Heading1"/>
      </w:pPr>
      <w:bookmarkStart w:id="2" w:name="O_209081"/>
      <w:bookmarkEnd w:id="2"/>
      <w:r w:rsidRPr="00AF2A63">
        <w:t>Unit Descriptor</w:t>
      </w:r>
    </w:p>
    <w:tbl>
      <w:tblPr>
        <w:tblW w:w="0" w:type="auto"/>
        <w:tblLayout w:type="fixed"/>
        <w:tblCellMar>
          <w:left w:w="62" w:type="dxa"/>
          <w:right w:w="62" w:type="dxa"/>
        </w:tblCellMar>
        <w:tblLook w:val="0000"/>
      </w:tblPr>
      <w:tblGrid>
        <w:gridCol w:w="2633"/>
        <w:gridCol w:w="5889"/>
      </w:tblGrid>
      <w:tr w:rsidTr="000816BE">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This unit describes the performance outcomes, skills and knowledge required to test optical communicati</w:t>
            </w:r>
            <w:r w:rsidRPr="00AF2A63">
              <w:t>on systems and components using advanced optical test equipment. It involves using the optical time domain reflectometer (OTDR), optical spectrum analyser (OSA) and optical return loss (ORL) test set for performance testing and link budget calculation.</w:t>
            </w:r>
          </w:p>
          <w:p w:rsidR="00000000" w:rsidRPr="00AF2A63" w:rsidP="00AF2A63">
            <w:pPr>
              <w:pStyle w:val="BodyText"/>
            </w:pPr>
          </w:p>
          <w:p w:rsidR="00000000" w:rsidRPr="00AF2A63" w:rsidP="00AF2A63">
            <w:pPr>
              <w:pStyle w:val="BodyText"/>
            </w:pPr>
            <w:r w:rsidRPr="00AF2A63">
              <w:t>Li</w:t>
            </w:r>
            <w:r w:rsidRPr="00AF2A63">
              <w:t xml:space="preserve">censing, legislative, regulatory and certification requirements apply to working at heights. If an elevated work platform (EWP) is required, verify state or territory law requirements for a licence to operate an EWP. Users should confirm requirements with </w:t>
            </w:r>
            <w:r w:rsidRPr="00AF2A63">
              <w:t>the relevant federal, state or territory authority.</w:t>
            </w:r>
          </w:p>
          <w:p w:rsidR="00000000" w:rsidRPr="00AF2A63" w:rsidP="00AF2A63">
            <w:pPr>
              <w:pStyle w:val="BodyText"/>
            </w:pPr>
          </w:p>
          <w:p w:rsidR="00000000" w:rsidRPr="00AF2A63" w:rsidP="00AF2A63">
            <w:pPr>
              <w:pStyle w:val="BodyText"/>
            </w:pPr>
            <w:r w:rsidRPr="00AF2A63">
              <w:t>If working at heights, achievement of the unit 'CPCPCM2015A Work safely on roofs' from the CPC08 Construction and Plumbing Services Integrated framework training Package fulfils this requirement.</w:t>
            </w:r>
          </w:p>
        </w:tc>
      </w:tr>
    </w:tbl>
    <w:p w:rsidR="000816BE" w:rsidP="00AF2A63">
      <w:pPr>
        <w:pStyle w:val="BodyText"/>
      </w:pPr>
    </w:p>
    <w:p w:rsidR="000816BE" w:rsidP="00AF2A63">
      <w:pPr>
        <w:pStyle w:val="BodyText"/>
      </w:pPr>
    </w:p>
    <w:p w:rsidR="00000000" w:rsidRPr="00AF2A63" w:rsidP="00AF2A63">
      <w:pPr>
        <w:pStyle w:val="Heading1"/>
      </w:pPr>
      <w:bookmarkStart w:id="3" w:name="O_209085"/>
      <w:bookmarkEnd w:id="3"/>
      <w:r w:rsidRPr="00AF2A63">
        <w:t>Application of the Unit</w:t>
      </w:r>
    </w:p>
    <w:tbl>
      <w:tblPr>
        <w:tblW w:w="0" w:type="auto"/>
        <w:tblLayout w:type="fixed"/>
        <w:tblCellMar>
          <w:left w:w="62" w:type="dxa"/>
          <w:right w:w="62" w:type="dxa"/>
        </w:tblCellMar>
        <w:tblLook w:val="0000"/>
      </w:tblPr>
      <w:tblGrid>
        <w:gridCol w:w="2722"/>
        <w:gridCol w:w="5800"/>
      </w:tblGrid>
      <w:tr w:rsidTr="000816BE">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Installation contractors, technical staff and field officers from telecommunications carriers or other private and public organisations, or regulatory authorities apply the skills and knowledg</w:t>
            </w:r>
            <w:r w:rsidRPr="00AF2A63">
              <w:t>e in this unit.</w:t>
            </w:r>
          </w:p>
          <w:p w:rsidR="00000000" w:rsidRPr="00AF2A63" w:rsidP="00AF2A63">
            <w:pPr>
              <w:pStyle w:val="BodyText"/>
            </w:pPr>
          </w:p>
          <w:p w:rsidR="00000000" w:rsidRPr="00AF2A63" w:rsidP="00AF2A63">
            <w:pPr>
              <w:pStyle w:val="BodyText"/>
            </w:pPr>
            <w:r w:rsidRPr="00AF2A63">
              <w:t>They combine technical skills with organisational and administrative skills to perform specialised testing of complex optical faults, optical network monitoring and link budget calculations on broadband passive optical network (PON), fibre</w:t>
            </w:r>
            <w:r w:rsidRPr="00AF2A63">
              <w:t xml:space="preserve"> to the x (FTTx) networks, hybrid fibre coaxial (HFC) networks and dense wavelength division multiplexing (DWDM) systems during installation, maintenance, commissioning and troubleshooting phases.</w:t>
            </w:r>
          </w:p>
        </w:tc>
      </w:tr>
    </w:tbl>
    <w:p w:rsidR="000816BE" w:rsidP="00AF2A63">
      <w:pPr>
        <w:pStyle w:val="BodyText"/>
      </w:pPr>
    </w:p>
    <w:p w:rsidR="000816BE" w:rsidP="00AF2A63">
      <w:pPr>
        <w:pStyle w:val="BodyText"/>
      </w:pPr>
    </w:p>
    <w:p w:rsidR="00000000" w:rsidRPr="00AF2A63" w:rsidP="00AF2A63">
      <w:pPr>
        <w:pStyle w:val="Heading1"/>
      </w:pPr>
      <w:bookmarkStart w:id="4" w:name="O_280066"/>
      <w:bookmarkEnd w:id="4"/>
      <w:r w:rsidRPr="00AF2A63">
        <w:t>Licensing/Regulatory Information</w:t>
      </w:r>
    </w:p>
    <w:p w:rsidR="00000000" w:rsidRPr="00AF2A63" w:rsidP="00AF2A63">
      <w:pPr>
        <w:pStyle w:val="BodyText"/>
      </w:pPr>
      <w:r w:rsidRPr="00AF2A63">
        <w:t xml:space="preserve">Refer </w:t>
      </w:r>
      <w:r w:rsidRPr="00AF2A63">
        <w:t>to Unit Descriptor</w:t>
      </w:r>
    </w:p>
    <w:p w:rsidR="00000000" w:rsidRPr="00AF2A63" w:rsidP="00AF2A63">
      <w:pPr>
        <w:pStyle w:val="AllowPageBreak"/>
      </w:pPr>
    </w:p>
    <w:p w:rsidR="00000000" w:rsidRPr="00AF2A63" w:rsidP="00AF2A63">
      <w:pPr>
        <w:pStyle w:val="Heading1"/>
      </w:pPr>
      <w:bookmarkStart w:id="5" w:name="O_209083"/>
      <w:bookmarkEnd w:id="5"/>
      <w:r w:rsidRPr="00AF2A63">
        <w:t>Pre-Requisites</w:t>
      </w:r>
    </w:p>
    <w:tbl>
      <w:tblPr>
        <w:tblW w:w="0" w:type="auto"/>
        <w:tblLayout w:type="fixed"/>
        <w:tblCellMar>
          <w:left w:w="62" w:type="dxa"/>
          <w:right w:w="62" w:type="dxa"/>
        </w:tblCellMar>
        <w:tblLook w:val="0000"/>
      </w:tblPr>
      <w:tblGrid>
        <w:gridCol w:w="2745"/>
        <w:gridCol w:w="1547"/>
        <w:gridCol w:w="4230"/>
      </w:tblGrid>
      <w:tr w:rsidTr="000816B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p>
        </w:tc>
      </w:tr>
      <w:tr w:rsidTr="000816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t xml:space="preserve">  </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p>
        </w:tc>
      </w:tr>
      <w:tr w:rsidTr="000816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p>
        </w:tc>
      </w:tr>
    </w:tbl>
    <w:p w:rsidR="000816BE" w:rsidP="00AF2A63">
      <w:pPr>
        <w:pStyle w:val="BodyText"/>
      </w:pPr>
    </w:p>
    <w:p w:rsidR="000816BE" w:rsidP="00AF2A63">
      <w:pPr>
        <w:pStyle w:val="BodyText"/>
      </w:pPr>
    </w:p>
    <w:p w:rsidR="00000000" w:rsidRPr="00AF2A63" w:rsidP="00AF2A63">
      <w:pPr>
        <w:pStyle w:val="Heading1"/>
      </w:pPr>
      <w:bookmarkStart w:id="6" w:name="O_209082"/>
      <w:bookmarkEnd w:id="6"/>
      <w:r w:rsidRPr="00AF2A63">
        <w:t>Employability Skills Information</w:t>
      </w:r>
    </w:p>
    <w:tbl>
      <w:tblPr>
        <w:tblW w:w="0" w:type="auto"/>
        <w:tblLayout w:type="fixed"/>
        <w:tblCellMar>
          <w:left w:w="62" w:type="dxa"/>
          <w:right w:w="62" w:type="dxa"/>
        </w:tblCellMar>
        <w:tblLook w:val="0000"/>
      </w:tblPr>
      <w:tblGrid>
        <w:gridCol w:w="2777"/>
        <w:gridCol w:w="5745"/>
      </w:tblGrid>
      <w:tr w:rsidTr="000816B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This unit contains employability skills.</w:t>
            </w:r>
          </w:p>
        </w:tc>
      </w:tr>
    </w:tbl>
    <w:p w:rsidR="000816BE" w:rsidP="00AF2A63">
      <w:pPr>
        <w:pStyle w:val="BodyText"/>
      </w:pPr>
    </w:p>
    <w:p w:rsidR="000816BE" w:rsidP="00AF2A63">
      <w:pPr>
        <w:pStyle w:val="BodyText"/>
      </w:pPr>
    </w:p>
    <w:p w:rsidR="00000000" w:rsidRPr="00AF2A63" w:rsidP="00AF2A63">
      <w:pPr>
        <w:pStyle w:val="Heading1"/>
      </w:pPr>
      <w:bookmarkStart w:id="7" w:name="O_289852"/>
      <w:bookmarkEnd w:id="7"/>
      <w:r w:rsidRPr="00AF2A63">
        <w:t>Elements and Performance Criteria Pre-Content</w:t>
      </w:r>
    </w:p>
    <w:tbl>
      <w:tblPr>
        <w:tblW w:w="0" w:type="auto"/>
        <w:tblLayout w:type="fixed"/>
        <w:tblCellMar>
          <w:left w:w="62" w:type="dxa"/>
          <w:right w:w="62" w:type="dxa"/>
        </w:tblCellMar>
        <w:tblLook w:val="0000"/>
      </w:tblPr>
      <w:tblGrid>
        <w:gridCol w:w="2578"/>
        <w:gridCol w:w="5944"/>
      </w:tblGrid>
      <w:tr w:rsidTr="000816B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Performance criteria describe the performance needed to demonstrate achievement of the element. Where bold italicised text is used, further info</w:t>
            </w:r>
            <w:r w:rsidRPr="00AF2A63">
              <w:t>rmation is detailed in the required skills and knowledge section and the range statement. Assessment of performance is to be consistent with the evidence guide.</w:t>
            </w:r>
          </w:p>
        </w:tc>
      </w:tr>
    </w:tbl>
    <w:p w:rsidR="00000000" w:rsidRPr="00AF2A63" w:rsidP="00AF2A63">
      <w:pPr>
        <w:pStyle w:val="BodyText"/>
      </w:pPr>
    </w:p>
    <w:p w:rsidR="00000000" w:rsidRPr="00AF2A63" w:rsidP="00AF2A63">
      <w:pPr>
        <w:pStyle w:val="AllowPageBreak"/>
      </w:pPr>
    </w:p>
    <w:p w:rsidR="00000000" w:rsidRPr="00AF2A63" w:rsidP="00AF2A63">
      <w:pPr>
        <w:pStyle w:val="Heading1"/>
      </w:pPr>
      <w:bookmarkStart w:id="8" w:name="O_236519"/>
      <w:bookmarkEnd w:id="8"/>
      <w:r w:rsidRPr="00AF2A63">
        <w:t>Elements and Performance Criteria</w:t>
      </w:r>
    </w:p>
    <w:tbl>
      <w:tblPr>
        <w:tblW w:w="0" w:type="auto"/>
        <w:tblLayout w:type="fixed"/>
        <w:tblCellMar>
          <w:left w:w="62" w:type="dxa"/>
          <w:right w:w="62" w:type="dxa"/>
        </w:tblCellMar>
        <w:tblLook w:val="0000"/>
      </w:tblPr>
      <w:tblGrid>
        <w:gridCol w:w="2578"/>
        <w:gridCol w:w="5944"/>
      </w:tblGrid>
      <w:tr w:rsidTr="000816B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PERFORMANCE CRITERIA</w:t>
            </w:r>
          </w:p>
        </w:tc>
      </w:tr>
      <w:tr w:rsidTr="000816B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List"/>
              <w:rPr>
                <w:lang w:val="en-NZ"/>
              </w:rPr>
            </w:pPr>
            <w:r w:rsidRPr="00AF2A63">
              <w:t>1.</w:t>
            </w:r>
            <w:r w:rsidRPr="00AF2A63">
              <w:tab/>
            </w:r>
            <w:r w:rsidRPr="00AF2A63">
              <w:t>Prepare to use advanced optical measuring instruments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2"/>
            </w:pPr>
            <w:r w:rsidRPr="00AF2A63">
              <w:t>1.1.</w:t>
            </w:r>
            <w:r w:rsidRPr="00AF2A63">
              <w:tab/>
              <w:t xml:space="preserve">Obtain </w:t>
            </w:r>
            <w:r w:rsidRPr="00AF2A63">
              <w:rPr>
                <w:rStyle w:val="BoldandItalics"/>
              </w:rPr>
              <w:t>relevant legislation</w:t>
            </w:r>
            <w:r w:rsidRPr="00AF2A63">
              <w:t xml:space="preserve">, </w:t>
            </w:r>
            <w:r w:rsidRPr="00AF2A63">
              <w:rPr>
                <w:rStyle w:val="BoldandItalics"/>
              </w:rPr>
              <w:t>codes</w:t>
            </w:r>
            <w:r w:rsidRPr="00AF2A63">
              <w:t xml:space="preserve">, </w:t>
            </w:r>
            <w:r w:rsidRPr="00AF2A63">
              <w:rPr>
                <w:rStyle w:val="BoldandItalics"/>
              </w:rPr>
              <w:t>regulations and standards</w:t>
            </w:r>
            <w:r w:rsidRPr="00AF2A63">
              <w:t xml:space="preserve"> for compliance when conducting work</w:t>
            </w:r>
          </w:p>
          <w:p w:rsidR="00000000" w:rsidRPr="00AF2A63" w:rsidP="00AF2A63">
            <w:pPr>
              <w:pStyle w:val="List2"/>
            </w:pPr>
            <w:r w:rsidRPr="00AF2A63">
              <w:t>1.2.</w:t>
            </w:r>
            <w:r w:rsidRPr="00AF2A63">
              <w:tab/>
              <w:t xml:space="preserve">Notify </w:t>
            </w:r>
            <w:r w:rsidRPr="00AF2A63">
              <w:rPr>
                <w:rStyle w:val="BoldandItalics"/>
              </w:rPr>
              <w:t>customer</w:t>
            </w:r>
            <w:r w:rsidRPr="00AF2A63">
              <w:t xml:space="preserve"> for site access, security arrangements and location details of </w:t>
            </w:r>
            <w:r w:rsidRPr="00AF2A63">
              <w:rPr>
                <w:rStyle w:val="BoldandItalics"/>
              </w:rPr>
              <w:t>optical system</w:t>
            </w:r>
            <w:r w:rsidRPr="00AF2A63">
              <w:t xml:space="preserve"> </w:t>
            </w:r>
            <w:r w:rsidRPr="00AF2A63">
              <w:t>and test purpose</w:t>
            </w:r>
          </w:p>
          <w:p w:rsidR="00000000" w:rsidRPr="00AF2A63" w:rsidP="00AF2A63">
            <w:pPr>
              <w:pStyle w:val="List2"/>
            </w:pPr>
            <w:r w:rsidRPr="00AF2A63">
              <w:t>1.3.</w:t>
            </w:r>
            <w:r w:rsidRPr="00AF2A63">
              <w:tab/>
              <w:t xml:space="preserve">Identify site </w:t>
            </w:r>
            <w:r w:rsidRPr="00AF2A63">
              <w:rPr>
                <w:rStyle w:val="BoldandItalics"/>
              </w:rPr>
              <w:t>hazards</w:t>
            </w:r>
            <w:r w:rsidRPr="00AF2A63">
              <w:t xml:space="preserve"> and notify appropriate personnel to make site safe</w:t>
            </w:r>
          </w:p>
          <w:p w:rsidR="00000000" w:rsidRPr="00AF2A63" w:rsidP="00AF2A63">
            <w:pPr>
              <w:pStyle w:val="List2"/>
            </w:pPr>
            <w:r w:rsidRPr="00AF2A63">
              <w:t>1.4.</w:t>
            </w:r>
            <w:r w:rsidRPr="00AF2A63">
              <w:tab/>
              <w:t>Devise and implement risk control measures of hazards with handling of optical fibres and lasers in consultation with appropriate personnel</w:t>
            </w:r>
          </w:p>
          <w:p w:rsidR="00000000" w:rsidRPr="00AF2A63" w:rsidP="00AF2A63">
            <w:pPr>
              <w:pStyle w:val="List2"/>
            </w:pPr>
            <w:r w:rsidRPr="00AF2A63">
              <w:t>1.5.</w:t>
            </w:r>
            <w:r w:rsidRPr="00AF2A63">
              <w:tab/>
              <w:t xml:space="preserve">Prepare a </w:t>
            </w:r>
            <w:r w:rsidRPr="00AF2A63">
              <w:rPr>
                <w:rStyle w:val="BoldandItalics"/>
              </w:rPr>
              <w:t>testing plan</w:t>
            </w:r>
            <w:r w:rsidRPr="00AF2A63">
              <w:t xml:space="preserve"> indicating the </w:t>
            </w:r>
            <w:r w:rsidRPr="00AF2A63">
              <w:rPr>
                <w:rStyle w:val="BoldandItalics"/>
              </w:rPr>
              <w:t>type of measurement</w:t>
            </w:r>
            <w:r w:rsidRPr="00AF2A63">
              <w:t xml:space="preserve">, procedures and nominated </w:t>
            </w:r>
            <w:r w:rsidRPr="00AF2A63">
              <w:rPr>
                <w:rStyle w:val="BoldandItalics"/>
              </w:rPr>
              <w:t>wavelength</w:t>
            </w:r>
            <w:r w:rsidRPr="00AF2A63">
              <w:t xml:space="preserve"> and seek approval from customer</w:t>
            </w:r>
          </w:p>
          <w:p w:rsidR="00000000" w:rsidP="00AF2A63">
            <w:pPr>
              <w:pStyle w:val="List2"/>
              <w:rPr>
                <w:lang w:val="en-NZ"/>
              </w:rPr>
            </w:pPr>
            <w:r w:rsidRPr="00AF2A63">
              <w:t>1.6.</w:t>
            </w:r>
            <w:r w:rsidRPr="00AF2A63">
              <w:tab/>
              <w:t xml:space="preserve">Select the appropriate </w:t>
            </w:r>
            <w:r w:rsidRPr="00AF2A63">
              <w:rPr>
                <w:rStyle w:val="BoldandItalics"/>
              </w:rPr>
              <w:t>tools</w:t>
            </w:r>
            <w:r w:rsidRPr="00AF2A63">
              <w:t xml:space="preserve"> and </w:t>
            </w:r>
            <w:r w:rsidRPr="00AF2A63">
              <w:rPr>
                <w:rStyle w:val="BoldandItalics"/>
              </w:rPr>
              <w:t>test instruments</w:t>
            </w:r>
            <w:r w:rsidRPr="00AF2A63">
              <w:t xml:space="preserve"> according to the required measurement and enterprise practice</w:t>
            </w:r>
          </w:p>
        </w:tc>
      </w:tr>
      <w:tr w:rsidTr="000816B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List"/>
              <w:rPr>
                <w:lang w:val="en-NZ"/>
              </w:rPr>
            </w:pPr>
            <w:r w:rsidRPr="00AF2A63">
              <w:t>2.</w:t>
            </w:r>
            <w:r w:rsidRPr="00AF2A63">
              <w:tab/>
              <w:t>Evaluate optical p</w:t>
            </w:r>
            <w:r w:rsidRPr="00AF2A63">
              <w:t>erformance and link budget using  advanced optical test equipment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2"/>
            </w:pPr>
            <w:r w:rsidRPr="00AF2A63">
              <w:t>2.1.</w:t>
            </w:r>
            <w:r w:rsidRPr="00AF2A63">
              <w:tab/>
              <w:t>Set up test instrument according to manufacturer's instructions and occupational health and safety (</w:t>
            </w:r>
            <w:r w:rsidRPr="00AF2A63">
              <w:rPr>
                <w:rStyle w:val="BoldandItalics"/>
              </w:rPr>
              <w:t>OHS</w:t>
            </w:r>
            <w:r w:rsidRPr="00AF2A63">
              <w:t xml:space="preserve">) </w:t>
            </w:r>
            <w:r w:rsidRPr="00AF2A63">
              <w:rPr>
                <w:rStyle w:val="BoldandItalics"/>
              </w:rPr>
              <w:t>and environmental requirements</w:t>
            </w:r>
            <w:r w:rsidRPr="00AF2A63">
              <w:t xml:space="preserve"> </w:t>
            </w:r>
          </w:p>
          <w:p w:rsidR="00000000" w:rsidRPr="00AF2A63" w:rsidP="00AF2A63">
            <w:pPr>
              <w:pStyle w:val="List2"/>
            </w:pPr>
            <w:r w:rsidRPr="00AF2A63">
              <w:t>2.2.</w:t>
            </w:r>
            <w:r w:rsidRPr="00AF2A63">
              <w:tab/>
              <w:t>Perform measurement using knowledge of appr</w:t>
            </w:r>
            <w:r w:rsidRPr="00AF2A63">
              <w:t>opriate testing techniques and advanced test equipment in a safe manner to evaluate the performance of optical system and component</w:t>
            </w:r>
          </w:p>
          <w:p w:rsidR="00000000" w:rsidRPr="00AF2A63" w:rsidP="00AF2A63">
            <w:pPr>
              <w:pStyle w:val="List2"/>
            </w:pPr>
            <w:r w:rsidRPr="00AF2A63">
              <w:t>2.3.</w:t>
            </w:r>
            <w:r w:rsidRPr="00AF2A63">
              <w:tab/>
              <w:t>Record test results and compare with standard test specifications from manufacturer's and enterprise guidelines</w:t>
            </w:r>
          </w:p>
          <w:p w:rsidR="00000000" w:rsidRPr="00AF2A63" w:rsidP="00AF2A63">
            <w:pPr>
              <w:pStyle w:val="List2"/>
            </w:pPr>
            <w:r w:rsidRPr="00AF2A63">
              <w:t>2.4.</w:t>
            </w:r>
            <w:r w:rsidRPr="00AF2A63">
              <w:tab/>
              <w:t>Pe</w:t>
            </w:r>
            <w:r w:rsidRPr="00AF2A63">
              <w:t>rform end-to-end measurements on an optical link to a customer and record test results and test points</w:t>
            </w:r>
          </w:p>
          <w:p w:rsidR="00000000" w:rsidRPr="00AF2A63" w:rsidP="00AF2A63">
            <w:pPr>
              <w:pStyle w:val="List2"/>
            </w:pPr>
            <w:r w:rsidRPr="00AF2A63">
              <w:t>2.5.</w:t>
            </w:r>
            <w:r w:rsidRPr="00AF2A63">
              <w:tab/>
              <w:t>Calculate the optical losses for a link budget figure of an optical link to determine if within operational margins as specified in manufacturer's m</w:t>
            </w:r>
            <w:r w:rsidRPr="00AF2A63">
              <w:t>anual</w:t>
            </w:r>
          </w:p>
          <w:p w:rsidR="00000000" w:rsidP="00AF2A63">
            <w:pPr>
              <w:pStyle w:val="List2"/>
              <w:rPr>
                <w:lang w:val="en-NZ"/>
              </w:rPr>
            </w:pPr>
            <w:r w:rsidRPr="00AF2A63">
              <w:t>2.6.</w:t>
            </w:r>
            <w:r w:rsidRPr="00AF2A63">
              <w:tab/>
              <w:t>Evaluate the test results and report on the functionality of the optical component or equipment and the performance of the optical link</w:t>
            </w:r>
          </w:p>
        </w:tc>
      </w:tr>
      <w:tr w:rsidTr="000816B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List"/>
              <w:rPr>
                <w:lang w:val="en-NZ"/>
              </w:rPr>
            </w:pPr>
            <w:r w:rsidRPr="00AF2A63">
              <w:t>3.</w:t>
            </w:r>
            <w:r w:rsidRPr="00AF2A63">
              <w:tab/>
              <w:t>Document measurement results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2"/>
            </w:pPr>
            <w:r w:rsidRPr="00AF2A63">
              <w:t>3.1.</w:t>
            </w:r>
            <w:r w:rsidRPr="00AF2A63">
              <w:tab/>
              <w:t xml:space="preserve">Document test results for future reference and make recommendations on </w:t>
            </w:r>
            <w:r w:rsidRPr="00AF2A63">
              <w:t xml:space="preserve">optimising component and system performance </w:t>
            </w:r>
          </w:p>
          <w:p w:rsidR="00000000" w:rsidRPr="00AF2A63" w:rsidP="00AF2A63">
            <w:pPr>
              <w:pStyle w:val="List2"/>
            </w:pPr>
            <w:r w:rsidRPr="00AF2A63">
              <w:t>3.2.</w:t>
            </w:r>
            <w:r w:rsidRPr="00AF2A63">
              <w:tab/>
              <w:t>Clean worksite and make safe according to the enterprise requirements and to customer satisfaction</w:t>
            </w:r>
          </w:p>
          <w:p w:rsidR="00000000" w:rsidRPr="00AF2A63" w:rsidP="00AF2A63">
            <w:pPr>
              <w:pStyle w:val="List2"/>
            </w:pPr>
            <w:r w:rsidRPr="00AF2A63">
              <w:t>3.3.</w:t>
            </w:r>
            <w:r w:rsidRPr="00AF2A63">
              <w:tab/>
              <w:t>Notify appropriate personnel of job completion for sign off and present test documentations</w:t>
            </w:r>
          </w:p>
        </w:tc>
      </w:tr>
    </w:tbl>
    <w:p w:rsidR="000816BE" w:rsidP="00AF2A63">
      <w:pPr>
        <w:pStyle w:val="BodyText"/>
      </w:pPr>
    </w:p>
    <w:p w:rsidR="000816BE" w:rsidP="00AF2A63">
      <w:pPr>
        <w:pStyle w:val="BodyText"/>
      </w:pPr>
    </w:p>
    <w:p w:rsidR="00000000" w:rsidRPr="00AF2A63" w:rsidP="00AF2A63">
      <w:pPr>
        <w:pStyle w:val="Heading1"/>
      </w:pPr>
      <w:bookmarkStart w:id="9" w:name="O_260469"/>
      <w:bookmarkEnd w:id="9"/>
      <w:r w:rsidRPr="00AF2A63">
        <w:t>Required Skills and Knowledge</w:t>
      </w:r>
    </w:p>
    <w:tbl>
      <w:tblPr>
        <w:tblW w:w="0" w:type="auto"/>
        <w:tblLayout w:type="fixed"/>
        <w:tblCellMar>
          <w:left w:w="62" w:type="dxa"/>
          <w:right w:w="62" w:type="dxa"/>
        </w:tblCellMar>
        <w:tblLook w:val="0000"/>
      </w:tblPr>
      <w:tblGrid>
        <w:gridCol w:w="8522"/>
      </w:tblGrid>
      <w:tr w:rsidTr="000816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REQUIRED SKILLS AND KNOWLEDGE</w:t>
            </w:r>
          </w:p>
        </w:tc>
      </w:tr>
      <w:tr w:rsidTr="000816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t>This section describes the skills and knowledge required for this unit.</w:t>
            </w:r>
          </w:p>
        </w:tc>
      </w:tr>
      <w:tr w:rsidTr="00081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Required skills</w:t>
            </w:r>
          </w:p>
        </w:tc>
      </w:tr>
      <w:tr w:rsidTr="00081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 xml:space="preserve">communication skills to liaise with customers and enterprise staff </w:t>
            </w:r>
          </w:p>
          <w:p w:rsidR="00000000" w:rsidRPr="00AF2A63" w:rsidP="00AF2A63">
            <w:pPr>
              <w:pStyle w:val="ListBullet"/>
            </w:pPr>
            <w:r w:rsidRPr="00AF2A63">
              <w:t>literacy skills to read and interpret work instructions and document work</w:t>
            </w:r>
          </w:p>
          <w:p w:rsidR="00000000" w:rsidRPr="00AF2A63" w:rsidP="00AF2A63">
            <w:pPr>
              <w:pStyle w:val="ListBullet"/>
            </w:pPr>
            <w:r w:rsidRPr="00AF2A63">
              <w:t>numeracy skills to gather and record data from measurements</w:t>
            </w:r>
          </w:p>
          <w:p w:rsidR="00000000" w:rsidRPr="00AF2A63" w:rsidP="00AF2A63">
            <w:pPr>
              <w:pStyle w:val="ListBullet"/>
            </w:pPr>
            <w:r w:rsidRPr="00AF2A63">
              <w:t>planning and organisational skills to plan prioritise and manage own work</w:t>
            </w:r>
          </w:p>
          <w:p w:rsidR="00000000" w:rsidRPr="00AF2A63" w:rsidP="00AF2A63">
            <w:pPr>
              <w:pStyle w:val="ListBullet"/>
            </w:pPr>
            <w:r w:rsidRPr="00AF2A63">
              <w:t>safety awareness skills to:</w:t>
            </w:r>
          </w:p>
          <w:p w:rsidR="00000000" w:rsidRPr="00AF2A63" w:rsidP="00AF2A63">
            <w:pPr>
              <w:pStyle w:val="ListBullet2"/>
            </w:pPr>
            <w:r w:rsidRPr="00AF2A63">
              <w:t>apply precautions a</w:t>
            </w:r>
            <w:r w:rsidRPr="00AF2A63">
              <w:t>nd required action to minimise, control or eliminate hazards that may exist during work activities</w:t>
            </w:r>
          </w:p>
          <w:p w:rsidR="00000000" w:rsidRPr="00AF2A63" w:rsidP="00AF2A63">
            <w:pPr>
              <w:pStyle w:val="ListBullet2"/>
            </w:pPr>
            <w:r w:rsidRPr="00AF2A63">
              <w:t>select and use required personal protective equipment conforming to industry and OHS standards</w:t>
            </w:r>
          </w:p>
          <w:p w:rsidR="00000000" w:rsidRPr="00AF2A63" w:rsidP="00AF2A63">
            <w:pPr>
              <w:pStyle w:val="ListBullet2"/>
            </w:pPr>
            <w:r w:rsidRPr="00AF2A63">
              <w:t>work systematically with require</w:t>
            </w:r>
            <w:r w:rsidRPr="00AF2A63">
              <w:t xml:space="preserve">d attention to detail without injury to self or others, or damage to goods or equipment </w:t>
            </w:r>
          </w:p>
          <w:p w:rsidR="00000000" w:rsidRPr="00AF2A63" w:rsidP="00AF2A63">
            <w:pPr>
              <w:pStyle w:val="ListBullet"/>
            </w:pPr>
            <w:r w:rsidRPr="00AF2A63">
              <w:t>technical skills to:</w:t>
            </w:r>
          </w:p>
          <w:p w:rsidR="00000000" w:rsidRPr="00AF2A63" w:rsidP="00AF2A63">
            <w:pPr>
              <w:pStyle w:val="ListBullet2"/>
            </w:pPr>
            <w:r w:rsidRPr="00AF2A63">
              <w:t>clean an optical connector to an acceptable industry standard</w:t>
            </w:r>
          </w:p>
          <w:p w:rsidR="00000000" w:rsidRPr="00AF2A63" w:rsidP="00AF2A63">
            <w:pPr>
              <w:pStyle w:val="ListBullet2"/>
            </w:pPr>
            <w:r w:rsidRPr="00AF2A63">
              <w:t>safely inspect an optical connector for contamination and determine if cleaning is</w:t>
            </w:r>
            <w:r w:rsidRPr="00AF2A63">
              <w:t xml:space="preserve"> necessary</w:t>
            </w:r>
          </w:p>
          <w:p w:rsidR="00000000" w:rsidRPr="00AF2A63" w:rsidP="00AF2A63">
            <w:pPr>
              <w:pStyle w:val="ListBullet2"/>
            </w:pPr>
            <w:r w:rsidRPr="00AF2A63">
              <w:t>safely operate:</w:t>
            </w:r>
          </w:p>
          <w:p w:rsidR="00000000" w:rsidRPr="00AF2A63" w:rsidP="00AF2A63">
            <w:pPr>
              <w:pStyle w:val="ListBullet3"/>
            </w:pPr>
            <w:r w:rsidRPr="00AF2A63">
              <w:t xml:space="preserve">optical loss test set (OLTS) </w:t>
            </w:r>
          </w:p>
          <w:p w:rsidR="00000000" w:rsidRPr="00AF2A63" w:rsidP="00AF2A63">
            <w:pPr>
              <w:pStyle w:val="ListBullet3"/>
            </w:pPr>
            <w:r w:rsidRPr="00AF2A63">
              <w:t>optical time domain reflectometer (OTDR)</w:t>
            </w:r>
          </w:p>
          <w:p w:rsidR="00000000" w:rsidP="00AF2A63">
            <w:pPr>
              <w:pStyle w:val="ListBullet3"/>
              <w:rPr>
                <w:lang w:val="en-NZ"/>
              </w:rPr>
            </w:pPr>
            <w:r w:rsidRPr="00AF2A63">
              <w:t>PON power meter</w:t>
            </w:r>
          </w:p>
        </w:tc>
      </w:tr>
      <w:tr w:rsidTr="00081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Required knowledge</w:t>
            </w:r>
          </w:p>
        </w:tc>
      </w:tr>
      <w:tr w:rsidTr="00081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consequences of mating contaminated optical connectors</w:t>
            </w:r>
          </w:p>
          <w:p w:rsidR="00000000" w:rsidRPr="00AF2A63" w:rsidP="00AF2A63">
            <w:pPr>
              <w:pStyle w:val="ListBullet"/>
            </w:pPr>
            <w:r w:rsidRPr="00AF2A63">
              <w:t xml:space="preserve">decibels, dBm </w:t>
            </w:r>
          </w:p>
          <w:p w:rsidR="00000000" w:rsidRPr="00AF2A63" w:rsidP="00AF2A63">
            <w:pPr>
              <w:pStyle w:val="ListBullet"/>
            </w:pPr>
            <w:r w:rsidRPr="00AF2A63">
              <w:t>downstream and upstream signals</w:t>
            </w:r>
          </w:p>
          <w:p w:rsidR="00000000" w:rsidRPr="00AF2A63" w:rsidP="00AF2A63">
            <w:pPr>
              <w:pStyle w:val="ListBullet"/>
            </w:pPr>
            <w:r w:rsidRPr="00AF2A63">
              <w:t>DWDM metro and long haul system architecture</w:t>
            </w:r>
          </w:p>
          <w:p w:rsidR="00000000" w:rsidRPr="00AF2A63" w:rsidP="00AF2A63">
            <w:pPr>
              <w:pStyle w:val="ListBullet"/>
            </w:pPr>
            <w:r w:rsidRPr="00AF2A63">
              <w:t>measurement of DWDM signals</w:t>
            </w:r>
          </w:p>
          <w:p w:rsidR="00000000" w:rsidRPr="00AF2A63" w:rsidP="00AF2A63">
            <w:pPr>
              <w:pStyle w:val="ListBullet"/>
            </w:pPr>
            <w:r w:rsidRPr="00AF2A63">
              <w:t xml:space="preserve">measurement of gain and gain flatness of optical amplifier </w:t>
            </w:r>
          </w:p>
          <w:p w:rsidR="00000000" w:rsidRPr="00AF2A63" w:rsidP="00AF2A63">
            <w:pPr>
              <w:pStyle w:val="ListBullet"/>
            </w:pPr>
            <w:r w:rsidRPr="00AF2A63">
              <w:t>measurement of laser spectral stability, drift and unexpected variation in spectral transmission characteristics</w:t>
            </w:r>
          </w:p>
          <w:p w:rsidR="00000000" w:rsidRPr="00AF2A63" w:rsidP="00AF2A63">
            <w:pPr>
              <w:pStyle w:val="ListBullet"/>
            </w:pPr>
            <w:r w:rsidRPr="00AF2A63">
              <w:t>non-linear</w:t>
            </w:r>
            <w:r w:rsidRPr="00AF2A63">
              <w:t xml:space="preserve"> effects, four-wave mixing</w:t>
            </w:r>
          </w:p>
          <w:p w:rsidR="00000000" w:rsidRPr="00AF2A63" w:rsidP="00AF2A63">
            <w:pPr>
              <w:pStyle w:val="ListBullet"/>
            </w:pPr>
            <w:r w:rsidRPr="00AF2A63">
              <w:t>optical connector types</w:t>
            </w:r>
          </w:p>
          <w:p w:rsidR="00000000" w:rsidRPr="00AF2A63" w:rsidP="00AF2A63">
            <w:pPr>
              <w:pStyle w:val="ListBullet"/>
            </w:pPr>
            <w:r w:rsidRPr="00AF2A63">
              <w:t>optical signal to noise ratio (OSNR)</w:t>
            </w:r>
          </w:p>
          <w:p w:rsidR="00000000" w:rsidRPr="00AF2A63" w:rsidP="00AF2A63">
            <w:pPr>
              <w:pStyle w:val="ListBullet"/>
            </w:pPr>
            <w:r w:rsidRPr="00AF2A63">
              <w:t>optical spectrum limits, wavelengths used in various applications and International Telecommunications Union (ITU) grid</w:t>
            </w:r>
          </w:p>
          <w:p w:rsidR="00000000" w:rsidRPr="00AF2A63" w:rsidP="00AF2A63">
            <w:pPr>
              <w:pStyle w:val="ListBullet"/>
            </w:pPr>
            <w:r w:rsidRPr="00AF2A63">
              <w:t>optical transmitters and receivers</w:t>
            </w:r>
          </w:p>
          <w:p w:rsidR="00000000" w:rsidRPr="00AF2A63" w:rsidP="00AF2A63">
            <w:pPr>
              <w:pStyle w:val="ListBullet"/>
            </w:pPr>
            <w:r w:rsidRPr="00AF2A63">
              <w:t>ORL</w:t>
            </w:r>
          </w:p>
          <w:p w:rsidR="00000000" w:rsidRPr="00AF2A63" w:rsidP="00AF2A63">
            <w:pPr>
              <w:pStyle w:val="ListBullet"/>
            </w:pPr>
            <w:r w:rsidRPr="00AF2A63">
              <w:t>OTDR dead</w:t>
            </w:r>
            <w:r w:rsidRPr="00AF2A63">
              <w:t xml:space="preserve"> zones, dynamic range and launch cable</w:t>
            </w:r>
          </w:p>
          <w:p w:rsidR="00000000" w:rsidRPr="00AF2A63" w:rsidP="00AF2A63">
            <w:pPr>
              <w:pStyle w:val="ListBullet"/>
            </w:pPr>
            <w:r w:rsidRPr="00AF2A63">
              <w:t>reflectance</w:t>
            </w:r>
          </w:p>
          <w:p w:rsidR="00000000" w:rsidRPr="00AF2A63" w:rsidP="00AF2A63">
            <w:pPr>
              <w:pStyle w:val="ListBullet"/>
            </w:pPr>
            <w:r w:rsidRPr="00AF2A63">
              <w:t>safe handling procedures with optical fibres</w:t>
            </w:r>
          </w:p>
          <w:p w:rsidR="00000000" w:rsidRPr="00AF2A63" w:rsidP="00AF2A63">
            <w:pPr>
              <w:pStyle w:val="ListBullet"/>
            </w:pPr>
            <w:r w:rsidRPr="00AF2A63">
              <w:t>transmission system line rates:</w:t>
            </w:r>
          </w:p>
          <w:p w:rsidR="00000000" w:rsidRPr="00AF2A63" w:rsidP="00AF2A63">
            <w:pPr>
              <w:pStyle w:val="ListBullet2"/>
            </w:pPr>
            <w:r w:rsidRPr="00AF2A63">
              <w:t>optical Ethernet</w:t>
            </w:r>
          </w:p>
          <w:p w:rsidR="00000000" w:rsidRPr="00AF2A63" w:rsidP="00AF2A63">
            <w:pPr>
              <w:pStyle w:val="ListBullet2"/>
            </w:pPr>
            <w:r w:rsidRPr="00AF2A63">
              <w:t>optical transport network (OTN)</w:t>
            </w:r>
          </w:p>
          <w:p w:rsidR="00000000" w:rsidRPr="00AF2A63" w:rsidP="00AF2A63">
            <w:pPr>
              <w:pStyle w:val="ListBullet2"/>
            </w:pPr>
            <w:r w:rsidRPr="00AF2A63">
              <w:t xml:space="preserve">synchronous digital hierarchy (SDH) </w:t>
            </w:r>
          </w:p>
          <w:p w:rsidR="00000000" w:rsidRPr="00AF2A63" w:rsidP="00AF2A63">
            <w:pPr>
              <w:pStyle w:val="ListBullet"/>
            </w:pPr>
            <w:r w:rsidRPr="00AF2A63">
              <w:t xml:space="preserve">wavelength </w:t>
            </w:r>
            <w:r w:rsidRPr="00AF2A63">
              <w:t>division multiplexing (WDM), coarse wavelength division multiplexing (CWDM) and DWDM principles and optical multiplexers</w:t>
            </w:r>
          </w:p>
        </w:tc>
      </w:tr>
    </w:tbl>
    <w:p w:rsidR="000816BE" w:rsidP="00AF2A63">
      <w:pPr>
        <w:pStyle w:val="BodyText"/>
      </w:pPr>
    </w:p>
    <w:p w:rsidR="000816BE" w:rsidP="00AF2A63">
      <w:pPr>
        <w:pStyle w:val="BodyText"/>
      </w:pPr>
    </w:p>
    <w:p w:rsidR="00000000" w:rsidRPr="00AF2A63" w:rsidP="00AF2A63">
      <w:pPr>
        <w:pStyle w:val="AllowPageBreak"/>
      </w:pPr>
    </w:p>
    <w:p w:rsidR="00000000" w:rsidRPr="00AF2A63" w:rsidP="00AF2A63">
      <w:pPr>
        <w:pStyle w:val="Heading1"/>
      </w:pPr>
      <w:bookmarkStart w:id="10" w:name="O_244503"/>
      <w:bookmarkEnd w:id="10"/>
      <w:r w:rsidRPr="00AF2A63">
        <w:t>Evidence Guide</w:t>
      </w:r>
    </w:p>
    <w:tbl>
      <w:tblPr>
        <w:tblW w:w="9570" w:type="dxa"/>
        <w:tblLayout w:type="fixed"/>
        <w:tblCellMar>
          <w:left w:w="62" w:type="dxa"/>
          <w:right w:w="62" w:type="dxa"/>
        </w:tblCellMar>
        <w:tblLook w:val="0000"/>
      </w:tblPr>
      <w:tblGrid>
        <w:gridCol w:w="3908"/>
        <w:gridCol w:w="5662"/>
      </w:tblGrid>
      <w:tr w:rsidTr="000816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EVIDENCE GUIDE</w:t>
            </w:r>
          </w:p>
        </w:tc>
      </w:tr>
      <w:tr w:rsidTr="000816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t>The evidence guide provides advice on assessment and must be read in conjunction with the performance criteria, required skills and knowledge, range statement and the Assessment Guidelines for the Training Package.</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Critical aspec</w:t>
            </w:r>
            <w:r w:rsidRPr="00AF2A6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Evidence of the ability to :</w:t>
            </w:r>
          </w:p>
          <w:p w:rsidR="00000000" w:rsidRPr="00AF2A63" w:rsidP="00AF2A63">
            <w:pPr>
              <w:pStyle w:val="ListBullet"/>
            </w:pPr>
            <w:r w:rsidRPr="00AF2A63">
              <w:t xml:space="preserve">use OTDR, OSA and ORL advanced optical test equipment  to: </w:t>
            </w:r>
          </w:p>
          <w:p w:rsidR="00000000" w:rsidRPr="00AF2A63" w:rsidP="00AF2A63">
            <w:pPr>
              <w:pStyle w:val="ListBullet2"/>
            </w:pPr>
            <w:r w:rsidRPr="00AF2A63">
              <w:t>measure optical power level</w:t>
            </w:r>
          </w:p>
          <w:p w:rsidR="00000000" w:rsidRPr="00AF2A63" w:rsidP="00AF2A63">
            <w:pPr>
              <w:pStyle w:val="ListBullet2"/>
            </w:pPr>
            <w:r w:rsidRPr="00AF2A63">
              <w:t>measure insertion loss of optical network</w:t>
            </w:r>
          </w:p>
          <w:p w:rsidR="00000000" w:rsidRPr="00AF2A63" w:rsidP="00AF2A63">
            <w:pPr>
              <w:pStyle w:val="ListBullet2"/>
            </w:pPr>
            <w:r w:rsidRPr="00AF2A63">
              <w:t>measure end-to-end fibre loss (bi-directional)</w:t>
            </w:r>
          </w:p>
          <w:p w:rsidR="00000000" w:rsidRPr="00AF2A63" w:rsidP="00AF2A63">
            <w:pPr>
              <w:pStyle w:val="ListBullet2"/>
            </w:pPr>
            <w:r w:rsidRPr="00AF2A63">
              <w:t>test and calculate optical link budget</w:t>
            </w:r>
          </w:p>
          <w:p w:rsidR="00000000" w:rsidP="00AF2A63">
            <w:pPr>
              <w:pStyle w:val="ListBullet2"/>
              <w:rPr>
                <w:lang w:val="en-NZ"/>
              </w:rPr>
            </w:pPr>
            <w:r w:rsidRPr="00AF2A63">
              <w:t>comply with all related OHS requirements and work practices.</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Assessment must ensure:</w:t>
            </w:r>
          </w:p>
          <w:p w:rsidR="00000000" w:rsidRPr="00AF2A63" w:rsidP="00AF2A63">
            <w:pPr>
              <w:pStyle w:val="ListBullet"/>
            </w:pPr>
            <w:r w:rsidRPr="00AF2A63">
              <w:t>sites on which optical measurements can be conducted</w:t>
            </w:r>
          </w:p>
          <w:p w:rsidR="00000000" w:rsidRPr="00AF2A63" w:rsidP="00AF2A63">
            <w:pPr>
              <w:pStyle w:val="ListBullet"/>
            </w:pPr>
            <w:r w:rsidRPr="00AF2A63">
              <w:t>tools and equipment required for measurements</w:t>
            </w:r>
          </w:p>
          <w:p w:rsidR="00000000" w:rsidP="00AF2A63">
            <w:pPr>
              <w:pStyle w:val="ListBullet"/>
              <w:rPr>
                <w:lang w:val="en-NZ"/>
              </w:rPr>
            </w:pPr>
            <w:r w:rsidRPr="00AF2A63">
              <w:t>manufacturer's documentation for test instruments and equipment under test.</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A range of assessment methods should be used to assess prac</w:t>
            </w:r>
            <w:r w:rsidRPr="00AF2A63">
              <w:t>tical skills and knowledge. The following examples are appropriate for this unit:</w:t>
            </w:r>
          </w:p>
          <w:p w:rsidR="00000000" w:rsidRPr="00AF2A63" w:rsidP="00AF2A63">
            <w:pPr>
              <w:pStyle w:val="ListBullet"/>
            </w:pPr>
            <w:r w:rsidRPr="00AF2A63">
              <w:t>direct observation of the candidate performing optical measurements</w:t>
            </w:r>
          </w:p>
          <w:p w:rsidR="00000000" w:rsidRPr="00AF2A63" w:rsidP="00AF2A63">
            <w:pPr>
              <w:pStyle w:val="ListBullet"/>
            </w:pPr>
            <w:r w:rsidRPr="00AF2A63">
              <w:t>review of a written report for the OTDR, the OSA and the ORL test set</w:t>
            </w:r>
          </w:p>
          <w:p w:rsidR="00000000" w:rsidP="00AF2A63">
            <w:pPr>
              <w:pStyle w:val="ListBullet"/>
              <w:rPr>
                <w:lang w:val="en-NZ"/>
              </w:rPr>
            </w:pPr>
            <w:r w:rsidRPr="00AF2A63">
              <w:t>oral or written questioning to asse</w:t>
            </w:r>
            <w:r w:rsidRPr="00AF2A63">
              <w:t>ss required knowledge.</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Holistic assessment with other units relevant to the industry sector, workplace and job role is recommended, for example:</w:t>
            </w:r>
          </w:p>
          <w:p w:rsidR="00000000" w:rsidRPr="00AF2A63" w:rsidP="00AF2A63">
            <w:pPr>
              <w:pStyle w:val="ListBullet"/>
            </w:pPr>
            <w:r w:rsidRPr="00AF2A63">
              <w:t>ICTOPN5118A Plan and configure dense wavelength division multiplexing sys</w:t>
            </w:r>
            <w:r w:rsidRPr="00AF2A63">
              <w:t>tems</w:t>
            </w:r>
          </w:p>
          <w:p w:rsidR="00000000" w:rsidRPr="00AF2A63" w:rsidP="00AF2A63">
            <w:pPr>
              <w:pStyle w:val="ListBullet"/>
            </w:pPr>
            <w:r w:rsidRPr="00AF2A63">
              <w:t>ICTOPN5119A Perform acceptance and commissioning tests on optical network</w:t>
            </w:r>
          </w:p>
          <w:p w:rsidR="00000000" w:rsidRPr="00AF2A63" w:rsidP="00AF2A63">
            <w:pPr>
              <w:pStyle w:val="ListBullet"/>
            </w:pPr>
            <w:r w:rsidRPr="00AF2A63">
              <w:t>ICTOPN5120A Plan for an optical system upgrade and cut over</w:t>
            </w:r>
          </w:p>
          <w:p w:rsidR="00000000" w:rsidRPr="00AF2A63" w:rsidP="00AF2A63">
            <w:pPr>
              <w:pStyle w:val="ListBullet"/>
            </w:pPr>
            <w:r w:rsidRPr="00AF2A63">
              <w:t>ICTOPN5121A Test and commission a dense wavelength division multiplexing transmission system</w:t>
            </w:r>
          </w:p>
          <w:p w:rsidR="00000000" w:rsidRPr="00AF2A63" w:rsidP="00AF2A63">
            <w:pPr>
              <w:pStyle w:val="ListBullet"/>
            </w:pPr>
            <w:r w:rsidRPr="00AF2A63">
              <w:t>ICTOPN5122A Test the performance of specialised optical devices</w:t>
            </w:r>
          </w:p>
          <w:p w:rsidR="00000000" w:rsidRPr="00AF2A63" w:rsidP="00AF2A63">
            <w:pPr>
              <w:pStyle w:val="ListBullet"/>
            </w:pPr>
            <w:r w:rsidRPr="00AF2A63">
              <w:t>ICTOPN5123A Analyse and integrate specialised optical devices in the network.</w:t>
            </w:r>
          </w:p>
          <w:p w:rsidR="00000000" w:rsidRPr="00AF2A63" w:rsidP="00AF2A63">
            <w:pPr>
              <w:pStyle w:val="BodyText"/>
            </w:pPr>
          </w:p>
          <w:p w:rsidR="00000000" w:rsidRPr="00AF2A63" w:rsidP="00AF2A63">
            <w:pPr>
              <w:pStyle w:val="BodyText"/>
            </w:pPr>
            <w:r w:rsidRPr="00AF2A63">
              <w:t>Aboriginal people and other people from a non-English speaking background may have second language issues.</w:t>
            </w:r>
          </w:p>
          <w:p w:rsidR="00000000" w:rsidRPr="00AF2A63" w:rsidP="00AF2A63">
            <w:pPr>
              <w:pStyle w:val="BodyText"/>
            </w:pPr>
          </w:p>
          <w:p w:rsidR="00000000" w:rsidRPr="00AF2A63" w:rsidP="00AF2A63">
            <w:pPr>
              <w:pStyle w:val="BodyText"/>
            </w:pPr>
            <w:r w:rsidRPr="00AF2A63">
              <w:t>Acces</w:t>
            </w:r>
            <w:r w:rsidRPr="00AF2A63">
              <w:t xml:space="preserve">s must be provided to appropriate learning and assessment support when required. </w:t>
            </w:r>
          </w:p>
          <w:p w:rsidR="00000000" w:rsidRPr="00AF2A63" w:rsidP="00AF2A63">
            <w:pPr>
              <w:pStyle w:val="BodyText"/>
            </w:pPr>
          </w:p>
          <w:p w:rsidR="00000000" w:rsidRPr="00AF2A63" w:rsidP="00AF2A63">
            <w:pPr>
              <w:pStyle w:val="BodyText"/>
            </w:pPr>
            <w:r w:rsidRPr="00AF2A63">
              <w:t>Assessment processes and techniques must be culturally appropriate, and appropriate to the oral communication skill level, and language and literacy capacity of the candidat</w:t>
            </w:r>
            <w:r w:rsidRPr="00AF2A63">
              <w:t>e and the work being performed.</w:t>
            </w:r>
          </w:p>
          <w:p w:rsidR="00000000" w:rsidRPr="00AF2A63" w:rsidP="00AF2A63">
            <w:pPr>
              <w:pStyle w:val="BodyText"/>
            </w:pPr>
          </w:p>
          <w:p w:rsidR="00000000" w:rsidRPr="00AF2A63" w:rsidP="00AF2A63">
            <w:pPr>
              <w:pStyle w:val="BodyText"/>
            </w:pPr>
            <w:r w:rsidRPr="00AF2A63">
              <w:t>In all cases where practical assessment is used it will be combined with targeted questioning to assess required knowledge. Questioning techniques should not require language, literacy and numeracy skills beyond those requi</w:t>
            </w:r>
            <w:r w:rsidRPr="00AF2A63">
              <w:t xml:space="preserve">red in this unit of competency. </w:t>
            </w:r>
          </w:p>
          <w:p w:rsidR="00000000" w:rsidRPr="00AF2A63" w:rsidP="00AF2A63">
            <w:pPr>
              <w:pStyle w:val="BodyText"/>
            </w:pPr>
          </w:p>
          <w:p w:rsidR="00000000" w:rsidRPr="00AF2A63" w:rsidP="00AF2A63">
            <w:pPr>
              <w:pStyle w:val="BodyText"/>
            </w:pPr>
            <w:r w:rsidRPr="00AF2A63">
              <w:t>Where applicable, physical resources should include equipment modified for people with special needs.</w:t>
            </w:r>
          </w:p>
          <w:p w:rsidR="00000000" w:rsidRPr="00AF2A63" w:rsidP="00AF2A63">
            <w:pPr>
              <w:pStyle w:val="BodyText"/>
            </w:pPr>
          </w:p>
        </w:tc>
      </w:tr>
    </w:tbl>
    <w:p w:rsidR="000816BE" w:rsidP="00AF2A63">
      <w:pPr>
        <w:pStyle w:val="BodyText"/>
      </w:pPr>
    </w:p>
    <w:p w:rsidR="000816BE" w:rsidP="00AF2A63">
      <w:pPr>
        <w:pStyle w:val="BodyText"/>
      </w:pPr>
    </w:p>
    <w:p w:rsidR="00000000" w:rsidRPr="00AF2A63" w:rsidP="00AF2A63">
      <w:pPr>
        <w:pStyle w:val="Heading1"/>
      </w:pPr>
      <w:bookmarkStart w:id="11" w:name="O_252486"/>
      <w:bookmarkEnd w:id="11"/>
      <w:r w:rsidRPr="00AF2A63">
        <w:t>Range Statement</w:t>
      </w:r>
    </w:p>
    <w:tbl>
      <w:tblPr>
        <w:tblW w:w="9570" w:type="dxa"/>
        <w:tblLayout w:type="fixed"/>
        <w:tblCellMar>
          <w:left w:w="62" w:type="dxa"/>
          <w:right w:w="62" w:type="dxa"/>
        </w:tblCellMar>
        <w:tblLook w:val="0000"/>
      </w:tblPr>
      <w:tblGrid>
        <w:gridCol w:w="3908"/>
        <w:gridCol w:w="5662"/>
      </w:tblGrid>
      <w:tr w:rsidTr="000816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RANGE STATEMENT</w:t>
            </w:r>
          </w:p>
        </w:tc>
      </w:tr>
      <w:tr w:rsidTr="000816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t>The range statement relates to the unit of competency as a whole. It allows for different work environments and situations that may affect performance. Bold italicised wording, if used in the performance criteria, is detailed below. Essential operating con</w:t>
            </w:r>
            <w:r w:rsidRPr="00AF2A63">
              <w:t>ditions that may be present with training and assessment (depending on the work situation, needs of the candidate, accessibility of the item, and local industry and regional contexts) may also be included.</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Relevant legislation</w:t>
            </w:r>
            <w:r w:rsidRPr="00AF2A63">
              <w:t xml:space="preserve">, </w:t>
            </w:r>
            <w:r w:rsidRPr="00AF2A63">
              <w:rPr>
                <w:rStyle w:val="BoldandItalics"/>
              </w:rPr>
              <w:t>codes</w:t>
            </w:r>
            <w:r w:rsidRPr="00AF2A63">
              <w:t xml:space="preserve">, </w:t>
            </w:r>
            <w:r w:rsidRPr="00AF2A63">
              <w:rPr>
                <w:rStyle w:val="BoldandItalics"/>
              </w:rPr>
              <w:t>regulations and standards</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appropriate licences:</w:t>
            </w:r>
          </w:p>
          <w:p w:rsidR="00000000" w:rsidRPr="00AF2A63" w:rsidP="00AF2A63">
            <w:pPr>
              <w:pStyle w:val="ListBullet2"/>
            </w:pPr>
            <w:r w:rsidRPr="00AF2A63">
              <w:t>crane</w:t>
            </w:r>
          </w:p>
          <w:p w:rsidR="00000000" w:rsidRPr="00AF2A63" w:rsidP="00AF2A63">
            <w:pPr>
              <w:pStyle w:val="ListBullet2"/>
            </w:pPr>
            <w:r w:rsidRPr="00AF2A63">
              <w:t>EWP</w:t>
            </w:r>
          </w:p>
          <w:p w:rsidR="00000000" w:rsidRPr="00AF2A63" w:rsidP="00AF2A63">
            <w:pPr>
              <w:pStyle w:val="ListBullet2"/>
            </w:pPr>
            <w:r w:rsidRPr="00AF2A63">
              <w:t>forklift</w:t>
            </w:r>
          </w:p>
          <w:p w:rsidR="00000000" w:rsidRPr="00AF2A63" w:rsidP="00AF2A63">
            <w:pPr>
              <w:pStyle w:val="ListBullet2"/>
            </w:pPr>
            <w:r w:rsidRPr="00AF2A63">
              <w:t>winch</w:t>
            </w:r>
          </w:p>
          <w:p w:rsidR="00000000" w:rsidRPr="00AF2A63" w:rsidP="00AF2A63">
            <w:pPr>
              <w:pStyle w:val="ListBullet"/>
            </w:pPr>
            <w:r w:rsidRPr="00AF2A63">
              <w:t xml:space="preserve">Australian Construction Industry Forum (ACIF) standards and codes </w:t>
            </w:r>
          </w:p>
          <w:p w:rsidR="00000000" w:rsidRPr="00AF2A63" w:rsidP="00AF2A63">
            <w:pPr>
              <w:pStyle w:val="ListBullet"/>
            </w:pPr>
            <w:r w:rsidRPr="00AF2A63">
              <w:t xml:space="preserve">AS Communications Cabling Manual (CCM) </w:t>
            </w:r>
            <w:r w:rsidRPr="00AF2A63">
              <w:br/>
              <w:t>Volume 1</w:t>
            </w:r>
          </w:p>
          <w:p w:rsidR="00000000" w:rsidRPr="00AF2A63" w:rsidP="00AF2A63">
            <w:pPr>
              <w:pStyle w:val="ListBullet"/>
            </w:pPr>
            <w:r w:rsidRPr="00AF2A63">
              <w:t>AS/NZS 3000:2007</w:t>
            </w:r>
          </w:p>
          <w:p w:rsidR="00000000" w:rsidRPr="00AF2A63" w:rsidP="00AF2A63">
            <w:pPr>
              <w:pStyle w:val="ListBullet"/>
            </w:pPr>
            <w:r w:rsidRPr="00AF2A63">
              <w:t>AS/NZS 3080:2003</w:t>
            </w:r>
          </w:p>
          <w:p w:rsidR="00000000" w:rsidRPr="00AF2A63" w:rsidP="00AF2A63">
            <w:pPr>
              <w:pStyle w:val="ListBullet"/>
            </w:pPr>
            <w:r w:rsidRPr="00AF2A63">
              <w:t>AS/NZS 3084:2003</w:t>
            </w:r>
          </w:p>
          <w:p w:rsidR="00000000" w:rsidRPr="00AF2A63" w:rsidP="00AF2A63">
            <w:pPr>
              <w:pStyle w:val="ListBullet"/>
            </w:pPr>
            <w:r w:rsidRPr="00AF2A63">
              <w:t>AS/NZS 3085.1:2004</w:t>
            </w:r>
          </w:p>
          <w:p w:rsidR="00000000" w:rsidRPr="00AF2A63" w:rsidP="00AF2A63">
            <w:pPr>
              <w:pStyle w:val="ListBullet"/>
            </w:pPr>
            <w:r w:rsidRPr="00AF2A63">
              <w:t>AS/NZS IEC 61935.1:2006</w:t>
            </w:r>
          </w:p>
          <w:p w:rsidR="00000000" w:rsidRPr="00AF2A63" w:rsidP="00AF2A63">
            <w:pPr>
              <w:pStyle w:val="ListBullet"/>
            </w:pPr>
            <w:r w:rsidRPr="00AF2A63">
              <w:t>AS/NZS IEC 61935.2:2006</w:t>
            </w:r>
          </w:p>
          <w:p w:rsidR="00000000" w:rsidRPr="00AF2A63" w:rsidP="00AF2A63">
            <w:pPr>
              <w:pStyle w:val="ListBullet"/>
            </w:pPr>
            <w:r w:rsidRPr="00AF2A63">
              <w:t>AS/NZS ISO/IEC 14763.3:2007</w:t>
            </w:r>
          </w:p>
          <w:p w:rsidR="00000000" w:rsidRPr="00AF2A63" w:rsidP="00AF2A63">
            <w:pPr>
              <w:pStyle w:val="ListBullet"/>
            </w:pPr>
            <w:r w:rsidRPr="00AF2A63">
              <w:t>AS/NZS ISO/IEC 15018:2005</w:t>
            </w:r>
          </w:p>
          <w:p w:rsidR="00000000" w:rsidRPr="00AF2A63" w:rsidP="00AF2A63">
            <w:pPr>
              <w:pStyle w:val="ListBullet"/>
            </w:pPr>
            <w:r w:rsidRPr="00AF2A63">
              <w:t xml:space="preserve">AS/NZS ISO/IEC 24702:2007 </w:t>
            </w:r>
          </w:p>
          <w:p w:rsidR="00000000" w:rsidRPr="00AF2A63" w:rsidP="00AF2A63">
            <w:pPr>
              <w:pStyle w:val="ListBullet"/>
            </w:pPr>
            <w:r w:rsidRPr="00AF2A63">
              <w:t>cabling security codes and regulations</w:t>
            </w:r>
          </w:p>
          <w:p w:rsidR="00000000" w:rsidRPr="00AF2A63" w:rsidP="00AF2A63">
            <w:pPr>
              <w:pStyle w:val="ListBullet"/>
            </w:pPr>
            <w:r w:rsidRPr="00AF2A63">
              <w:t>Environmental Protection Acts</w:t>
            </w:r>
          </w:p>
          <w:p w:rsidR="00000000" w:rsidRPr="00AF2A63" w:rsidP="00AF2A63">
            <w:pPr>
              <w:pStyle w:val="ListBullet"/>
            </w:pPr>
            <w:r w:rsidRPr="00AF2A63">
              <w:t xml:space="preserve">OHS </w:t>
            </w:r>
          </w:p>
          <w:p w:rsidR="00000000" w:rsidP="00AF2A63">
            <w:pPr>
              <w:pStyle w:val="ListBullet"/>
              <w:rPr>
                <w:lang w:val="en-NZ"/>
              </w:rPr>
            </w:pPr>
            <w:r w:rsidRPr="00AF2A63">
              <w:t>technical standards AS/ACIF S008:2006 and AS/ACIF S009:2006.</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Customer</w:t>
            </w:r>
            <w:r w:rsidRPr="00AF2A63">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asset manager</w:t>
            </w:r>
          </w:p>
          <w:p w:rsidR="00000000" w:rsidRPr="00AF2A63" w:rsidP="00AF2A63">
            <w:pPr>
              <w:pStyle w:val="ListBullet"/>
            </w:pPr>
            <w:r w:rsidRPr="00AF2A63">
              <w:t>installation manager</w:t>
            </w:r>
          </w:p>
          <w:p w:rsidR="00000000" w:rsidRPr="00AF2A63" w:rsidP="00AF2A63">
            <w:pPr>
              <w:pStyle w:val="ListBullet"/>
            </w:pPr>
            <w:r w:rsidRPr="00AF2A63">
              <w:t>maintenance manager</w:t>
            </w:r>
          </w:p>
          <w:p w:rsidR="00000000" w:rsidRPr="00AF2A63" w:rsidP="00AF2A63">
            <w:pPr>
              <w:pStyle w:val="ListBullet"/>
            </w:pPr>
            <w:r w:rsidRPr="00AF2A63">
              <w:t>nominated customer representative</w:t>
            </w:r>
          </w:p>
          <w:p w:rsidR="00000000" w:rsidRPr="00AF2A63" w:rsidP="00AF2A63">
            <w:pPr>
              <w:pStyle w:val="ListBullet"/>
            </w:pPr>
            <w:r w:rsidRPr="00AF2A63">
              <w:t>outage manager</w:t>
            </w:r>
          </w:p>
          <w:p w:rsidR="00000000" w:rsidP="00AF2A63">
            <w:pPr>
              <w:pStyle w:val="ListBullet"/>
              <w:rPr>
                <w:lang w:val="en-NZ"/>
              </w:rPr>
            </w:pPr>
            <w:r w:rsidRPr="00AF2A63">
              <w:t>project manager.</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Optical system</w:t>
            </w:r>
            <w:r w:rsidRPr="00AF2A63">
              <w:t xml:space="preserve"> may contain:</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add-drop multiplexer</w:t>
            </w:r>
          </w:p>
          <w:p w:rsidR="00000000" w:rsidRPr="00AF2A63" w:rsidP="00AF2A63">
            <w:pPr>
              <w:pStyle w:val="ListBullet"/>
            </w:pPr>
            <w:r w:rsidRPr="00AF2A63">
              <w:t>Brag</w:t>
            </w:r>
            <w:r w:rsidRPr="00AF2A63">
              <w:t>g filters</w:t>
            </w:r>
          </w:p>
          <w:p w:rsidR="00000000" w:rsidRPr="00AF2A63" w:rsidP="00AF2A63">
            <w:pPr>
              <w:pStyle w:val="ListBullet"/>
            </w:pPr>
            <w:r w:rsidRPr="00AF2A63">
              <w:t>DWDM system</w:t>
            </w:r>
          </w:p>
          <w:p w:rsidR="00000000" w:rsidRPr="00AF2A63" w:rsidP="00AF2A63">
            <w:pPr>
              <w:pStyle w:val="ListBullet"/>
            </w:pPr>
            <w:r w:rsidRPr="00AF2A63">
              <w:t>fibre hub</w:t>
            </w:r>
          </w:p>
          <w:p w:rsidR="00000000" w:rsidRPr="00AF2A63" w:rsidP="00AF2A63">
            <w:pPr>
              <w:pStyle w:val="ListBullet"/>
            </w:pPr>
            <w:r w:rsidRPr="00AF2A63">
              <w:t>HFC network</w:t>
            </w:r>
          </w:p>
          <w:p w:rsidR="00000000" w:rsidRPr="00AF2A63" w:rsidP="00AF2A63">
            <w:pPr>
              <w:pStyle w:val="ListBullet"/>
            </w:pPr>
            <w:r w:rsidRPr="00AF2A63">
              <w:t>optical amplifier</w:t>
            </w:r>
          </w:p>
          <w:p w:rsidR="00000000" w:rsidRPr="00AF2A63" w:rsidP="00AF2A63">
            <w:pPr>
              <w:pStyle w:val="ListBullet"/>
            </w:pPr>
            <w:r w:rsidRPr="00AF2A63">
              <w:t>optical line termination (OLT)</w:t>
            </w:r>
          </w:p>
          <w:p w:rsidR="00000000" w:rsidRPr="00AF2A63" w:rsidP="00AF2A63">
            <w:pPr>
              <w:pStyle w:val="ListBullet"/>
            </w:pPr>
            <w:r w:rsidRPr="00AF2A63">
              <w:t>optical links</w:t>
            </w:r>
          </w:p>
          <w:p w:rsidR="00000000" w:rsidRPr="00AF2A63" w:rsidP="00AF2A63">
            <w:pPr>
              <w:pStyle w:val="ListBullet"/>
            </w:pPr>
            <w:r w:rsidRPr="00AF2A63">
              <w:t>optical network termination (ONT)</w:t>
            </w:r>
          </w:p>
          <w:p w:rsidR="00000000" w:rsidP="00AF2A63">
            <w:pPr>
              <w:pStyle w:val="ListBullet"/>
              <w:rPr>
                <w:lang w:val="en-NZ"/>
              </w:rPr>
            </w:pPr>
            <w:r w:rsidRPr="00AF2A63">
              <w:t>optical splitter.</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Hazards</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building debris</w:t>
            </w:r>
          </w:p>
          <w:p w:rsidR="00000000" w:rsidRPr="00AF2A63" w:rsidP="00AF2A63">
            <w:pPr>
              <w:pStyle w:val="ListBullet"/>
            </w:pPr>
            <w:r w:rsidRPr="00AF2A63">
              <w:t xml:space="preserve">earth potential rise </w:t>
            </w:r>
          </w:p>
          <w:p w:rsidR="00000000" w:rsidRPr="00AF2A63" w:rsidP="00AF2A63">
            <w:pPr>
              <w:pStyle w:val="ListBullet"/>
            </w:pPr>
            <w:r w:rsidRPr="00AF2A63">
              <w:t>glass fibre</w:t>
            </w:r>
          </w:p>
          <w:p w:rsidR="00000000" w:rsidRPr="00AF2A63" w:rsidP="00AF2A63">
            <w:pPr>
              <w:pStyle w:val="ListBullet"/>
            </w:pPr>
            <w:r w:rsidRPr="00AF2A63">
              <w:t>live power lines</w:t>
            </w:r>
          </w:p>
          <w:p w:rsidR="00000000" w:rsidRPr="00AF2A63" w:rsidP="00AF2A63">
            <w:pPr>
              <w:pStyle w:val="ListBullet"/>
            </w:pPr>
            <w:r w:rsidRPr="00AF2A63">
              <w:t>manual handling</w:t>
            </w:r>
          </w:p>
          <w:p w:rsidR="00000000" w:rsidRPr="00AF2A63" w:rsidP="00AF2A63">
            <w:pPr>
              <w:pStyle w:val="ListBullet"/>
            </w:pPr>
            <w:r w:rsidRPr="00AF2A63">
              <w:t>mud and water</w:t>
            </w:r>
          </w:p>
          <w:p w:rsidR="00000000" w:rsidRPr="00AF2A63" w:rsidP="00AF2A63">
            <w:pPr>
              <w:pStyle w:val="ListBullet"/>
            </w:pPr>
            <w:r w:rsidRPr="00AF2A63">
              <w:t>natural gas and other gas build up</w:t>
            </w:r>
          </w:p>
          <w:p w:rsidR="00000000" w:rsidRPr="00AF2A63" w:rsidP="00AF2A63">
            <w:pPr>
              <w:pStyle w:val="ListBullet"/>
            </w:pPr>
            <w:r w:rsidRPr="00AF2A63">
              <w:t>optical fibre cable may contain hazardous light</w:t>
            </w:r>
          </w:p>
          <w:p w:rsidR="00000000" w:rsidRPr="00AF2A63" w:rsidP="00AF2A63">
            <w:pPr>
              <w:pStyle w:val="ListBullet"/>
            </w:pPr>
            <w:r w:rsidRPr="00AF2A63">
              <w:t>radio frequency (RF) equipment emitting radiation</w:t>
            </w:r>
          </w:p>
          <w:p w:rsidR="00000000" w:rsidRPr="00AF2A63" w:rsidP="00AF2A63">
            <w:pPr>
              <w:pStyle w:val="ListBullet"/>
            </w:pPr>
            <w:r w:rsidRPr="00AF2A63">
              <w:t>remote power feeding services which operate at above telecommunications network voltage (TNV)</w:t>
            </w:r>
          </w:p>
          <w:p w:rsidR="00000000" w:rsidP="00AF2A63">
            <w:pPr>
              <w:pStyle w:val="ListBullet"/>
              <w:rPr>
                <w:lang w:val="en-NZ"/>
              </w:rPr>
            </w:pPr>
            <w:r w:rsidRPr="00AF2A63">
              <w:t>vermin.</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Testing plan</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correct test set up</w:t>
            </w:r>
          </w:p>
          <w:p w:rsidR="00000000" w:rsidRPr="00AF2A63" w:rsidP="00AF2A63">
            <w:pPr>
              <w:pStyle w:val="ListBullet"/>
            </w:pPr>
            <w:r w:rsidRPr="00AF2A63">
              <w:t>recording and evaluation of measurements</w:t>
            </w:r>
          </w:p>
          <w:p w:rsidR="00000000" w:rsidRPr="00AF2A63" w:rsidP="00AF2A63">
            <w:pPr>
              <w:pStyle w:val="ListBullet"/>
            </w:pPr>
            <w:r w:rsidRPr="00AF2A63">
              <w:t>test layout</w:t>
            </w:r>
          </w:p>
          <w:p w:rsidR="00000000" w:rsidRPr="00AF2A63" w:rsidP="00AF2A63">
            <w:pPr>
              <w:pStyle w:val="ListBullet"/>
            </w:pPr>
            <w:r w:rsidRPr="00AF2A63">
              <w:t>test procedures</w:t>
            </w:r>
          </w:p>
          <w:p w:rsidR="00000000" w:rsidRPr="00AF2A63" w:rsidP="00AF2A63">
            <w:pPr>
              <w:pStyle w:val="ListBullet"/>
            </w:pPr>
            <w:r w:rsidRPr="00AF2A63">
              <w:t>test purpose</w:t>
            </w:r>
          </w:p>
          <w:p w:rsidR="00000000" w:rsidRPr="00AF2A63" w:rsidP="00AF2A63">
            <w:pPr>
              <w:pStyle w:val="ListBullet"/>
            </w:pPr>
            <w:r w:rsidRPr="00AF2A63">
              <w:t>test sites and location</w:t>
            </w:r>
          </w:p>
          <w:p w:rsidR="00000000" w:rsidRPr="00AF2A63" w:rsidP="00AF2A63">
            <w:pPr>
              <w:pStyle w:val="ListBullet"/>
            </w:pPr>
            <w:r w:rsidRPr="00AF2A63">
              <w:t>type of measurements</w:t>
            </w:r>
          </w:p>
          <w:p w:rsidR="00000000" w:rsidP="00AF2A63">
            <w:pPr>
              <w:pStyle w:val="ListBullet"/>
              <w:rPr>
                <w:lang w:val="en-NZ"/>
              </w:rPr>
            </w:pPr>
            <w:r w:rsidRPr="00AF2A63">
              <w:t>use of appropriate test equipment.</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Type of measurement</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dedicated ORL test set:</w:t>
            </w:r>
          </w:p>
          <w:p w:rsidR="00000000" w:rsidRPr="00AF2A63" w:rsidP="00AF2A63">
            <w:pPr>
              <w:pStyle w:val="ListBullet2"/>
            </w:pPr>
            <w:r w:rsidRPr="00AF2A63">
              <w:t xml:space="preserve">optical power meter ORL </w:t>
            </w:r>
          </w:p>
          <w:p w:rsidR="00000000" w:rsidRPr="00AF2A63" w:rsidP="00AF2A63">
            <w:pPr>
              <w:pStyle w:val="ListBullet2"/>
            </w:pPr>
            <w:r w:rsidRPr="00AF2A63">
              <w:t>ORL versus wavelength.</w:t>
            </w:r>
          </w:p>
          <w:p w:rsidR="00000000" w:rsidRPr="00AF2A63" w:rsidP="00AF2A63">
            <w:pPr>
              <w:pStyle w:val="ListBullet2"/>
            </w:pPr>
            <w:r w:rsidRPr="00AF2A63">
              <w:t>OSA and ORL</w:t>
            </w:r>
          </w:p>
          <w:p w:rsidR="00000000" w:rsidRPr="00AF2A63" w:rsidP="00AF2A63">
            <w:pPr>
              <w:pStyle w:val="ListBullet2"/>
            </w:pPr>
            <w:r w:rsidRPr="00AF2A63">
              <w:t xml:space="preserve">PON splitter ORL </w:t>
            </w:r>
          </w:p>
          <w:p w:rsidR="00000000" w:rsidRPr="00AF2A63" w:rsidP="00AF2A63">
            <w:pPr>
              <w:pStyle w:val="ListBullet"/>
            </w:pPr>
            <w:r w:rsidRPr="00AF2A63">
              <w:t>OSA:</w:t>
            </w:r>
          </w:p>
          <w:p w:rsidR="00000000" w:rsidRPr="00AF2A63" w:rsidP="00AF2A63">
            <w:pPr>
              <w:pStyle w:val="ListBullet2"/>
            </w:pPr>
            <w:r w:rsidRPr="00AF2A63">
              <w:t>bandwidth of a device (multiplexer)</w:t>
            </w:r>
          </w:p>
          <w:p w:rsidR="00000000" w:rsidRPr="00AF2A63" w:rsidP="00AF2A63">
            <w:pPr>
              <w:pStyle w:val="ListBullet2"/>
            </w:pPr>
            <w:r w:rsidRPr="00AF2A63">
              <w:t>central wavelength and channel spacing</w:t>
            </w:r>
          </w:p>
          <w:p w:rsidR="00000000" w:rsidRPr="00AF2A63" w:rsidP="00AF2A63">
            <w:pPr>
              <w:pStyle w:val="ListBullet2"/>
            </w:pPr>
            <w:r w:rsidRPr="00AF2A63">
              <w:t>device flatness</w:t>
            </w:r>
          </w:p>
          <w:p w:rsidR="00000000" w:rsidRPr="00AF2A63" w:rsidP="00AF2A63">
            <w:pPr>
              <w:pStyle w:val="ListBullet2"/>
            </w:pPr>
            <w:r w:rsidRPr="00AF2A63">
              <w:t>DWDM channel uniformity</w:t>
            </w:r>
          </w:p>
          <w:p w:rsidR="00000000" w:rsidRPr="00AF2A63" w:rsidP="00AF2A63">
            <w:pPr>
              <w:pStyle w:val="ListBullet2"/>
            </w:pPr>
            <w:r w:rsidRPr="00AF2A63">
              <w:t>insertion loss:</w:t>
            </w:r>
          </w:p>
          <w:p w:rsidR="00000000" w:rsidRPr="00AF2A63" w:rsidP="00AF2A63">
            <w:pPr>
              <w:pStyle w:val="ListBullet3"/>
            </w:pPr>
            <w:r w:rsidRPr="00AF2A63">
              <w:t>coupler</w:t>
            </w:r>
          </w:p>
          <w:p w:rsidR="00000000" w:rsidRPr="00AF2A63" w:rsidP="00AF2A63">
            <w:pPr>
              <w:pStyle w:val="ListBullet3"/>
            </w:pPr>
            <w:r w:rsidRPr="00AF2A63">
              <w:t>filter</w:t>
            </w:r>
          </w:p>
          <w:p w:rsidR="00000000" w:rsidRPr="00AF2A63" w:rsidP="00AF2A63">
            <w:pPr>
              <w:pStyle w:val="ListBullet3"/>
            </w:pPr>
            <w:r w:rsidRPr="00AF2A63">
              <w:t>optical splitter</w:t>
            </w:r>
          </w:p>
          <w:p w:rsidR="00000000" w:rsidRPr="00AF2A63" w:rsidP="00AF2A63">
            <w:pPr>
              <w:pStyle w:val="ListBullet3"/>
            </w:pPr>
            <w:r w:rsidRPr="00AF2A63">
              <w:t>WDM</w:t>
            </w:r>
          </w:p>
          <w:p w:rsidR="00000000" w:rsidRPr="00AF2A63" w:rsidP="00AF2A63">
            <w:pPr>
              <w:pStyle w:val="ListBullet2"/>
            </w:pPr>
            <w:r w:rsidRPr="00AF2A63">
              <w:t>non-linear effects (four-wave mixing)</w:t>
            </w:r>
          </w:p>
          <w:p w:rsidR="00000000" w:rsidRPr="00AF2A63" w:rsidP="00AF2A63">
            <w:pPr>
              <w:pStyle w:val="ListBullet2"/>
            </w:pPr>
            <w:r w:rsidRPr="00AF2A63">
              <w:t>optical power level:</w:t>
            </w:r>
          </w:p>
          <w:p w:rsidR="00000000" w:rsidRPr="00AF2A63" w:rsidP="00AF2A63">
            <w:pPr>
              <w:pStyle w:val="ListBullet3"/>
            </w:pPr>
            <w:r w:rsidRPr="00AF2A63">
              <w:t>at drop terminal</w:t>
            </w:r>
          </w:p>
          <w:p w:rsidR="00000000" w:rsidRPr="00AF2A63" w:rsidP="00AF2A63">
            <w:pPr>
              <w:pStyle w:val="ListBullet3"/>
            </w:pPr>
            <w:r w:rsidRPr="00AF2A63">
              <w:t>at optical transmitter</w:t>
            </w:r>
          </w:p>
          <w:p w:rsidR="00000000" w:rsidRPr="00AF2A63" w:rsidP="00AF2A63">
            <w:pPr>
              <w:pStyle w:val="ListBullet3"/>
            </w:pPr>
            <w:r w:rsidRPr="00AF2A63">
              <w:t>at patch panel</w:t>
            </w:r>
          </w:p>
          <w:p w:rsidR="00000000" w:rsidRPr="00AF2A63" w:rsidP="00AF2A63">
            <w:pPr>
              <w:pStyle w:val="ListBullet3"/>
            </w:pPr>
            <w:r w:rsidRPr="00AF2A63">
              <w:t>at the OLT</w:t>
            </w:r>
          </w:p>
          <w:p w:rsidR="00000000" w:rsidRPr="00AF2A63" w:rsidP="00AF2A63">
            <w:pPr>
              <w:pStyle w:val="ListBullet3"/>
            </w:pPr>
            <w:r w:rsidRPr="00AF2A63">
              <w:t>at the ONT</w:t>
            </w:r>
          </w:p>
          <w:p w:rsidR="00000000" w:rsidRPr="00AF2A63" w:rsidP="00AF2A63">
            <w:pPr>
              <w:pStyle w:val="ListBullet2"/>
            </w:pPr>
            <w:r w:rsidRPr="00AF2A63">
              <w:t>optical signal to noise ratio (OSNR)</w:t>
            </w:r>
          </w:p>
          <w:p w:rsidR="00000000" w:rsidRPr="00AF2A63" w:rsidP="00AF2A63">
            <w:pPr>
              <w:pStyle w:val="ListBullet2"/>
            </w:pPr>
            <w:r w:rsidRPr="00AF2A63">
              <w:t>ripple</w:t>
            </w:r>
          </w:p>
          <w:p w:rsidR="00000000" w:rsidRPr="00AF2A63" w:rsidP="00AF2A63">
            <w:pPr>
              <w:pStyle w:val="ListBullet2"/>
            </w:pPr>
            <w:r w:rsidRPr="00AF2A63">
              <w:t>spectral purity of a source</w:t>
            </w:r>
          </w:p>
          <w:p w:rsidR="00000000" w:rsidRPr="00AF2A63" w:rsidP="00AF2A63">
            <w:pPr>
              <w:pStyle w:val="ListBullet2"/>
            </w:pPr>
            <w:r w:rsidRPr="00AF2A63">
              <w:t>spectral stability and drift of a source</w:t>
            </w:r>
          </w:p>
          <w:p w:rsidR="00000000" w:rsidRPr="00AF2A63" w:rsidP="00AF2A63">
            <w:pPr>
              <w:pStyle w:val="ListBullet"/>
            </w:pPr>
            <w:r w:rsidRPr="00AF2A63">
              <w:t>OTDR:</w:t>
            </w:r>
          </w:p>
          <w:p w:rsidR="00000000" w:rsidRPr="00AF2A63" w:rsidP="00AF2A63">
            <w:pPr>
              <w:pStyle w:val="ListBullet2"/>
            </w:pPr>
            <w:r w:rsidRPr="00AF2A63">
              <w:t>break and fault location</w:t>
            </w:r>
          </w:p>
          <w:p w:rsidR="00000000" w:rsidRPr="00AF2A63" w:rsidP="00AF2A63">
            <w:pPr>
              <w:pStyle w:val="ListBullet2"/>
            </w:pPr>
            <w:r w:rsidRPr="00AF2A63">
              <w:t>certification of new cabling</w:t>
            </w:r>
          </w:p>
          <w:p w:rsidR="00000000" w:rsidRPr="00AF2A63" w:rsidP="00AF2A63">
            <w:pPr>
              <w:pStyle w:val="ListBullet2"/>
            </w:pPr>
            <w:r w:rsidRPr="00AF2A63">
              <w:t>characterisation of events in path</w:t>
            </w:r>
          </w:p>
          <w:p w:rsidR="00000000" w:rsidRPr="00AF2A63" w:rsidP="00AF2A63">
            <w:pPr>
              <w:pStyle w:val="ListBullet2"/>
            </w:pPr>
            <w:r w:rsidRPr="00AF2A63">
              <w:t>detailed event table</w:t>
            </w:r>
          </w:p>
          <w:p w:rsidR="00000000" w:rsidRPr="00AF2A63" w:rsidP="00AF2A63">
            <w:pPr>
              <w:pStyle w:val="ListBullet2"/>
            </w:pPr>
            <w:r w:rsidRPr="00AF2A63">
              <w:t>fibre attenuation</w:t>
            </w:r>
          </w:p>
          <w:p w:rsidR="00000000" w:rsidRPr="00AF2A63" w:rsidP="00AF2A63">
            <w:pPr>
              <w:pStyle w:val="ListBullet2"/>
            </w:pPr>
            <w:r w:rsidRPr="00AF2A63">
              <w:t>fibre attenuation rate</w:t>
            </w:r>
          </w:p>
          <w:p w:rsidR="00000000" w:rsidRPr="00AF2A63" w:rsidP="00AF2A63">
            <w:pPr>
              <w:pStyle w:val="ListBullet2"/>
            </w:pPr>
            <w:r w:rsidRPr="00AF2A63">
              <w:t>fibre attenuation uniformity</w:t>
            </w:r>
          </w:p>
          <w:p w:rsidR="00000000" w:rsidRPr="00AF2A63" w:rsidP="00AF2A63">
            <w:pPr>
              <w:pStyle w:val="ListBullet2"/>
            </w:pPr>
            <w:r w:rsidRPr="00AF2A63">
              <w:t>identification of 'gainers'</w:t>
            </w:r>
          </w:p>
          <w:p w:rsidR="00000000" w:rsidRPr="00AF2A63" w:rsidP="00AF2A63">
            <w:pPr>
              <w:pStyle w:val="ListBullet2"/>
            </w:pPr>
            <w:r w:rsidRPr="00AF2A63">
              <w:t>identification of 'ghost' events</w:t>
            </w:r>
          </w:p>
          <w:p w:rsidR="00000000" w:rsidRPr="00AF2A63" w:rsidP="00AF2A63">
            <w:pPr>
              <w:pStyle w:val="ListBullet2"/>
            </w:pPr>
            <w:r w:rsidRPr="00AF2A63">
              <w:t>insertion loss of connectors and splices</w:t>
            </w:r>
          </w:p>
          <w:p w:rsidR="00000000" w:rsidRPr="00AF2A63" w:rsidP="00AF2A63">
            <w:pPr>
              <w:pStyle w:val="ListBullet2"/>
            </w:pPr>
            <w:r w:rsidRPr="00AF2A63">
              <w:t>macro-bend detection</w:t>
            </w:r>
          </w:p>
          <w:p w:rsidR="00000000" w:rsidRPr="00AF2A63" w:rsidP="00AF2A63">
            <w:pPr>
              <w:pStyle w:val="ListBullet2"/>
            </w:pPr>
            <w:r w:rsidRPr="00AF2A63">
              <w:t>ORL</w:t>
            </w:r>
          </w:p>
          <w:p w:rsidR="00000000" w:rsidP="00AF2A63">
            <w:pPr>
              <w:pStyle w:val="ListBullet2"/>
              <w:rPr>
                <w:lang w:val="en-NZ"/>
              </w:rPr>
            </w:pPr>
            <w:r w:rsidRPr="00AF2A63">
              <w:t>segment length.</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Wavelength</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850 nm</w:t>
            </w:r>
          </w:p>
          <w:p w:rsidR="00000000" w:rsidRPr="00AF2A63" w:rsidP="00AF2A63">
            <w:pPr>
              <w:pStyle w:val="ListBullet"/>
            </w:pPr>
            <w:r w:rsidRPr="00AF2A63">
              <w:t>1310 nm</w:t>
            </w:r>
          </w:p>
          <w:p w:rsidR="00000000" w:rsidRPr="00AF2A63" w:rsidP="00AF2A63">
            <w:pPr>
              <w:pStyle w:val="ListBullet"/>
            </w:pPr>
            <w:r w:rsidRPr="00AF2A63">
              <w:t xml:space="preserve">1490 nm </w:t>
            </w:r>
          </w:p>
          <w:p w:rsidR="00000000" w:rsidP="00AF2A63">
            <w:pPr>
              <w:pStyle w:val="ListBullet"/>
              <w:rPr>
                <w:lang w:val="en-NZ"/>
              </w:rPr>
            </w:pPr>
            <w:r w:rsidRPr="00AF2A63">
              <w:t>1550 nm.</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Tools</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alcohol swabs</w:t>
            </w:r>
          </w:p>
          <w:p w:rsidR="00000000" w:rsidRPr="00AF2A63" w:rsidP="00AF2A63">
            <w:pPr>
              <w:pStyle w:val="ListBullet"/>
            </w:pPr>
            <w:r w:rsidRPr="00AF2A63">
              <w:t>dry type cleaning cassette for optical connectors hand tools</w:t>
            </w:r>
          </w:p>
          <w:p w:rsidR="00000000" w:rsidRPr="00AF2A63" w:rsidP="00AF2A63">
            <w:pPr>
              <w:pStyle w:val="ListBullet"/>
            </w:pPr>
            <w:r w:rsidRPr="00AF2A63">
              <w:t>launch cable for OTDR</w:t>
            </w:r>
          </w:p>
          <w:p w:rsidR="00000000" w:rsidRPr="00AF2A63" w:rsidP="00AF2A63">
            <w:pPr>
              <w:pStyle w:val="ListBullet"/>
            </w:pPr>
            <w:r w:rsidRPr="00AF2A63">
              <w:t>lint-free dry wipes</w:t>
            </w:r>
          </w:p>
          <w:p w:rsidR="00000000" w:rsidRPr="00AF2A63" w:rsidP="00AF2A63">
            <w:pPr>
              <w:pStyle w:val="ListBullet"/>
            </w:pPr>
            <w:r w:rsidRPr="00AF2A63">
              <w:t>microscope for examining optical connector with:</w:t>
            </w:r>
          </w:p>
          <w:p w:rsidR="00000000" w:rsidRPr="00AF2A63" w:rsidP="00AF2A63">
            <w:pPr>
              <w:pStyle w:val="ListBullet2"/>
            </w:pPr>
            <w:r w:rsidRPr="00AF2A63">
              <w:t>integral safety infra-red filter</w:t>
            </w:r>
          </w:p>
          <w:p w:rsidR="00000000" w:rsidRPr="00AF2A63" w:rsidP="00AF2A63">
            <w:pPr>
              <w:pStyle w:val="ListBullet2"/>
            </w:pPr>
            <w:r w:rsidRPr="00AF2A63">
              <w:t>video microscope display</w:t>
            </w:r>
          </w:p>
          <w:p w:rsidR="00000000" w:rsidRPr="00AF2A63" w:rsidP="00AF2A63">
            <w:pPr>
              <w:pStyle w:val="ListBullet"/>
            </w:pPr>
            <w:r w:rsidRPr="00AF2A63">
              <w:t>optical connector adaptors</w:t>
            </w:r>
          </w:p>
          <w:p w:rsidR="00000000" w:rsidRPr="00AF2A63" w:rsidP="00AF2A63">
            <w:pPr>
              <w:pStyle w:val="ListBullet2"/>
            </w:pPr>
            <w:r w:rsidRPr="00AF2A63">
              <w:t>FC to LC</w:t>
            </w:r>
          </w:p>
          <w:p w:rsidR="00000000" w:rsidRPr="00AF2A63" w:rsidP="00AF2A63">
            <w:pPr>
              <w:pStyle w:val="ListBullet2"/>
            </w:pPr>
            <w:r w:rsidRPr="00AF2A63">
              <w:t>FC to SC</w:t>
            </w:r>
          </w:p>
          <w:p w:rsidR="00000000" w:rsidRPr="00AF2A63" w:rsidP="00AF2A63">
            <w:pPr>
              <w:pStyle w:val="ListBullet2"/>
            </w:pPr>
            <w:r w:rsidRPr="00AF2A63">
              <w:t>FC to ST</w:t>
            </w:r>
          </w:p>
          <w:p w:rsidR="00000000" w:rsidRPr="00AF2A63" w:rsidP="00AF2A63">
            <w:pPr>
              <w:pStyle w:val="ListBullet2"/>
            </w:pPr>
            <w:r w:rsidRPr="00AF2A63">
              <w:t>SC to ST</w:t>
            </w:r>
          </w:p>
          <w:p w:rsidR="00000000" w:rsidRPr="00AF2A63" w:rsidP="00AF2A63">
            <w:pPr>
              <w:pStyle w:val="ListBullet"/>
            </w:pPr>
            <w:r w:rsidRPr="00AF2A63">
              <w:t>optical fibre mandrel (single mode fibre low reflection termination)</w:t>
            </w:r>
          </w:p>
          <w:p w:rsidR="00000000" w:rsidRPr="00AF2A63" w:rsidP="00AF2A63">
            <w:pPr>
              <w:pStyle w:val="ListBullet"/>
            </w:pPr>
            <w:r w:rsidRPr="00AF2A63">
              <w:t>optical termination</w:t>
            </w:r>
          </w:p>
          <w:p w:rsidR="00000000" w:rsidP="00AF2A63">
            <w:pPr>
              <w:pStyle w:val="ListBullet"/>
              <w:rPr>
                <w:lang w:val="en-NZ"/>
              </w:rPr>
            </w:pPr>
            <w:r w:rsidRPr="00AF2A63">
              <w:t>optical reference cable.</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Test instruments</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ORL test set</w:t>
            </w:r>
          </w:p>
          <w:p w:rsidR="00000000" w:rsidRPr="00AF2A63" w:rsidP="00AF2A63">
            <w:pPr>
              <w:pStyle w:val="ListBullet"/>
            </w:pPr>
            <w:r w:rsidRPr="00AF2A63">
              <w:t>OSA</w:t>
            </w:r>
          </w:p>
          <w:p w:rsidR="00000000" w:rsidRPr="00AF2A63" w:rsidP="00AF2A63">
            <w:pPr>
              <w:pStyle w:val="ListBullet"/>
            </w:pPr>
            <w:r w:rsidRPr="00AF2A63">
              <w:t xml:space="preserve">OTDR multimode </w:t>
            </w:r>
          </w:p>
          <w:p w:rsidR="00000000" w:rsidRPr="00AF2A63" w:rsidP="00AF2A63">
            <w:pPr>
              <w:pStyle w:val="ListBullet"/>
            </w:pPr>
            <w:r w:rsidRPr="00AF2A63">
              <w:t>OTDR single mode</w:t>
            </w:r>
          </w:p>
          <w:p w:rsidR="00000000" w:rsidP="00AF2A63">
            <w:pPr>
              <w:pStyle w:val="ListBullet"/>
              <w:rPr>
                <w:lang w:val="en-NZ"/>
              </w:rPr>
            </w:pPr>
            <w:r w:rsidRPr="00AF2A63">
              <w:t>PON optimised OTDR.</w:t>
            </w:r>
          </w:p>
        </w:tc>
      </w:tr>
      <w:tr w:rsidTr="00081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BoldandItalics"/>
              </w:rPr>
              <w:t>OHS and environmental requirements</w:t>
            </w:r>
            <w:r w:rsidRPr="00AF2A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ListBullet"/>
            </w:pPr>
            <w:r w:rsidRPr="00AF2A63">
              <w:t>decommissioning and isolating worksite and lines prior to commencement</w:t>
            </w:r>
          </w:p>
          <w:p w:rsidR="00000000" w:rsidRPr="00AF2A63" w:rsidP="00AF2A63">
            <w:pPr>
              <w:pStyle w:val="ListBullet"/>
            </w:pPr>
            <w:r w:rsidRPr="00AF2A63">
              <w:t>identifying other services, including power and gas</w:t>
            </w:r>
          </w:p>
          <w:p w:rsidR="00000000" w:rsidRPr="00AF2A63" w:rsidP="00AF2A63">
            <w:pPr>
              <w:pStyle w:val="ListBullet"/>
            </w:pPr>
            <w:r w:rsidRPr="00AF2A63">
              <w:t>personal protective equipment:</w:t>
            </w:r>
          </w:p>
          <w:p w:rsidR="00000000" w:rsidRPr="00AF2A63" w:rsidP="00AF2A63">
            <w:pPr>
              <w:pStyle w:val="ListBullet2"/>
            </w:pPr>
            <w:r w:rsidRPr="00AF2A63">
              <w:t>earmuffs</w:t>
            </w:r>
          </w:p>
          <w:p w:rsidR="00000000" w:rsidRPr="00AF2A63" w:rsidP="00AF2A63">
            <w:pPr>
              <w:pStyle w:val="ListBullet2"/>
            </w:pPr>
            <w:r w:rsidRPr="00AF2A63">
              <w:t>gloves</w:t>
            </w:r>
          </w:p>
          <w:p w:rsidR="00000000" w:rsidRPr="00AF2A63" w:rsidP="00AF2A63">
            <w:pPr>
              <w:pStyle w:val="ListBullet2"/>
            </w:pPr>
            <w:r w:rsidRPr="00AF2A63">
              <w:t>head protection</w:t>
            </w:r>
          </w:p>
          <w:p w:rsidR="00000000" w:rsidRPr="00AF2A63" w:rsidP="00AF2A63">
            <w:pPr>
              <w:pStyle w:val="ListBullet2"/>
            </w:pPr>
            <w:r w:rsidRPr="00AF2A63">
              <w:t xml:space="preserve">masks </w:t>
            </w:r>
          </w:p>
          <w:p w:rsidR="00000000" w:rsidRPr="00AF2A63" w:rsidP="00AF2A63">
            <w:pPr>
              <w:pStyle w:val="ListBullet2"/>
            </w:pPr>
            <w:r w:rsidRPr="00AF2A63">
              <w:t>protective suits</w:t>
            </w:r>
          </w:p>
          <w:p w:rsidR="00000000" w:rsidRPr="00AF2A63" w:rsidP="00AF2A63">
            <w:pPr>
              <w:pStyle w:val="ListBullet2"/>
            </w:pPr>
            <w:r w:rsidRPr="00AF2A63">
              <w:t>safety boots</w:t>
            </w:r>
          </w:p>
          <w:p w:rsidR="00000000" w:rsidRPr="00AF2A63" w:rsidP="00AF2A63">
            <w:pPr>
              <w:pStyle w:val="ListBullet2"/>
            </w:pPr>
            <w:r w:rsidRPr="00AF2A63">
              <w:t>safety glasses</w:t>
            </w:r>
          </w:p>
          <w:p w:rsidR="00000000" w:rsidRPr="00AF2A63" w:rsidP="00AF2A63">
            <w:pPr>
              <w:pStyle w:val="ListBullet"/>
            </w:pPr>
            <w:r w:rsidRPr="00AF2A63">
              <w:t>safe working practices, such as the safe use and handling of:</w:t>
            </w:r>
          </w:p>
          <w:p w:rsidR="00000000" w:rsidRPr="00AF2A63" w:rsidP="00AF2A63">
            <w:pPr>
              <w:pStyle w:val="ListBullet2"/>
            </w:pPr>
            <w:r w:rsidRPr="00AF2A63">
              <w:t>chemicals</w:t>
            </w:r>
          </w:p>
          <w:p w:rsidR="00000000" w:rsidRPr="00AF2A63" w:rsidP="00AF2A63">
            <w:pPr>
              <w:pStyle w:val="ListBullet2"/>
            </w:pPr>
            <w:r w:rsidRPr="00AF2A63">
              <w:t>materials</w:t>
            </w:r>
          </w:p>
          <w:p w:rsidR="00000000" w:rsidRPr="00AF2A63" w:rsidP="00AF2A63">
            <w:pPr>
              <w:pStyle w:val="ListBullet2"/>
            </w:pPr>
            <w:r w:rsidRPr="00AF2A63">
              <w:t>tools and equipment</w:t>
            </w:r>
          </w:p>
          <w:p w:rsidR="00000000" w:rsidRPr="00AF2A63" w:rsidP="00AF2A63">
            <w:pPr>
              <w:pStyle w:val="ListBullet2"/>
            </w:pPr>
            <w:r w:rsidRPr="00AF2A63">
              <w:t>work platforms</w:t>
            </w:r>
          </w:p>
          <w:p w:rsidR="00000000" w:rsidRPr="00AF2A63" w:rsidP="00AF2A63">
            <w:pPr>
              <w:pStyle w:val="ListBullet"/>
            </w:pPr>
            <w:r w:rsidRPr="00AF2A63">
              <w:t>special access requirements</w:t>
            </w:r>
          </w:p>
          <w:p w:rsidR="00000000" w:rsidRPr="00AF2A63" w:rsidP="00AF2A63">
            <w:pPr>
              <w:pStyle w:val="ListBullet"/>
            </w:pPr>
            <w:r w:rsidRPr="00AF2A63">
              <w:t>environmental considerations:</w:t>
            </w:r>
          </w:p>
          <w:p w:rsidR="00000000" w:rsidRPr="00AF2A63" w:rsidP="00AF2A63">
            <w:pPr>
              <w:pStyle w:val="ListBullet2"/>
            </w:pPr>
            <w:r w:rsidRPr="00AF2A63">
              <w:t>clean-up protection</w:t>
            </w:r>
          </w:p>
          <w:p w:rsidR="00000000" w:rsidRPr="00AF2A63" w:rsidP="00AF2A63">
            <w:pPr>
              <w:pStyle w:val="ListBullet2"/>
            </w:pPr>
            <w:r w:rsidRPr="00AF2A63">
              <w:t>stormwater protection</w:t>
            </w:r>
          </w:p>
          <w:p w:rsidR="00000000" w:rsidRPr="00AF2A63" w:rsidP="00AF2A63">
            <w:pPr>
              <w:pStyle w:val="ListBullet2"/>
            </w:pPr>
            <w:r w:rsidRPr="00AF2A63">
              <w:t>waste management.</w:t>
            </w:r>
          </w:p>
        </w:tc>
      </w:tr>
    </w:tbl>
    <w:p w:rsidR="000816BE" w:rsidP="00AF2A63">
      <w:pPr>
        <w:pStyle w:val="BodyText"/>
      </w:pPr>
    </w:p>
    <w:p w:rsidR="000816BE" w:rsidP="00AF2A63">
      <w:pPr>
        <w:pStyle w:val="BodyText"/>
      </w:pPr>
    </w:p>
    <w:p w:rsidR="00000000" w:rsidRPr="00AF2A63" w:rsidP="00AF2A63">
      <w:pPr>
        <w:pStyle w:val="Heading1"/>
      </w:pPr>
      <w:bookmarkStart w:id="12" w:name="O_209087"/>
      <w:bookmarkEnd w:id="12"/>
      <w:r w:rsidRPr="00AF2A63">
        <w:t>Unit Sector(s)</w:t>
      </w:r>
    </w:p>
    <w:tbl>
      <w:tblPr>
        <w:tblW w:w="0" w:type="auto"/>
        <w:tblLayout w:type="fixed"/>
        <w:tblCellMar>
          <w:left w:w="62" w:type="dxa"/>
          <w:right w:w="62" w:type="dxa"/>
        </w:tblCellMar>
        <w:tblLook w:val="0000"/>
      </w:tblPr>
      <w:tblGrid>
        <w:gridCol w:w="2545"/>
        <w:gridCol w:w="5977"/>
      </w:tblGrid>
      <w:tr w:rsidTr="000816B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Unit sector</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Telecommunications</w:t>
            </w:r>
          </w:p>
        </w:tc>
      </w:tr>
    </w:tbl>
    <w:p w:rsidR="000816BE" w:rsidP="00AF2A63">
      <w:pPr>
        <w:pStyle w:val="BodyText"/>
      </w:pPr>
    </w:p>
    <w:p w:rsidR="000816BE" w:rsidP="00AF2A63">
      <w:pPr>
        <w:pStyle w:val="BodyText"/>
      </w:pPr>
    </w:p>
    <w:p w:rsidR="00000000" w:rsidRPr="00AF2A63" w:rsidP="00AF2A63">
      <w:pPr>
        <w:pStyle w:val="Heading1"/>
      </w:pPr>
      <w:bookmarkStart w:id="13" w:name="O_209084"/>
      <w:bookmarkEnd w:id="13"/>
      <w:r w:rsidRPr="00AF2A63">
        <w:t>Co-requisite units</w:t>
      </w:r>
    </w:p>
    <w:tbl>
      <w:tblPr>
        <w:tblW w:w="0" w:type="auto"/>
        <w:tblLayout w:type="fixed"/>
        <w:tblCellMar>
          <w:left w:w="62" w:type="dxa"/>
          <w:right w:w="62" w:type="dxa"/>
        </w:tblCellMar>
        <w:tblLook w:val="0000"/>
      </w:tblPr>
      <w:tblGrid>
        <w:gridCol w:w="2614"/>
        <w:gridCol w:w="1480"/>
        <w:gridCol w:w="4428"/>
      </w:tblGrid>
      <w:tr w:rsidTr="000816B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Co-requisite units</w:t>
            </w:r>
          </w:p>
        </w:tc>
        <w:tc>
          <w:tcPr>
            <w:tcW w:w="59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p>
        </w:tc>
      </w:tr>
      <w:tr w:rsidTr="000816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p>
        </w:tc>
      </w:tr>
      <w:tr w:rsidTr="000816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p>
        </w:tc>
      </w:tr>
    </w:tbl>
    <w:p w:rsidR="000816BE" w:rsidP="00AF2A63">
      <w:pPr>
        <w:pStyle w:val="BodyText"/>
      </w:pPr>
    </w:p>
    <w:p w:rsidR="000816BE" w:rsidP="00AF2A63">
      <w:pPr>
        <w:pStyle w:val="BodyText"/>
      </w:pPr>
    </w:p>
    <w:p w:rsidR="00000000" w:rsidRPr="00AF2A63" w:rsidP="00AF2A63">
      <w:pPr>
        <w:pStyle w:val="Heading1"/>
      </w:pPr>
      <w:bookmarkStart w:id="14" w:name="O_209086"/>
      <w:bookmarkEnd w:id="14"/>
      <w:r w:rsidRPr="00AF2A63">
        <w:t>Competency field</w:t>
      </w:r>
    </w:p>
    <w:tbl>
      <w:tblPr>
        <w:tblW w:w="0" w:type="auto"/>
        <w:tblLayout w:type="fixed"/>
        <w:tblCellMar>
          <w:left w:w="62" w:type="dxa"/>
          <w:right w:w="62" w:type="dxa"/>
        </w:tblCellMar>
        <w:tblLook w:val="0000"/>
      </w:tblPr>
      <w:tblGrid>
        <w:gridCol w:w="2752"/>
        <w:gridCol w:w="5770"/>
      </w:tblGrid>
      <w:tr w:rsidTr="000816B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A63">
            <w:pPr>
              <w:pStyle w:val="BodyText"/>
              <w:rPr>
                <w:lang w:val="en-NZ"/>
              </w:rPr>
            </w:pPr>
            <w:r w:rsidRPr="00AF2A63">
              <w:rPr>
                <w:rStyle w:val="SpecialBold"/>
              </w:rPr>
              <w:t>Competency field</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A63" w:rsidP="00AF2A63">
            <w:pPr>
              <w:pStyle w:val="BodyText"/>
            </w:pPr>
            <w:r w:rsidRPr="00AF2A63">
              <w:t>Optical networks</w:t>
            </w:r>
          </w:p>
        </w:tc>
      </w:tr>
    </w:tbl>
    <w:p w:rsidR="000816BE" w:rsidP="00AF2A63">
      <w:pPr>
        <w:pStyle w:val="BodyText"/>
      </w:pPr>
    </w:p>
    <w:p w:rsidR="000816BE" w:rsidP="00AF2A63">
      <w:pPr>
        <w:pStyle w:val="BodyText"/>
      </w:pPr>
    </w:p>
    <w:p w:rsidR="00000000" w:rsidRPr="00AF2A63" w:rsidP="00AF2A63"/>
    <w:sectPr w:rsidSect="00AF2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6BE" w:rsidP="00081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BE" w:rsidP="00AF2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816BE" w:rsidP="00AF2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16BE" w:rsidP="00AF2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6BE" w:rsidP="000816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BE" w:rsidP="00AF2A63">
    <w:pPr>
      <w:pStyle w:val="Header"/>
      <w:framePr w:wrap="around"/>
    </w:pPr>
    <w:r>
      <w:fldChar w:fldCharType="begin"/>
    </w:r>
    <w:r>
      <w:instrText xml:space="preserve"> TITLE   \* MERGEFORMAT </w:instrText>
    </w:r>
    <w:r>
      <w:fldChar w:fldCharType="separate"/>
    </w:r>
    <w:r>
      <w:t>ICTOPN4116A Use advanced optical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16BE" w:rsidP="00AF2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8D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A0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62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A63"/>
    <w:pPr>
      <w:spacing w:before="360" w:after="60"/>
      <w:outlineLvl w:val="0"/>
    </w:pPr>
    <w:rPr>
      <w:sz w:val="32"/>
    </w:rPr>
  </w:style>
  <w:style w:type="paragraph" w:styleId="Heading2">
    <w:name w:val="heading 2"/>
    <w:basedOn w:val="HeadingBase"/>
    <w:next w:val="BodyText"/>
    <w:link w:val="Heading2Char"/>
    <w:qFormat/>
    <w:rsid w:val="00AF2A63"/>
    <w:pPr>
      <w:keepLines/>
      <w:spacing w:before="240" w:after="120"/>
      <w:outlineLvl w:val="1"/>
    </w:pPr>
    <w:rPr>
      <w:sz w:val="28"/>
      <w:szCs w:val="40"/>
    </w:rPr>
  </w:style>
  <w:style w:type="paragraph" w:styleId="Heading3">
    <w:name w:val="heading 3"/>
    <w:basedOn w:val="HeadingBase"/>
    <w:next w:val="BodyText"/>
    <w:link w:val="Heading3Char"/>
    <w:qFormat/>
    <w:rsid w:val="00AF2A63"/>
    <w:pPr>
      <w:spacing w:before="180" w:after="120"/>
      <w:outlineLvl w:val="2"/>
    </w:pPr>
    <w:rPr>
      <w:spacing w:val="-10"/>
      <w:kern w:val="32"/>
    </w:rPr>
  </w:style>
  <w:style w:type="paragraph" w:styleId="Heading4">
    <w:name w:val="heading 4"/>
    <w:basedOn w:val="HeadingBase"/>
    <w:next w:val="BodyText"/>
    <w:link w:val="Heading4Char"/>
    <w:qFormat/>
    <w:rsid w:val="00AF2A63"/>
    <w:pPr>
      <w:spacing w:before="160" w:after="120"/>
      <w:outlineLvl w:val="3"/>
    </w:pPr>
    <w:rPr>
      <w:sz w:val="22"/>
    </w:rPr>
  </w:style>
  <w:style w:type="paragraph" w:styleId="Heading5">
    <w:name w:val="heading 5"/>
    <w:basedOn w:val="HeadingBase"/>
    <w:next w:val="Normal"/>
    <w:link w:val="Heading5Char"/>
    <w:qFormat/>
    <w:rsid w:val="00AF2A63"/>
    <w:pPr>
      <w:spacing w:before="80"/>
      <w:outlineLvl w:val="4"/>
    </w:pPr>
    <w:rPr>
      <w:color w:val="918585"/>
      <w:sz w:val="20"/>
    </w:rPr>
  </w:style>
  <w:style w:type="paragraph" w:styleId="Heading6">
    <w:name w:val="heading 6"/>
    <w:basedOn w:val="HeadingBase"/>
    <w:next w:val="Normal"/>
    <w:link w:val="Heading6Char"/>
    <w:qFormat/>
    <w:rsid w:val="00AF2A63"/>
    <w:pPr>
      <w:spacing w:before="60"/>
      <w:outlineLvl w:val="5"/>
    </w:pPr>
    <w:rPr>
      <w:color w:val="918585"/>
      <w:sz w:val="20"/>
    </w:rPr>
  </w:style>
  <w:style w:type="paragraph" w:styleId="Heading7">
    <w:name w:val="heading 7"/>
    <w:basedOn w:val="Normal"/>
    <w:next w:val="Normal"/>
    <w:link w:val="Heading7Char"/>
    <w:qFormat/>
    <w:rsid w:val="00AF2A63"/>
    <w:pPr>
      <w:ind w:left="720"/>
      <w:outlineLvl w:val="6"/>
    </w:pPr>
    <w:rPr>
      <w:i/>
    </w:rPr>
  </w:style>
  <w:style w:type="paragraph" w:styleId="Heading8">
    <w:name w:val="heading 8"/>
    <w:basedOn w:val="Normal"/>
    <w:next w:val="Normal"/>
    <w:link w:val="Heading8Char"/>
    <w:qFormat/>
    <w:rsid w:val="00AF2A63"/>
    <w:pPr>
      <w:ind w:left="720"/>
      <w:outlineLvl w:val="7"/>
    </w:pPr>
    <w:rPr>
      <w:i/>
    </w:rPr>
  </w:style>
  <w:style w:type="paragraph" w:styleId="Heading9">
    <w:name w:val="heading 9"/>
    <w:basedOn w:val="Normal"/>
    <w:next w:val="Normal"/>
    <w:link w:val="Heading9Char"/>
    <w:qFormat/>
    <w:rsid w:val="00AF2A63"/>
    <w:pPr>
      <w:ind w:left="720"/>
      <w:outlineLvl w:val="8"/>
    </w:pPr>
    <w:rPr>
      <w:i/>
    </w:rPr>
  </w:style>
  <w:style w:type="character" w:default="1" w:styleId="DefaultParagraphFont">
    <w:name w:val="Default Paragraph Font"/>
    <w:uiPriority w:val="1"/>
    <w:unhideWhenUsed/>
    <w:rsid w:val="00AF2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A63"/>
  </w:style>
  <w:style w:type="character" w:customStyle="1" w:styleId="Heading1Char">
    <w:name w:val="Heading 1 Char"/>
    <w:basedOn w:val="DefaultParagraphFont"/>
    <w:link w:val="Heading1"/>
    <w:rsid w:val="00AF2A63"/>
    <w:rPr>
      <w:rFonts w:ascii="Times New Roman" w:eastAsia="Times New Roman" w:hAnsi="Times New Roman" w:cs="Times New Roman"/>
      <w:b/>
      <w:sz w:val="32"/>
      <w:szCs w:val="20"/>
      <w:lang w:eastAsia="en-US"/>
    </w:rPr>
  </w:style>
  <w:style w:type="paragraph" w:styleId="BodyText">
    <w:name w:val="Body Text"/>
    <w:basedOn w:val="Normal"/>
    <w:link w:val="BodyTextChar"/>
    <w:rsid w:val="00AF2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A63"/>
    <w:rPr>
      <w:rFonts w:ascii="Times New Roman" w:eastAsia="Times New Roman" w:hAnsi="Times New Roman" w:cs="Times New Roman"/>
      <w:sz w:val="24"/>
      <w:lang w:val="en-US" w:eastAsia="en-US"/>
    </w:rPr>
  </w:style>
  <w:style w:type="paragraph" w:styleId="Footer">
    <w:name w:val="footer"/>
    <w:basedOn w:val="Normal"/>
    <w:link w:val="FooterChar"/>
    <w:rsid w:val="00AF2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A63"/>
    <w:rPr>
      <w:rFonts w:ascii="Times New Roman" w:eastAsia="Times New Roman" w:hAnsi="Times New Roman" w:cs="Times New Roman"/>
      <w:sz w:val="16"/>
      <w:lang w:val="en-US" w:eastAsia="en-US"/>
    </w:rPr>
  </w:style>
  <w:style w:type="paragraph" w:styleId="List">
    <w:name w:val="List"/>
    <w:basedOn w:val="BodyText"/>
    <w:next w:val="BodyText"/>
    <w:rsid w:val="00AF2A63"/>
    <w:pPr>
      <w:tabs>
        <w:tab w:val="left" w:pos="340"/>
      </w:tabs>
      <w:spacing w:before="60" w:after="60"/>
      <w:ind w:left="340" w:hanging="340"/>
    </w:pPr>
  </w:style>
  <w:style w:type="paragraph" w:styleId="ListBullet">
    <w:name w:val="List Bullet"/>
    <w:basedOn w:val="List"/>
    <w:rsid w:val="00AF2A63"/>
    <w:pPr>
      <w:numPr>
        <w:numId w:val="14"/>
      </w:numPr>
      <w:tabs>
        <w:tab w:val="clear" w:pos="340"/>
      </w:tabs>
      <w:spacing w:before="40" w:after="40"/>
    </w:pPr>
  </w:style>
  <w:style w:type="character" w:customStyle="1" w:styleId="SpecialBold">
    <w:name w:val="Special Bold"/>
    <w:basedOn w:val="DefaultParagraphFont"/>
    <w:rsid w:val="00AF2A63"/>
    <w:rPr>
      <w:b/>
      <w:spacing w:val="0"/>
    </w:rPr>
  </w:style>
  <w:style w:type="paragraph" w:styleId="ListBullet2">
    <w:name w:val="List Bullet 2"/>
    <w:basedOn w:val="List2"/>
    <w:rsid w:val="00AF2A63"/>
    <w:pPr>
      <w:numPr>
        <w:numId w:val="15"/>
      </w:numPr>
      <w:tabs>
        <w:tab w:val="clear" w:pos="680"/>
      </w:tabs>
    </w:pPr>
  </w:style>
  <w:style w:type="paragraph" w:styleId="Header">
    <w:name w:val="header"/>
    <w:basedOn w:val="Normal"/>
    <w:link w:val="HeaderChar"/>
    <w:rsid w:val="00AF2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A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A63"/>
    <w:pPr>
      <w:spacing w:before="240" w:after="120"/>
      <w:outlineLvl w:val="0"/>
    </w:pPr>
    <w:rPr>
      <w:rFonts w:ascii="Times New Roman" w:hAnsi="Times New Roman"/>
      <w:b/>
      <w:sz w:val="28"/>
    </w:rPr>
  </w:style>
  <w:style w:type="paragraph" w:customStyle="1" w:styleId="AllowPageBreak">
    <w:name w:val="AllowPageBreak"/>
    <w:rsid w:val="00AF2A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A63"/>
    <w:pPr>
      <w:tabs>
        <w:tab w:val="left" w:pos="680"/>
      </w:tabs>
      <w:spacing w:before="60" w:after="60"/>
      <w:ind w:left="680" w:hanging="340"/>
    </w:pPr>
  </w:style>
  <w:style w:type="paragraph" w:styleId="ListBullet3">
    <w:name w:val="List Bullet 3"/>
    <w:basedOn w:val="List3"/>
    <w:rsid w:val="00AF2A63"/>
    <w:pPr>
      <w:numPr>
        <w:numId w:val="3"/>
      </w:numPr>
      <w:tabs>
        <w:tab w:val="clear" w:pos="1021"/>
      </w:tabs>
      <w:ind w:left="1037" w:hanging="357"/>
    </w:pPr>
  </w:style>
  <w:style w:type="character" w:customStyle="1" w:styleId="BoldandItalics">
    <w:name w:val="Bold and Italics"/>
    <w:qFormat/>
    <w:rsid w:val="00AF2A63"/>
    <w:rPr>
      <w:b/>
      <w:i/>
      <w:u w:val="none"/>
    </w:rPr>
  </w:style>
  <w:style w:type="character" w:customStyle="1" w:styleId="Heading2Char">
    <w:name w:val="Heading 2 Char"/>
    <w:basedOn w:val="DefaultParagraphFont"/>
    <w:link w:val="Heading2"/>
    <w:rsid w:val="00AF2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A63"/>
    <w:rPr>
      <w:rFonts w:ascii="Courier New" w:eastAsia="Times New Roman" w:hAnsi="Courier New" w:cs="Times New Roman"/>
      <w:i/>
      <w:szCs w:val="20"/>
      <w:lang w:val="en-US" w:eastAsia="en-US"/>
    </w:rPr>
  </w:style>
  <w:style w:type="paragraph" w:customStyle="1" w:styleId="HeadingBase">
    <w:name w:val="Heading Base"/>
    <w:rsid w:val="00AF2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A63"/>
    <w:pPr>
      <w:tabs>
        <w:tab w:val="right" w:leader="dot" w:pos="9072"/>
      </w:tabs>
      <w:ind w:left="567"/>
    </w:pPr>
    <w:rPr>
      <w:szCs w:val="22"/>
    </w:rPr>
  </w:style>
  <w:style w:type="paragraph" w:customStyle="1" w:styleId="TOCBase">
    <w:name w:val="TOC Base"/>
    <w:rsid w:val="00AF2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A63"/>
    <w:pPr>
      <w:tabs>
        <w:tab w:val="right" w:leader="dot" w:pos="9072"/>
      </w:tabs>
      <w:spacing w:before="40" w:after="40"/>
      <w:ind w:left="284"/>
    </w:pPr>
    <w:rPr>
      <w:rFonts w:ascii="Times New Roman" w:hAnsi="Times New Roman"/>
    </w:rPr>
  </w:style>
  <w:style w:type="paragraph" w:styleId="TOC1">
    <w:name w:val="toc 1"/>
    <w:basedOn w:val="TOCBase"/>
    <w:next w:val="Normal"/>
    <w:rsid w:val="00AF2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A63"/>
    <w:pPr>
      <w:spacing w:before="5040"/>
      <w:jc w:val="center"/>
    </w:pPr>
    <w:rPr>
      <w:sz w:val="48"/>
      <w:szCs w:val="72"/>
      <w:lang w:val="en-US"/>
    </w:rPr>
  </w:style>
  <w:style w:type="character" w:customStyle="1" w:styleId="TitleChar">
    <w:name w:val="Title Char"/>
    <w:basedOn w:val="DefaultParagraphFont"/>
    <w:link w:val="Title"/>
    <w:rsid w:val="00AF2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A63"/>
    <w:pPr>
      <w:tabs>
        <w:tab w:val="left" w:pos="3600"/>
        <w:tab w:val="left" w:pos="3958"/>
      </w:tabs>
    </w:pPr>
  </w:style>
  <w:style w:type="paragraph" w:customStyle="1" w:styleId="Note">
    <w:name w:val="Note"/>
    <w:basedOn w:val="BodyText"/>
    <w:rsid w:val="00AF2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A63"/>
    <w:pPr>
      <w:framePr w:wrap="auto" w:hAnchor="text" w:y="6049"/>
    </w:pPr>
    <w:rPr>
      <w:color w:val="000000"/>
      <w:sz w:val="40"/>
    </w:rPr>
  </w:style>
  <w:style w:type="paragraph" w:customStyle="1" w:styleId="TOCTitle">
    <w:name w:val="TOCTitle"/>
    <w:basedOn w:val="Heading1"/>
    <w:rsid w:val="00AF2A63"/>
    <w:pPr>
      <w:spacing w:after="240"/>
      <w:jc w:val="center"/>
      <w:outlineLvl w:val="9"/>
    </w:pPr>
    <w:rPr>
      <w:caps/>
    </w:rPr>
  </w:style>
  <w:style w:type="paragraph" w:customStyle="1" w:styleId="Version">
    <w:name w:val="Version"/>
    <w:rsid w:val="00AF2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A63"/>
    <w:pPr>
      <w:keepNext w:val="0"/>
      <w:tabs>
        <w:tab w:val="right" w:pos="4176"/>
      </w:tabs>
      <w:ind w:left="198" w:hanging="198"/>
    </w:pPr>
    <w:rPr>
      <w:rFonts w:ascii="Garamond" w:hAnsi="Garamond"/>
    </w:rPr>
  </w:style>
  <w:style w:type="paragraph" w:styleId="IndexHeading">
    <w:name w:val="index heading"/>
    <w:basedOn w:val="Normal"/>
    <w:next w:val="Index1"/>
    <w:semiHidden/>
    <w:rsid w:val="00AF2A63"/>
    <w:pPr>
      <w:spacing w:before="120" w:after="120"/>
    </w:pPr>
    <w:rPr>
      <w:rFonts w:ascii="Arial" w:hAnsi="Arial"/>
      <w:b/>
      <w:color w:val="918585"/>
      <w:sz w:val="24"/>
    </w:rPr>
  </w:style>
  <w:style w:type="paragraph" w:customStyle="1" w:styleId="Chapter">
    <w:name w:val="Chapter"/>
    <w:basedOn w:val="Normal"/>
    <w:rsid w:val="00AF2A63"/>
    <w:pPr>
      <w:spacing w:before="240"/>
    </w:pPr>
    <w:rPr>
      <w:rFonts w:ascii="Times New Roman" w:hAnsi="Times New Roman"/>
      <w:smallCaps/>
      <w:spacing w:val="80"/>
      <w:sz w:val="28"/>
    </w:rPr>
  </w:style>
  <w:style w:type="paragraph" w:customStyle="1" w:styleId="InChapter">
    <w:name w:val="InChapter"/>
    <w:basedOn w:val="Heading3"/>
    <w:rsid w:val="00AF2A63"/>
    <w:pPr>
      <w:spacing w:after="240"/>
      <w:outlineLvl w:val="9"/>
    </w:pPr>
    <w:rPr>
      <w:noProof/>
    </w:rPr>
  </w:style>
  <w:style w:type="paragraph" w:styleId="Index2">
    <w:name w:val="index 2"/>
    <w:basedOn w:val="Normal"/>
    <w:next w:val="Normal"/>
    <w:semiHidden/>
    <w:rsid w:val="00AF2A63"/>
    <w:pPr>
      <w:tabs>
        <w:tab w:val="right" w:pos="4176"/>
      </w:tabs>
      <w:ind w:left="568" w:hanging="284"/>
    </w:pPr>
    <w:rPr>
      <w:rFonts w:ascii="Garamond" w:hAnsi="Garamond"/>
    </w:rPr>
  </w:style>
  <w:style w:type="paragraph" w:customStyle="1" w:styleId="Byline">
    <w:name w:val="Byline"/>
    <w:rsid w:val="00AF2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A63"/>
    <w:pPr>
      <w:tabs>
        <w:tab w:val="clear" w:pos="3600"/>
        <w:tab w:val="clear" w:pos="3958"/>
      </w:tabs>
      <w:jc w:val="right"/>
    </w:pPr>
  </w:style>
  <w:style w:type="character" w:styleId="Emphasis">
    <w:name w:val="Emphasis"/>
    <w:basedOn w:val="DefaultParagraphFont"/>
    <w:qFormat/>
    <w:rsid w:val="00AF2A63"/>
    <w:rPr>
      <w:i/>
    </w:rPr>
  </w:style>
  <w:style w:type="paragraph" w:styleId="Caption">
    <w:name w:val="caption"/>
    <w:basedOn w:val="BodyText"/>
    <w:next w:val="Normal"/>
    <w:qFormat/>
    <w:rsid w:val="00AF2A63"/>
    <w:pPr>
      <w:framePr w:w="2268" w:hSpace="181" w:vSpace="181" w:wrap="around" w:vAnchor="text" w:hAnchor="page" w:x="1135" w:y="285" w:anchorLock="1"/>
    </w:pPr>
    <w:rPr>
      <w:i/>
    </w:rPr>
  </w:style>
  <w:style w:type="paragraph" w:customStyle="1" w:styleId="MiniTOCTitle">
    <w:name w:val="MiniTOCTitle"/>
    <w:basedOn w:val="Heading4"/>
    <w:rsid w:val="00AF2A63"/>
    <w:pPr>
      <w:spacing w:before="240"/>
      <w:outlineLvl w:val="9"/>
    </w:pPr>
    <w:rPr>
      <w:noProof/>
      <w:sz w:val="24"/>
    </w:rPr>
  </w:style>
  <w:style w:type="paragraph" w:customStyle="1" w:styleId="MiniTOCItem">
    <w:name w:val="MiniTOCItem"/>
    <w:basedOn w:val="ListBullet"/>
    <w:rsid w:val="00AF2A63"/>
    <w:pPr>
      <w:numPr>
        <w:numId w:val="0"/>
      </w:numPr>
      <w:tabs>
        <w:tab w:val="right" w:leader="dot" w:pos="6521"/>
      </w:tabs>
      <w:spacing w:before="0" w:after="0"/>
    </w:pPr>
  </w:style>
  <w:style w:type="paragraph" w:customStyle="1" w:styleId="TOFTitle">
    <w:name w:val="TOFTitle"/>
    <w:basedOn w:val="TOCTitle"/>
    <w:rsid w:val="00AF2A63"/>
  </w:style>
  <w:style w:type="paragraph" w:styleId="TableofFigures">
    <w:name w:val="table of figures"/>
    <w:basedOn w:val="Normal"/>
    <w:next w:val="Normal"/>
    <w:semiHidden/>
    <w:rsid w:val="00AF2A63"/>
    <w:pPr>
      <w:tabs>
        <w:tab w:val="right" w:leader="dot" w:pos="9072"/>
      </w:tabs>
      <w:ind w:left="970" w:hanging="403"/>
    </w:pPr>
    <w:rPr>
      <w:rFonts w:ascii="Times New Roman" w:hAnsi="Times New Roman"/>
      <w:b/>
    </w:rPr>
  </w:style>
  <w:style w:type="paragraph" w:styleId="ListNumber">
    <w:name w:val="List Number"/>
    <w:basedOn w:val="List"/>
    <w:rsid w:val="00AF2A63"/>
    <w:pPr>
      <w:numPr>
        <w:numId w:val="12"/>
      </w:numPr>
    </w:pPr>
  </w:style>
  <w:style w:type="character" w:customStyle="1" w:styleId="WingdingSymbols">
    <w:name w:val="Wingding Symbols"/>
    <w:rsid w:val="00AF2A63"/>
    <w:rPr>
      <w:rFonts w:ascii="Wingdings" w:hAnsi="Wingdings"/>
    </w:rPr>
  </w:style>
  <w:style w:type="paragraph" w:customStyle="1" w:styleId="TableHeading">
    <w:name w:val="Table Heading"/>
    <w:basedOn w:val="HeadingBase"/>
    <w:rsid w:val="00AF2A63"/>
    <w:pPr>
      <w:keepLines/>
      <w:pBdr>
        <w:bottom w:val="single" w:sz="6" w:space="1" w:color="918585"/>
      </w:pBdr>
      <w:spacing w:before="240"/>
    </w:pPr>
  </w:style>
  <w:style w:type="character" w:customStyle="1" w:styleId="HotSpot">
    <w:name w:val="HotSpot"/>
    <w:rsid w:val="00AF2A63"/>
    <w:rPr>
      <w:color w:val="0033CC"/>
      <w:u w:val="none"/>
    </w:rPr>
  </w:style>
  <w:style w:type="paragraph" w:customStyle="1" w:styleId="BodyTextRight">
    <w:name w:val="Body Text Right"/>
    <w:basedOn w:val="BodyText"/>
    <w:rsid w:val="00AF2A63"/>
    <w:pPr>
      <w:spacing w:before="0" w:after="0"/>
      <w:jc w:val="right"/>
    </w:pPr>
  </w:style>
  <w:style w:type="paragraph" w:styleId="Index3">
    <w:name w:val="index 3"/>
    <w:basedOn w:val="ListNumber2"/>
    <w:next w:val="Normal"/>
    <w:semiHidden/>
    <w:rsid w:val="00AF2A63"/>
    <w:pPr>
      <w:numPr>
        <w:numId w:val="0"/>
      </w:numPr>
      <w:tabs>
        <w:tab w:val="right" w:leader="dot" w:pos="4176"/>
      </w:tabs>
    </w:pPr>
  </w:style>
  <w:style w:type="paragraph" w:styleId="ListNumber2">
    <w:name w:val="List Number 2"/>
    <w:basedOn w:val="List2"/>
    <w:rsid w:val="00AF2A63"/>
    <w:pPr>
      <w:numPr>
        <w:numId w:val="11"/>
      </w:numPr>
      <w:tabs>
        <w:tab w:val="clear" w:pos="1060"/>
      </w:tabs>
    </w:pPr>
  </w:style>
  <w:style w:type="paragraph" w:customStyle="1" w:styleId="MarginNote">
    <w:name w:val="Margin Note"/>
    <w:basedOn w:val="BodyText"/>
    <w:rsid w:val="00AF2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A63"/>
    <w:rPr>
      <w:sz w:val="32"/>
    </w:rPr>
  </w:style>
  <w:style w:type="paragraph" w:customStyle="1" w:styleId="HeadingProcedure">
    <w:name w:val="Heading Procedure"/>
    <w:basedOn w:val="HeadingBase"/>
    <w:next w:val="Normal"/>
    <w:rsid w:val="00AF2A63"/>
    <w:pPr>
      <w:tabs>
        <w:tab w:val="left" w:pos="0"/>
      </w:tabs>
      <w:spacing w:before="120" w:after="60"/>
    </w:pPr>
    <w:rPr>
      <w:i/>
      <w:color w:val="918585"/>
      <w:sz w:val="22"/>
    </w:rPr>
  </w:style>
  <w:style w:type="paragraph" w:customStyle="1" w:styleId="TableBodyText">
    <w:name w:val="Table Body Text"/>
    <w:basedOn w:val="BodyText"/>
    <w:rsid w:val="00AF2A63"/>
    <w:pPr>
      <w:spacing w:before="60" w:after="60"/>
    </w:pPr>
  </w:style>
  <w:style w:type="paragraph" w:styleId="ListContinue">
    <w:name w:val="List Continue"/>
    <w:basedOn w:val="List"/>
    <w:rsid w:val="00AF2A63"/>
    <w:pPr>
      <w:ind w:firstLine="0"/>
    </w:pPr>
  </w:style>
  <w:style w:type="paragraph" w:customStyle="1" w:styleId="ListNote">
    <w:name w:val="List Note"/>
    <w:basedOn w:val="List"/>
    <w:rsid w:val="00AF2A63"/>
    <w:pPr>
      <w:pBdr>
        <w:top w:val="single" w:sz="6" w:space="2" w:color="918585"/>
        <w:bottom w:val="single" w:sz="6" w:space="2" w:color="918585"/>
      </w:pBdr>
      <w:tabs>
        <w:tab w:val="left" w:pos="1021"/>
      </w:tabs>
      <w:ind w:firstLine="0"/>
    </w:pPr>
  </w:style>
  <w:style w:type="paragraph" w:customStyle="1" w:styleId="Warning">
    <w:name w:val="Warning"/>
    <w:basedOn w:val="BodyText"/>
    <w:rsid w:val="00AF2A63"/>
    <w:pPr>
      <w:shd w:val="clear" w:color="auto" w:fill="D9D9D9"/>
      <w:tabs>
        <w:tab w:val="left" w:pos="992"/>
      </w:tabs>
      <w:ind w:left="119" w:right="119"/>
    </w:pPr>
    <w:rPr>
      <w:sz w:val="20"/>
    </w:rPr>
  </w:style>
  <w:style w:type="paragraph" w:customStyle="1" w:styleId="MarginIcons">
    <w:name w:val="Margin Icons"/>
    <w:basedOn w:val="BodyText"/>
    <w:rsid w:val="00AF2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A63"/>
    <w:rPr>
      <w:rFonts w:ascii="Courier New" w:hAnsi="Courier New"/>
    </w:rPr>
  </w:style>
  <w:style w:type="paragraph" w:customStyle="1" w:styleId="NoteBullet">
    <w:name w:val="Note Bullet"/>
    <w:basedOn w:val="Note"/>
    <w:rsid w:val="00AF2A63"/>
    <w:pPr>
      <w:tabs>
        <w:tab w:val="clear" w:pos="680"/>
      </w:tabs>
      <w:spacing w:before="60" w:after="60"/>
    </w:pPr>
  </w:style>
  <w:style w:type="paragraph" w:customStyle="1" w:styleId="SubHeading2">
    <w:name w:val="SubHeading2"/>
    <w:basedOn w:val="HeadingBase"/>
    <w:rsid w:val="00AF2A63"/>
    <w:pPr>
      <w:spacing w:before="240" w:after="60"/>
    </w:pPr>
    <w:rPr>
      <w:sz w:val="20"/>
    </w:rPr>
  </w:style>
  <w:style w:type="paragraph" w:customStyle="1" w:styleId="SubHeading1">
    <w:name w:val="SubHeading1"/>
    <w:basedOn w:val="HeadingBase"/>
    <w:rsid w:val="00AF2A63"/>
    <w:pPr>
      <w:spacing w:before="240" w:after="60"/>
    </w:pPr>
    <w:rPr>
      <w:color w:val="918585"/>
      <w:sz w:val="22"/>
    </w:rPr>
  </w:style>
  <w:style w:type="paragraph" w:customStyle="1" w:styleId="SideHeading">
    <w:name w:val="Side Heading"/>
    <w:basedOn w:val="HeadingBase"/>
    <w:rsid w:val="00AF2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A63"/>
    <w:pPr>
      <w:numPr>
        <w:numId w:val="13"/>
      </w:numPr>
    </w:pPr>
  </w:style>
  <w:style w:type="paragraph" w:styleId="PlainText">
    <w:name w:val="Plain Text"/>
    <w:basedOn w:val="Normal"/>
    <w:link w:val="PlainTextChar"/>
    <w:rsid w:val="00AF2A63"/>
    <w:rPr>
      <w:sz w:val="20"/>
    </w:rPr>
  </w:style>
  <w:style w:type="character" w:customStyle="1" w:styleId="PlainTextChar">
    <w:name w:val="Plain Text Char"/>
    <w:basedOn w:val="DefaultParagraphFont"/>
    <w:link w:val="PlainText"/>
    <w:rsid w:val="00AF2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A63"/>
    <w:rPr>
      <w:b/>
      <w:smallCaps/>
    </w:rPr>
  </w:style>
  <w:style w:type="paragraph" w:customStyle="1" w:styleId="TableListNumber">
    <w:name w:val="Table List Number"/>
    <w:basedOn w:val="ListNumber"/>
    <w:rsid w:val="00AF2A63"/>
    <w:pPr>
      <w:numPr>
        <w:numId w:val="0"/>
      </w:numPr>
    </w:pPr>
  </w:style>
  <w:style w:type="paragraph" w:styleId="TOC4">
    <w:name w:val="toc 4"/>
    <w:basedOn w:val="TOCBase"/>
    <w:next w:val="Normal"/>
    <w:semiHidden/>
    <w:rsid w:val="00AF2A63"/>
    <w:pPr>
      <w:tabs>
        <w:tab w:val="right" w:leader="dot" w:pos="9071"/>
      </w:tabs>
      <w:ind w:left="1701"/>
    </w:pPr>
  </w:style>
  <w:style w:type="paragraph" w:customStyle="1" w:styleId="ListAlpha">
    <w:name w:val="List Alpha"/>
    <w:basedOn w:val="List"/>
    <w:rsid w:val="00AF2A63"/>
    <w:pPr>
      <w:numPr>
        <w:numId w:val="10"/>
      </w:numPr>
    </w:pPr>
  </w:style>
  <w:style w:type="paragraph" w:customStyle="1" w:styleId="ListAlpha2">
    <w:name w:val="List Alpha 2"/>
    <w:basedOn w:val="List2"/>
    <w:rsid w:val="00AF2A63"/>
    <w:pPr>
      <w:numPr>
        <w:numId w:val="9"/>
      </w:numPr>
    </w:pPr>
  </w:style>
  <w:style w:type="paragraph" w:styleId="List3">
    <w:name w:val="List 3"/>
    <w:basedOn w:val="BodyText"/>
    <w:rsid w:val="00AF2A63"/>
    <w:pPr>
      <w:tabs>
        <w:tab w:val="left" w:pos="1021"/>
      </w:tabs>
      <w:spacing w:before="60" w:after="60"/>
      <w:ind w:left="1020" w:hanging="340"/>
    </w:pPr>
  </w:style>
  <w:style w:type="paragraph" w:styleId="List4">
    <w:name w:val="List 4"/>
    <w:basedOn w:val="BodyText"/>
    <w:rsid w:val="00AF2A63"/>
    <w:pPr>
      <w:tabs>
        <w:tab w:val="left" w:pos="1361"/>
      </w:tabs>
      <w:spacing w:before="60" w:after="60"/>
      <w:ind w:left="1361" w:hanging="340"/>
    </w:pPr>
  </w:style>
  <w:style w:type="paragraph" w:styleId="List5">
    <w:name w:val="List 5"/>
    <w:basedOn w:val="BodyText"/>
    <w:rsid w:val="00AF2A63"/>
    <w:pPr>
      <w:tabs>
        <w:tab w:val="left" w:pos="1701"/>
      </w:tabs>
      <w:spacing w:before="60" w:after="60"/>
      <w:ind w:left="1701" w:hanging="340"/>
    </w:pPr>
  </w:style>
  <w:style w:type="paragraph" w:styleId="ListBullet4">
    <w:name w:val="List Bullet 4"/>
    <w:basedOn w:val="List4"/>
    <w:rsid w:val="00AF2A63"/>
    <w:pPr>
      <w:numPr>
        <w:numId w:val="4"/>
      </w:numPr>
    </w:pPr>
  </w:style>
  <w:style w:type="paragraph" w:styleId="ListBullet5">
    <w:name w:val="List Bullet 5"/>
    <w:basedOn w:val="List5"/>
    <w:rsid w:val="00AF2A63"/>
    <w:pPr>
      <w:numPr>
        <w:numId w:val="5"/>
      </w:numPr>
    </w:pPr>
  </w:style>
  <w:style w:type="paragraph" w:styleId="ListContinue2">
    <w:name w:val="List Continue 2"/>
    <w:basedOn w:val="List2"/>
    <w:rsid w:val="00AF2A63"/>
    <w:pPr>
      <w:ind w:firstLine="0"/>
    </w:pPr>
  </w:style>
  <w:style w:type="paragraph" w:styleId="ListContinue3">
    <w:name w:val="List Continue 3"/>
    <w:basedOn w:val="List3"/>
    <w:rsid w:val="00AF2A63"/>
    <w:pPr>
      <w:ind w:left="1021" w:firstLine="0"/>
    </w:pPr>
  </w:style>
  <w:style w:type="paragraph" w:styleId="ListContinue4">
    <w:name w:val="List Continue 4"/>
    <w:basedOn w:val="List4"/>
    <w:rsid w:val="00AF2A63"/>
    <w:pPr>
      <w:ind w:firstLine="0"/>
    </w:pPr>
  </w:style>
  <w:style w:type="paragraph" w:styleId="ListContinue5">
    <w:name w:val="List Continue 5"/>
    <w:basedOn w:val="List5"/>
    <w:rsid w:val="00AF2A63"/>
    <w:pPr>
      <w:ind w:firstLine="0"/>
    </w:pPr>
  </w:style>
  <w:style w:type="paragraph" w:styleId="ListNumber3">
    <w:name w:val="List Number 3"/>
    <w:basedOn w:val="List3"/>
    <w:rsid w:val="00AF2A63"/>
    <w:pPr>
      <w:numPr>
        <w:numId w:val="6"/>
      </w:numPr>
    </w:pPr>
  </w:style>
  <w:style w:type="paragraph" w:styleId="ListNumber4">
    <w:name w:val="List Number 4"/>
    <w:basedOn w:val="List4"/>
    <w:rsid w:val="00AF2A63"/>
    <w:pPr>
      <w:numPr>
        <w:numId w:val="7"/>
      </w:numPr>
    </w:pPr>
  </w:style>
  <w:style w:type="paragraph" w:styleId="ListNumber5">
    <w:name w:val="List Number 5"/>
    <w:basedOn w:val="List5"/>
    <w:rsid w:val="00AF2A63"/>
    <w:pPr>
      <w:numPr>
        <w:numId w:val="8"/>
      </w:numPr>
    </w:pPr>
  </w:style>
  <w:style w:type="paragraph" w:styleId="BlockText">
    <w:name w:val="Block Text"/>
    <w:basedOn w:val="Normal"/>
    <w:rsid w:val="00AF2A63"/>
    <w:pPr>
      <w:spacing w:after="120"/>
      <w:ind w:left="1440" w:right="1440"/>
    </w:pPr>
  </w:style>
  <w:style w:type="character" w:customStyle="1" w:styleId="Subscript">
    <w:name w:val="Subscript"/>
    <w:basedOn w:val="DefaultParagraphFont"/>
    <w:rsid w:val="00AF2A63"/>
    <w:rPr>
      <w:sz w:val="16"/>
      <w:vertAlign w:val="subscript"/>
    </w:rPr>
  </w:style>
  <w:style w:type="character" w:customStyle="1" w:styleId="Superscript">
    <w:name w:val="Superscript"/>
    <w:basedOn w:val="DefaultParagraphFont"/>
    <w:rsid w:val="00AF2A63"/>
    <w:rPr>
      <w:sz w:val="16"/>
      <w:vertAlign w:val="superscript"/>
    </w:rPr>
  </w:style>
  <w:style w:type="character" w:customStyle="1" w:styleId="Symbols">
    <w:name w:val="Symbols"/>
    <w:basedOn w:val="DefaultParagraphFont"/>
    <w:rsid w:val="00AF2A63"/>
    <w:rPr>
      <w:rFonts w:ascii="Symbol" w:hAnsi="Symbol"/>
    </w:rPr>
  </w:style>
  <w:style w:type="character" w:customStyle="1" w:styleId="MenuOptions">
    <w:name w:val="Menu Options"/>
    <w:basedOn w:val="DefaultParagraphFont"/>
    <w:rsid w:val="00AF2A63"/>
    <w:rPr>
      <w:rFonts w:ascii="Arial Narrow" w:hAnsi="Arial Narrow"/>
      <w:smallCaps/>
    </w:rPr>
  </w:style>
  <w:style w:type="character" w:customStyle="1" w:styleId="Buttons">
    <w:name w:val="Buttons"/>
    <w:basedOn w:val="DefaultParagraphFont"/>
    <w:rsid w:val="00AF2A63"/>
    <w:rPr>
      <w:b/>
    </w:rPr>
  </w:style>
  <w:style w:type="character" w:customStyle="1" w:styleId="Underlined">
    <w:name w:val="Underlined"/>
    <w:basedOn w:val="DefaultParagraphFont"/>
    <w:rsid w:val="00AF2A63"/>
    <w:rPr>
      <w:u w:val="single"/>
    </w:rPr>
  </w:style>
  <w:style w:type="paragraph" w:customStyle="1" w:styleId="TableBodyTextRight">
    <w:name w:val="Table Body Text Right"/>
    <w:basedOn w:val="TableBodyText"/>
    <w:rsid w:val="00AF2A63"/>
    <w:pPr>
      <w:widowControl w:val="0"/>
      <w:autoSpaceDE w:val="0"/>
      <w:autoSpaceDN w:val="0"/>
      <w:adjustRightInd w:val="0"/>
      <w:jc w:val="right"/>
    </w:pPr>
    <w:rPr>
      <w:rFonts w:cs="Arial"/>
      <w:szCs w:val="18"/>
    </w:rPr>
  </w:style>
  <w:style w:type="paragraph" w:customStyle="1" w:styleId="CopyrightText">
    <w:name w:val="Copyright Text"/>
    <w:basedOn w:val="BodyText"/>
    <w:rsid w:val="00AF2A63"/>
    <w:rPr>
      <w:sz w:val="18"/>
    </w:rPr>
  </w:style>
  <w:style w:type="paragraph" w:customStyle="1" w:styleId="BodySmallRight">
    <w:name w:val="Body Small Right"/>
    <w:basedOn w:val="BodyTextRight"/>
    <w:rsid w:val="00AF2A63"/>
    <w:rPr>
      <w:sz w:val="18"/>
      <w:szCs w:val="18"/>
    </w:rPr>
  </w:style>
  <w:style w:type="paragraph" w:customStyle="1" w:styleId="MarginEdition">
    <w:name w:val="Margin Edition"/>
    <w:basedOn w:val="MarginNote"/>
    <w:rsid w:val="00AF2A63"/>
    <w:pPr>
      <w:spacing w:before="0" w:after="0"/>
    </w:pPr>
    <w:rPr>
      <w:rFonts w:ascii="Times New Roman" w:hAnsi="Times New Roman"/>
      <w:color w:val="999999"/>
    </w:rPr>
  </w:style>
  <w:style w:type="paragraph" w:customStyle="1" w:styleId="Spacer">
    <w:name w:val="Spacer"/>
    <w:basedOn w:val="Normal"/>
    <w:rsid w:val="00AF2A63"/>
    <w:rPr>
      <w:sz w:val="2"/>
      <w:szCs w:val="2"/>
    </w:rPr>
  </w:style>
  <w:style w:type="character" w:customStyle="1" w:styleId="Small">
    <w:name w:val="Small"/>
    <w:basedOn w:val="DefaultParagraphFont"/>
    <w:rsid w:val="00AF2A63"/>
    <w:rPr>
      <w:sz w:val="16"/>
    </w:rPr>
  </w:style>
  <w:style w:type="paragraph" w:customStyle="1" w:styleId="WideTable">
    <w:name w:val="Wide Table"/>
    <w:basedOn w:val="Normal"/>
    <w:rsid w:val="00AF2A63"/>
    <w:pPr>
      <w:ind w:left="-1418"/>
    </w:pPr>
    <w:rPr>
      <w:sz w:val="2"/>
      <w:szCs w:val="2"/>
    </w:rPr>
  </w:style>
  <w:style w:type="character" w:styleId="PageNumber">
    <w:name w:val="page number"/>
    <w:basedOn w:val="DefaultParagraphFont"/>
    <w:rsid w:val="00AF2A63"/>
  </w:style>
  <w:style w:type="paragraph" w:styleId="Quote">
    <w:name w:val="Quote"/>
    <w:basedOn w:val="Heading1"/>
    <w:link w:val="QuoteChar"/>
    <w:qFormat/>
    <w:rsid w:val="00AF2A63"/>
    <w:rPr>
      <w:b w:val="0"/>
      <w:sz w:val="72"/>
      <w:szCs w:val="72"/>
      <w:lang w:val="en-NZ"/>
    </w:rPr>
  </w:style>
  <w:style w:type="character" w:customStyle="1" w:styleId="QuoteChar">
    <w:name w:val="Quote Char"/>
    <w:basedOn w:val="DefaultParagraphFont"/>
    <w:link w:val="Quote"/>
    <w:rsid w:val="00AF2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A63"/>
    <w:pPr>
      <w:pageBreakBefore/>
    </w:pPr>
  </w:style>
  <w:style w:type="paragraph" w:customStyle="1" w:styleId="Border">
    <w:name w:val="Border"/>
    <w:basedOn w:val="Normal"/>
    <w:qFormat/>
    <w:rsid w:val="00AF2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A63"/>
    <w:rPr>
      <w:b/>
      <w:bCs/>
      <w:i/>
      <w:iCs/>
      <w:color w:val="auto"/>
    </w:rPr>
  </w:style>
  <w:style w:type="paragraph" w:styleId="IntenseQuote">
    <w:name w:val="Intense Quote"/>
    <w:basedOn w:val="Normal"/>
    <w:next w:val="Normal"/>
    <w:link w:val="IntenseQuoteChar"/>
    <w:uiPriority w:val="30"/>
    <w:qFormat/>
    <w:rsid w:val="00AF2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A63"/>
    <w:rPr>
      <w:smallCaps/>
      <w:color w:val="auto"/>
      <w:u w:val="single"/>
    </w:rPr>
  </w:style>
  <w:style w:type="character" w:styleId="IntenseReference">
    <w:name w:val="Intense Reference"/>
    <w:basedOn w:val="DefaultParagraphFont"/>
    <w:uiPriority w:val="32"/>
    <w:qFormat/>
    <w:rsid w:val="00AF2A63"/>
    <w:rPr>
      <w:b/>
      <w:bCs/>
      <w:smallCaps/>
      <w:color w:val="auto"/>
      <w:spacing w:val="5"/>
      <w:u w:val="single"/>
    </w:rPr>
  </w:style>
  <w:style w:type="paragraph" w:customStyle="1" w:styleId="2ColumnHeading">
    <w:name w:val="2Column Heading"/>
    <w:basedOn w:val="BodyText"/>
    <w:qFormat/>
    <w:rsid w:val="00AF2A63"/>
    <w:pPr>
      <w:spacing w:after="60"/>
      <w:ind w:left="-2268"/>
    </w:pPr>
    <w:rPr>
      <w:b/>
    </w:rPr>
  </w:style>
  <w:style w:type="paragraph" w:customStyle="1" w:styleId="Heading1TOC">
    <w:name w:val="Heading1 TOC"/>
    <w:basedOn w:val="Normal"/>
    <w:qFormat/>
    <w:rsid w:val="00AF2A63"/>
    <w:pPr>
      <w:spacing w:before="240" w:after="120"/>
    </w:pPr>
    <w:rPr>
      <w:rFonts w:ascii="Times New Roman" w:hAnsi="Times New Roman"/>
      <w:b/>
      <w:sz w:val="32"/>
    </w:rPr>
  </w:style>
  <w:style w:type="paragraph" w:customStyle="1" w:styleId="Heading2TOC">
    <w:name w:val="Heading2 TOC"/>
    <w:basedOn w:val="Normal"/>
    <w:qFormat/>
    <w:rsid w:val="00AF2A63"/>
    <w:pPr>
      <w:spacing w:before="240" w:after="60"/>
    </w:pPr>
    <w:rPr>
      <w:rFonts w:ascii="Times New Roman" w:hAnsi="Times New Roman"/>
      <w:b/>
      <w:sz w:val="28"/>
    </w:rPr>
  </w:style>
  <w:style w:type="character" w:customStyle="1" w:styleId="Underline">
    <w:name w:val="Underline"/>
    <w:basedOn w:val="DefaultParagraphFont"/>
    <w:qFormat/>
    <w:rsid w:val="00AF2A63"/>
    <w:rPr>
      <w:u w:val="single"/>
    </w:rPr>
  </w:style>
  <w:style w:type="paragraph" w:styleId="BalloonText">
    <w:name w:val="Balloon Text"/>
    <w:basedOn w:val="Normal"/>
    <w:link w:val="BalloonTextChar"/>
    <w:rsid w:val="00AF2A63"/>
    <w:rPr>
      <w:rFonts w:ascii="Tahoma" w:hAnsi="Tahoma" w:cs="Tahoma"/>
      <w:sz w:val="16"/>
      <w:szCs w:val="16"/>
    </w:rPr>
  </w:style>
  <w:style w:type="character" w:customStyle="1" w:styleId="BalloonTextChar">
    <w:name w:val="Balloon Text Char"/>
    <w:basedOn w:val="DefaultParagraphFont"/>
    <w:link w:val="BalloonText"/>
    <w:rsid w:val="00AF2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1824</Words>
  <Characters>11547</Characters>
  <Application>Microsoft Office Word</Application>
  <DocSecurity>0</DocSecurity>
  <Lines>456</Lines>
  <Paragraphs>281</Paragraphs>
  <ScaleCrop>false</ScaleCrop>
  <Company>Author-it Software Corporation Ltd.</Company>
  <LinksUpToDate>false</LinksUpToDate>
  <CharactersWithSpaces>13307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ICTOPN4116A Use advanced optical test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