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734B" w:rsidP="002F734B">
      <w:pPr>
        <w:pStyle w:val="Title"/>
      </w:pPr>
      <w:bookmarkStart w:id="0" w:name="_GoBack"/>
      <w:bookmarkEnd w:id="0"/>
      <w:r>
        <w:fldChar w:fldCharType="begin"/>
      </w:r>
      <w:r>
        <w:instrText xml:space="preserve"> TITLE   \* MERGEFORMAT </w:instrText>
      </w:r>
      <w:r>
        <w:fldChar w:fldCharType="separate"/>
      </w:r>
      <w:r>
        <w:t>ICTNPL4150A Apply knowledge of regulation and legislation for the telecommunications industry</w:t>
      </w:r>
      <w:r>
        <w:fldChar w:fldCharType="end"/>
      </w:r>
    </w:p>
    <w:p w:rsidR="002F734B" w:rsidP="002F734B">
      <w:pPr>
        <w:pStyle w:val="Version"/>
        <w:sectPr w:rsidSect="00C47BC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7BC2" w:rsidP="00C47BC2">
      <w:pPr>
        <w:pStyle w:val="SuperHeading"/>
      </w:pPr>
      <w:r w:rsidRPr="00C47BC2">
        <w:t>ICTNPL4150A Apply knowledge of regulation and legislation for the telecommunications industry</w:t>
      </w:r>
    </w:p>
    <w:p w:rsidR="00000000" w:rsidRPr="00C47BC2" w:rsidP="00C47BC2">
      <w:pPr>
        <w:pStyle w:val="Heading1"/>
      </w:pPr>
      <w:bookmarkStart w:id="1" w:name="O_271793"/>
      <w:bookmarkEnd w:id="1"/>
      <w:r w:rsidRPr="00C47BC2">
        <w:t>Modification History</w:t>
      </w:r>
    </w:p>
    <w:p w:rsidR="00000000" w:rsidRPr="00C47BC2" w:rsidP="00C47BC2">
      <w:pPr>
        <w:pStyle w:val="BodyText"/>
      </w:pPr>
      <w:r w:rsidRPr="00C47BC2">
        <w:t>Not Applicable</w:t>
      </w:r>
    </w:p>
    <w:p w:rsidR="00000000" w:rsidRPr="00C47BC2" w:rsidP="00C47BC2">
      <w:pPr>
        <w:pStyle w:val="AllowPageBreak"/>
      </w:pPr>
    </w:p>
    <w:p w:rsidR="00000000" w:rsidRPr="00C47BC2" w:rsidP="00C47BC2">
      <w:pPr>
        <w:pStyle w:val="Heading1"/>
      </w:pPr>
      <w:bookmarkStart w:id="2" w:name="O_208990"/>
      <w:bookmarkEnd w:id="2"/>
      <w:r w:rsidRPr="00C47BC2">
        <w:t>Uni</w:t>
      </w:r>
      <w:r w:rsidRPr="00C47BC2">
        <w:t>t Descriptor</w:t>
      </w:r>
    </w:p>
    <w:tbl>
      <w:tblPr>
        <w:tblW w:w="0" w:type="auto"/>
        <w:tblLayout w:type="fixed"/>
        <w:tblCellMar>
          <w:left w:w="62" w:type="dxa"/>
          <w:right w:w="62" w:type="dxa"/>
        </w:tblCellMar>
        <w:tblLook w:val="0000"/>
      </w:tblPr>
      <w:tblGrid>
        <w:gridCol w:w="2665"/>
        <w:gridCol w:w="5857"/>
      </w:tblGrid>
      <w:tr w:rsidTr="002F734B">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BC2">
            <w:pPr>
              <w:pStyle w:val="BodyText"/>
              <w:rPr>
                <w:lang w:val="en-NZ"/>
              </w:rPr>
            </w:pPr>
            <w:r w:rsidRPr="00C47BC2">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BC2" w:rsidP="00C47BC2">
            <w:pPr>
              <w:pStyle w:val="BodyText"/>
            </w:pPr>
            <w:r w:rsidRPr="00C47BC2">
              <w:t xml:space="preserve">This unit describes the performance outcomes, skills and knowledge required to assess the impact of deregulation, competition, economic conditions, regulations and legislation on enterprise-specific policies and procedures and </w:t>
            </w:r>
            <w:r w:rsidRPr="00C47BC2">
              <w:t>its subsequent incorporation into the planning process.</w:t>
            </w:r>
          </w:p>
          <w:p w:rsidR="00000000" w:rsidRPr="00C47BC2" w:rsidP="00C47BC2">
            <w:pPr>
              <w:pStyle w:val="BodyText"/>
            </w:pPr>
          </w:p>
          <w:p w:rsidR="00000000" w:rsidRPr="00C47BC2" w:rsidP="00C47BC2">
            <w:pPr>
              <w:pStyle w:val="BodyText"/>
            </w:pPr>
            <w:r w:rsidRPr="00C47BC2">
              <w:t>Internal and external influences affect all planning decisions regarding the planning and development of the access network.</w:t>
            </w:r>
          </w:p>
          <w:p w:rsidR="00000000" w:rsidRPr="00C47BC2" w:rsidP="00C47BC2">
            <w:pPr>
              <w:pStyle w:val="BodyText"/>
            </w:pPr>
          </w:p>
          <w:p w:rsidR="00000000" w:rsidRPr="00C47BC2" w:rsidP="00C47BC2">
            <w:pPr>
              <w:pStyle w:val="BodyText"/>
            </w:pPr>
            <w:r w:rsidRPr="00C47BC2">
              <w:t>No licensing, legislative, regulatory or certification requirements apply</w:t>
            </w:r>
            <w:r w:rsidRPr="00C47BC2">
              <w:t xml:space="preserve"> to this unit at the time of endorsement but users should confirm requirements with the relevant federal, state or territory authority.</w:t>
            </w:r>
          </w:p>
        </w:tc>
      </w:tr>
    </w:tbl>
    <w:p w:rsidR="002F734B" w:rsidP="00C47BC2">
      <w:pPr>
        <w:pStyle w:val="BodyText"/>
      </w:pPr>
    </w:p>
    <w:p w:rsidR="002F734B" w:rsidP="00C47BC2">
      <w:pPr>
        <w:pStyle w:val="BodyText"/>
      </w:pPr>
    </w:p>
    <w:p w:rsidR="00000000" w:rsidRPr="00C47BC2" w:rsidP="00C47BC2">
      <w:pPr>
        <w:pStyle w:val="Heading1"/>
      </w:pPr>
      <w:bookmarkStart w:id="3" w:name="O_208994"/>
      <w:bookmarkEnd w:id="3"/>
      <w:r w:rsidRPr="00C47BC2">
        <w:t>Application of the Unit</w:t>
      </w:r>
    </w:p>
    <w:tbl>
      <w:tblPr>
        <w:tblW w:w="0" w:type="auto"/>
        <w:tblLayout w:type="fixed"/>
        <w:tblCellMar>
          <w:left w:w="62" w:type="dxa"/>
          <w:right w:w="62" w:type="dxa"/>
        </w:tblCellMar>
        <w:tblLook w:val="0000"/>
      </w:tblPr>
      <w:tblGrid>
        <w:gridCol w:w="2747"/>
        <w:gridCol w:w="5775"/>
      </w:tblGrid>
      <w:tr w:rsidTr="002F734B">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BC2">
            <w:pPr>
              <w:pStyle w:val="BodyText"/>
              <w:rPr>
                <w:lang w:val="en-NZ"/>
              </w:rPr>
            </w:pPr>
            <w:r w:rsidRPr="00C47BC2">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BC2" w:rsidP="00C47BC2">
            <w:pPr>
              <w:pStyle w:val="BodyText"/>
            </w:pPr>
            <w:r w:rsidRPr="00C47BC2">
              <w:t>Planning officers from private and public organisations apply the skills and knowledge in this unit to perform the role of a network planner. They combine technical design and planning skills with organisational, economic and regulation skills to be able t</w:t>
            </w:r>
            <w:r w:rsidRPr="00C47BC2">
              <w:t>o plan the access network of service providers.</w:t>
            </w:r>
          </w:p>
          <w:p w:rsidR="00000000" w:rsidRPr="00C47BC2" w:rsidP="00C47BC2">
            <w:pPr>
              <w:pStyle w:val="BodyText"/>
            </w:pPr>
          </w:p>
          <w:p w:rsidR="00000000" w:rsidRPr="00C47BC2" w:rsidP="00C47BC2">
            <w:pPr>
              <w:pStyle w:val="BodyText"/>
            </w:pPr>
            <w:r w:rsidRPr="00C47BC2">
              <w:t>Technical officers may be responsible for small projects or parts of larger projects and for the operational and engineering of the enterprise and telecommunications network in general.</w:t>
            </w:r>
          </w:p>
        </w:tc>
      </w:tr>
    </w:tbl>
    <w:p w:rsidR="002F734B" w:rsidP="00C47BC2">
      <w:pPr>
        <w:pStyle w:val="BodyText"/>
      </w:pPr>
    </w:p>
    <w:p w:rsidR="002F734B" w:rsidP="00C47BC2">
      <w:pPr>
        <w:pStyle w:val="BodyText"/>
      </w:pPr>
    </w:p>
    <w:p w:rsidR="00000000" w:rsidRPr="00C47BC2" w:rsidP="00C47BC2">
      <w:pPr>
        <w:pStyle w:val="Heading1"/>
      </w:pPr>
      <w:bookmarkStart w:id="4" w:name="O_280053"/>
      <w:bookmarkEnd w:id="4"/>
      <w:r w:rsidRPr="00C47BC2">
        <w:t>L</w:t>
      </w:r>
      <w:r w:rsidRPr="00C47BC2">
        <w:t>icensing/Regulatory Information</w:t>
      </w:r>
    </w:p>
    <w:p w:rsidR="00000000" w:rsidRPr="00C47BC2" w:rsidP="00C47BC2">
      <w:pPr>
        <w:pStyle w:val="BodyText"/>
      </w:pPr>
      <w:r w:rsidRPr="00C47BC2">
        <w:t>Refer to Unit Descriptor</w:t>
      </w:r>
    </w:p>
    <w:p w:rsidR="00000000" w:rsidRPr="00C47BC2" w:rsidP="00C47BC2">
      <w:pPr>
        <w:pStyle w:val="AllowPageBreak"/>
      </w:pPr>
    </w:p>
    <w:p w:rsidR="00000000" w:rsidRPr="00C47BC2" w:rsidP="00C47BC2">
      <w:pPr>
        <w:pStyle w:val="Heading1"/>
      </w:pPr>
      <w:bookmarkStart w:id="5" w:name="O_208992"/>
      <w:bookmarkEnd w:id="5"/>
      <w:r w:rsidRPr="00C47BC2">
        <w:t>Pre-Requisites</w:t>
      </w:r>
    </w:p>
    <w:tbl>
      <w:tblPr>
        <w:tblW w:w="0" w:type="auto"/>
        <w:tblLayout w:type="fixed"/>
        <w:tblCellMar>
          <w:left w:w="62" w:type="dxa"/>
          <w:right w:w="62" w:type="dxa"/>
        </w:tblCellMar>
        <w:tblLook w:val="0000"/>
      </w:tblPr>
      <w:tblGrid>
        <w:gridCol w:w="2775"/>
        <w:gridCol w:w="1295"/>
        <w:gridCol w:w="4452"/>
      </w:tblGrid>
      <w:tr w:rsidTr="002F734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BC2">
            <w:pPr>
              <w:pStyle w:val="BodyText"/>
              <w:rPr>
                <w:lang w:val="en-NZ"/>
              </w:rPr>
            </w:pPr>
            <w:r w:rsidRPr="00C47BC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BC2">
            <w:pPr>
              <w:pStyle w:val="BodyText"/>
              <w:rPr>
                <w:lang w:val="en-NZ"/>
              </w:rPr>
            </w:pPr>
          </w:p>
        </w:tc>
      </w:tr>
      <w:tr w:rsidTr="002F734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BC2">
            <w:pPr>
              <w:pStyle w:val="BodyText"/>
              <w:rPr>
                <w:lang w:val="en-NZ"/>
              </w:rPr>
            </w:pPr>
          </w:p>
        </w:tc>
      </w:tr>
      <w:tr w:rsidTr="002F734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BC2" w:rsidP="00C47BC2">
            <w:pPr>
              <w:pStyle w:val="BodyText"/>
            </w:pPr>
          </w:p>
        </w:tc>
      </w:tr>
    </w:tbl>
    <w:p w:rsidR="002F734B" w:rsidP="00C47BC2">
      <w:pPr>
        <w:pStyle w:val="BodyText"/>
      </w:pPr>
    </w:p>
    <w:p w:rsidR="002F734B" w:rsidP="00C47BC2">
      <w:pPr>
        <w:pStyle w:val="BodyText"/>
      </w:pPr>
    </w:p>
    <w:p w:rsidR="00000000" w:rsidRPr="00C47BC2" w:rsidP="00C47BC2">
      <w:pPr>
        <w:pStyle w:val="Heading1"/>
      </w:pPr>
      <w:bookmarkStart w:id="6" w:name="O_208991"/>
      <w:bookmarkEnd w:id="6"/>
      <w:r w:rsidRPr="00C47BC2">
        <w:t>Employability Skills Information</w:t>
      </w:r>
    </w:p>
    <w:tbl>
      <w:tblPr>
        <w:tblW w:w="0" w:type="auto"/>
        <w:tblLayout w:type="fixed"/>
        <w:tblCellMar>
          <w:left w:w="62" w:type="dxa"/>
          <w:right w:w="62" w:type="dxa"/>
        </w:tblCellMar>
        <w:tblLook w:val="0000"/>
      </w:tblPr>
      <w:tblGrid>
        <w:gridCol w:w="2802"/>
        <w:gridCol w:w="5720"/>
      </w:tblGrid>
      <w:tr w:rsidTr="002F734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BC2">
            <w:pPr>
              <w:pStyle w:val="BodyText"/>
              <w:rPr>
                <w:lang w:val="en-NZ"/>
              </w:rPr>
            </w:pPr>
            <w:r w:rsidRPr="00C47BC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BC2" w:rsidP="00C47BC2">
            <w:pPr>
              <w:pStyle w:val="BodyText"/>
            </w:pPr>
            <w:r w:rsidRPr="00C47BC2">
              <w:t>This unit contains employability skills.</w:t>
            </w:r>
          </w:p>
        </w:tc>
      </w:tr>
    </w:tbl>
    <w:p w:rsidR="002F734B" w:rsidP="00C47BC2">
      <w:pPr>
        <w:pStyle w:val="BodyText"/>
      </w:pPr>
    </w:p>
    <w:p w:rsidR="002F734B" w:rsidP="00C47BC2">
      <w:pPr>
        <w:pStyle w:val="BodyText"/>
      </w:pPr>
    </w:p>
    <w:p w:rsidR="00000000" w:rsidRPr="00C47BC2" w:rsidP="00C47BC2">
      <w:pPr>
        <w:pStyle w:val="Heading1"/>
      </w:pPr>
      <w:bookmarkStart w:id="7" w:name="O_289839"/>
      <w:bookmarkEnd w:id="7"/>
      <w:r w:rsidRPr="00C47BC2">
        <w:t>Elements and Performance Criteria Pre-Content</w:t>
      </w:r>
    </w:p>
    <w:tbl>
      <w:tblPr>
        <w:tblW w:w="0" w:type="auto"/>
        <w:tblLayout w:type="fixed"/>
        <w:tblCellMar>
          <w:left w:w="62" w:type="dxa"/>
          <w:right w:w="62" w:type="dxa"/>
        </w:tblCellMar>
        <w:tblLook w:val="0000"/>
      </w:tblPr>
      <w:tblGrid>
        <w:gridCol w:w="2667"/>
        <w:gridCol w:w="5855"/>
      </w:tblGrid>
      <w:tr w:rsidTr="002F734B">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BC2">
            <w:pPr>
              <w:pStyle w:val="BodyText"/>
              <w:rPr>
                <w:lang w:val="en-NZ"/>
              </w:rPr>
            </w:pPr>
            <w:r w:rsidRPr="00C47BC2">
              <w:t>Elements describe the essential outcomes of a unit of competency.</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BC2" w:rsidP="00C47BC2">
            <w:pPr>
              <w:pStyle w:val="BodyText"/>
            </w:pPr>
            <w:r w:rsidRPr="00C47BC2">
              <w:t>Performance criteria describe the performance needed to demonstrate achievement of the element. Where bold italicised text is used, further info</w:t>
            </w:r>
            <w:r w:rsidRPr="00C47BC2">
              <w:t>rmation is detailed in the required skills and knowledge section and the range statement. Assessment of performance is to be consistent with the evidence guide.</w:t>
            </w:r>
          </w:p>
        </w:tc>
      </w:tr>
    </w:tbl>
    <w:p w:rsidR="00000000" w:rsidRPr="00C47BC2" w:rsidP="00C47BC2">
      <w:pPr>
        <w:pStyle w:val="BodyText"/>
      </w:pPr>
    </w:p>
    <w:p w:rsidR="00000000" w:rsidRPr="00C47BC2" w:rsidP="00C47BC2">
      <w:pPr>
        <w:pStyle w:val="AllowPageBreak"/>
      </w:pPr>
    </w:p>
    <w:p w:rsidR="00000000" w:rsidRPr="00C47BC2" w:rsidP="00C47BC2">
      <w:pPr>
        <w:pStyle w:val="Heading1"/>
      </w:pPr>
      <w:bookmarkStart w:id="8" w:name="O_236506"/>
      <w:bookmarkEnd w:id="8"/>
      <w:r w:rsidRPr="00C47BC2">
        <w:t>Elements and Performance Criteria</w:t>
      </w:r>
    </w:p>
    <w:tbl>
      <w:tblPr>
        <w:tblW w:w="0" w:type="auto"/>
        <w:tblLayout w:type="fixed"/>
        <w:tblCellMar>
          <w:left w:w="62" w:type="dxa"/>
          <w:right w:w="62" w:type="dxa"/>
        </w:tblCellMar>
        <w:tblLook w:val="0000"/>
      </w:tblPr>
      <w:tblGrid>
        <w:gridCol w:w="2667"/>
        <w:gridCol w:w="5855"/>
      </w:tblGrid>
      <w:tr w:rsidTr="002F734B">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BC2" w:rsidP="00C47BC2">
            <w:pPr>
              <w:pStyle w:val="BodyText"/>
            </w:pPr>
            <w:r w:rsidRPr="00C47BC2">
              <w:rPr>
                <w:rStyle w:val="SpecialBold"/>
              </w:rPr>
              <w:t>ELEMENT</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BC2">
            <w:pPr>
              <w:pStyle w:val="BodyText"/>
              <w:rPr>
                <w:lang w:val="en-NZ"/>
              </w:rPr>
            </w:pPr>
            <w:r w:rsidRPr="00C47BC2">
              <w:rPr>
                <w:rStyle w:val="SpecialBold"/>
              </w:rPr>
              <w:t>PERFORMANCE CRITERIA</w:t>
            </w:r>
          </w:p>
        </w:tc>
      </w:tr>
      <w:tr w:rsidTr="002F734B">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BC2">
            <w:pPr>
              <w:pStyle w:val="List"/>
              <w:rPr>
                <w:lang w:val="en-NZ"/>
              </w:rPr>
            </w:pPr>
            <w:r w:rsidRPr="00C47BC2">
              <w:t>1.</w:t>
            </w:r>
            <w:r w:rsidRPr="00C47BC2">
              <w:tab/>
            </w:r>
            <w:r w:rsidRPr="00C47BC2">
              <w:t xml:space="preserve">Evaluate economic and political influences on the telecommunications industry in Australia </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BC2" w:rsidP="00C47BC2">
            <w:pPr>
              <w:pStyle w:val="List2"/>
            </w:pPr>
            <w:r w:rsidRPr="00C47BC2">
              <w:t>1.1.</w:t>
            </w:r>
            <w:r w:rsidRPr="00C47BC2">
              <w:tab/>
              <w:t xml:space="preserve">Research the impact of deregulation and competition in the telecommunications industry on </w:t>
            </w:r>
            <w:r w:rsidRPr="00C47BC2">
              <w:rPr>
                <w:rStyle w:val="BoldandItalics"/>
              </w:rPr>
              <w:t>planning priorities</w:t>
            </w:r>
            <w:r w:rsidRPr="00C47BC2">
              <w:t xml:space="preserve"> of competing service providers in Australia due t</w:t>
            </w:r>
            <w:r w:rsidRPr="00C47BC2">
              <w:t>o the different federal government policies</w:t>
            </w:r>
          </w:p>
          <w:p w:rsidR="00000000" w:rsidRPr="00C47BC2" w:rsidP="00C47BC2">
            <w:pPr>
              <w:pStyle w:val="List2"/>
            </w:pPr>
            <w:r w:rsidRPr="00C47BC2">
              <w:t>1.2.</w:t>
            </w:r>
            <w:r w:rsidRPr="00C47BC2">
              <w:tab/>
              <w:t xml:space="preserve">Assess the influence of local and international economic conditions on the growth of the industry that would impact on the </w:t>
            </w:r>
            <w:r w:rsidRPr="00C47BC2">
              <w:rPr>
                <w:rStyle w:val="BoldandItalics"/>
              </w:rPr>
              <w:t>planning</w:t>
            </w:r>
            <w:r w:rsidRPr="00C47BC2">
              <w:t xml:space="preserve"> justification for a new network</w:t>
            </w:r>
          </w:p>
          <w:p w:rsidR="00000000" w:rsidP="00C47BC2">
            <w:pPr>
              <w:pStyle w:val="List2"/>
              <w:rPr>
                <w:lang w:val="en-NZ"/>
              </w:rPr>
            </w:pPr>
            <w:r w:rsidRPr="00C47BC2">
              <w:t>1.3.</w:t>
            </w:r>
            <w:r w:rsidRPr="00C47BC2">
              <w:tab/>
              <w:t>Evaluate and produce a report on the e</w:t>
            </w:r>
            <w:r w:rsidRPr="00C47BC2">
              <w:t xml:space="preserve">conomic and political influences upon public and commercial enterprises providing services in a competitive telecommunications market of fast changing technologies </w:t>
            </w:r>
          </w:p>
        </w:tc>
      </w:tr>
      <w:tr w:rsidTr="002F734B">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BC2">
            <w:pPr>
              <w:pStyle w:val="List"/>
              <w:rPr>
                <w:lang w:val="en-NZ"/>
              </w:rPr>
            </w:pPr>
            <w:r w:rsidRPr="00C47BC2">
              <w:t>2.</w:t>
            </w:r>
            <w:r w:rsidRPr="00C47BC2">
              <w:tab/>
              <w:t xml:space="preserve">Evaluate impact of key regulation and legislation on the telecommunications industry </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BC2" w:rsidP="00C47BC2">
            <w:pPr>
              <w:pStyle w:val="List2"/>
            </w:pPr>
            <w:r w:rsidRPr="00C47BC2">
              <w:t>2</w:t>
            </w:r>
            <w:r w:rsidRPr="00C47BC2">
              <w:t>.1.</w:t>
            </w:r>
            <w:r w:rsidRPr="00C47BC2">
              <w:tab/>
              <w:t xml:space="preserve">Access the </w:t>
            </w:r>
            <w:r w:rsidRPr="00C47BC2">
              <w:rPr>
                <w:rStyle w:val="BoldandItalics"/>
              </w:rPr>
              <w:t>legislations</w:t>
            </w:r>
            <w:r w:rsidRPr="00C47BC2">
              <w:t xml:space="preserve"> that govern carriers in Australia to determine the rights of carriers and service providers in installing facilities under Commonwealth legislation</w:t>
            </w:r>
          </w:p>
          <w:p w:rsidR="00000000" w:rsidRPr="00C47BC2" w:rsidP="00C47BC2">
            <w:pPr>
              <w:pStyle w:val="List2"/>
            </w:pPr>
            <w:r w:rsidRPr="00C47BC2">
              <w:t>2.2.</w:t>
            </w:r>
            <w:r w:rsidRPr="00C47BC2">
              <w:tab/>
              <w:t>Use the Telecommunications Industry Regulatory Accounting Framework (RAF) t</w:t>
            </w:r>
            <w:r w:rsidRPr="00C47BC2">
              <w:t>o determine the method used by the Australian Competition and Consumer Commission (ACCC) in enforcing competitive provisions between service providers</w:t>
            </w:r>
          </w:p>
          <w:p w:rsidR="00000000" w:rsidRPr="00C47BC2" w:rsidP="00C47BC2">
            <w:pPr>
              <w:pStyle w:val="List2"/>
            </w:pPr>
            <w:r w:rsidRPr="00C47BC2">
              <w:t>2.3.</w:t>
            </w:r>
            <w:r w:rsidRPr="00C47BC2">
              <w:tab/>
              <w:t>Evaluate the impact on planning of services by the obligation placed by Universal Service Obligation</w:t>
            </w:r>
            <w:r w:rsidRPr="00C47BC2">
              <w:t xml:space="preserve"> (USO) on service providers to ensure that services are reasonably accessible to all people in Australia on an equitable basis </w:t>
            </w:r>
          </w:p>
          <w:p w:rsidR="00000000" w:rsidP="00C47BC2">
            <w:pPr>
              <w:pStyle w:val="List2"/>
              <w:rPr>
                <w:lang w:val="en-NZ"/>
              </w:rPr>
            </w:pPr>
            <w:r w:rsidRPr="00C47BC2">
              <w:t>2.4.</w:t>
            </w:r>
            <w:r w:rsidRPr="00C47BC2">
              <w:tab/>
              <w:t>Produce a summary report evaluating the impact by the legislations on the planning process of Access Networks and plan stra</w:t>
            </w:r>
            <w:r w:rsidRPr="00C47BC2">
              <w:t>tegies to facilitate network planning</w:t>
            </w:r>
          </w:p>
        </w:tc>
      </w:tr>
      <w:tr w:rsidTr="002F734B">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BC2">
            <w:pPr>
              <w:pStyle w:val="List"/>
              <w:rPr>
                <w:lang w:val="en-NZ"/>
              </w:rPr>
            </w:pPr>
            <w:r w:rsidRPr="00C47BC2">
              <w:t>3.</w:t>
            </w:r>
            <w:r w:rsidRPr="00C47BC2">
              <w:tab/>
              <w:t>Apply internal financial compliance</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BC2" w:rsidP="00C47BC2">
            <w:pPr>
              <w:pStyle w:val="List2"/>
            </w:pPr>
            <w:r w:rsidRPr="00C47BC2">
              <w:t>3.1.</w:t>
            </w:r>
            <w:r w:rsidRPr="00C47BC2">
              <w:tab/>
              <w:t xml:space="preserve">Use an enterprise-specific investment management system (IMS) to create on the spot reports for performance measurement of an existing planning project against the </w:t>
            </w:r>
            <w:r w:rsidRPr="00C47BC2">
              <w:rPr>
                <w:rStyle w:val="BoldandItalics"/>
              </w:rPr>
              <w:t>business plan</w:t>
            </w:r>
          </w:p>
          <w:p w:rsidR="00000000" w:rsidRPr="00C47BC2" w:rsidP="00C47BC2">
            <w:pPr>
              <w:pStyle w:val="List2"/>
            </w:pPr>
            <w:r w:rsidRPr="00C47BC2">
              <w:t>3.2.</w:t>
            </w:r>
            <w:r w:rsidRPr="00C47BC2">
              <w:tab/>
              <w:t>Produce a report of planning work activities incorporating enterprise-specific policies and procedures underpinned by regulatory and compliance obligations</w:t>
            </w:r>
          </w:p>
        </w:tc>
      </w:tr>
    </w:tbl>
    <w:p w:rsidR="002F734B" w:rsidP="00C47BC2">
      <w:pPr>
        <w:pStyle w:val="BodyText"/>
      </w:pPr>
    </w:p>
    <w:p w:rsidR="002F734B" w:rsidP="00C47BC2">
      <w:pPr>
        <w:pStyle w:val="BodyText"/>
      </w:pPr>
    </w:p>
    <w:p w:rsidR="00000000" w:rsidRPr="00C47BC2" w:rsidP="00C47BC2">
      <w:pPr>
        <w:pStyle w:val="Heading1"/>
      </w:pPr>
      <w:bookmarkStart w:id="9" w:name="O_260456"/>
      <w:bookmarkEnd w:id="9"/>
      <w:r w:rsidRPr="00C47BC2">
        <w:t>Required Skills and Knowledge</w:t>
      </w:r>
    </w:p>
    <w:tbl>
      <w:tblPr>
        <w:tblW w:w="0" w:type="auto"/>
        <w:tblLayout w:type="fixed"/>
        <w:tblCellMar>
          <w:left w:w="62" w:type="dxa"/>
          <w:right w:w="62" w:type="dxa"/>
        </w:tblCellMar>
        <w:tblLook w:val="0000"/>
      </w:tblPr>
      <w:tblGrid>
        <w:gridCol w:w="8522"/>
      </w:tblGrid>
      <w:tr w:rsidTr="002F734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47BC2">
            <w:pPr>
              <w:pStyle w:val="BodyText"/>
              <w:rPr>
                <w:lang w:val="en-NZ"/>
              </w:rPr>
            </w:pPr>
            <w:r w:rsidRPr="00C47BC2">
              <w:rPr>
                <w:rStyle w:val="SpecialBold"/>
              </w:rPr>
              <w:t>REQUIRED SKILLS AND KNOWLEDGE</w:t>
            </w:r>
          </w:p>
        </w:tc>
      </w:tr>
      <w:tr w:rsidTr="002F734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47BC2">
            <w:pPr>
              <w:pStyle w:val="BodyText"/>
              <w:rPr>
                <w:lang w:val="en-NZ"/>
              </w:rPr>
            </w:pPr>
            <w:r w:rsidRPr="00C47BC2">
              <w:t>This section describes the skills and knowledge required for this unit.</w:t>
            </w:r>
          </w:p>
        </w:tc>
      </w:tr>
      <w:tr w:rsidTr="002F734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BC2">
            <w:pPr>
              <w:pStyle w:val="BodyText"/>
              <w:rPr>
                <w:lang w:val="en-NZ"/>
              </w:rPr>
            </w:pPr>
            <w:r w:rsidRPr="00C47BC2">
              <w:rPr>
                <w:rStyle w:val="SpecialBold"/>
              </w:rPr>
              <w:t>Required skills</w:t>
            </w:r>
          </w:p>
        </w:tc>
      </w:tr>
      <w:tr w:rsidTr="002F734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BC2" w:rsidP="00C47BC2">
            <w:pPr>
              <w:pStyle w:val="ListBullet"/>
            </w:pPr>
            <w:r w:rsidRPr="00C47BC2">
              <w:t xml:space="preserve">analytical skills to assess impact of economic and political influences on enterprise policies and procedures </w:t>
            </w:r>
          </w:p>
          <w:p w:rsidR="00000000" w:rsidRPr="00C47BC2" w:rsidP="00C47BC2">
            <w:pPr>
              <w:pStyle w:val="ListBullet"/>
            </w:pPr>
            <w:r w:rsidRPr="00C47BC2">
              <w:t>literacy skills to write evaluation reports</w:t>
            </w:r>
          </w:p>
          <w:p w:rsidR="00000000" w:rsidRPr="00C47BC2" w:rsidP="00C47BC2">
            <w:pPr>
              <w:pStyle w:val="ListBullet"/>
            </w:pPr>
            <w:r w:rsidRPr="00C47BC2">
              <w:t>planning skills to review current and new technology, facilities and features when developing options</w:t>
            </w:r>
          </w:p>
          <w:p w:rsidR="00000000" w:rsidRPr="00C47BC2" w:rsidP="00C47BC2">
            <w:pPr>
              <w:pStyle w:val="ListBullet"/>
            </w:pPr>
            <w:r w:rsidRPr="00C47BC2">
              <w:t>problem solving skills to assess current  Access Network conditions</w:t>
            </w:r>
          </w:p>
          <w:p w:rsidR="00000000" w:rsidRPr="00C47BC2" w:rsidP="00C47BC2">
            <w:pPr>
              <w:pStyle w:val="ListBullet"/>
            </w:pPr>
            <w:r w:rsidRPr="00C47BC2">
              <w:t>research skills to:</w:t>
            </w:r>
          </w:p>
          <w:p w:rsidR="00000000" w:rsidRPr="00C47BC2" w:rsidP="00C47BC2">
            <w:pPr>
              <w:pStyle w:val="ListBullet2"/>
            </w:pPr>
            <w:r w:rsidRPr="00C47BC2">
              <w:t>analyse impact on pla</w:t>
            </w:r>
            <w:r w:rsidRPr="00C47BC2">
              <w:t>nning processes</w:t>
            </w:r>
          </w:p>
          <w:p w:rsidR="00000000" w:rsidRPr="00C47BC2" w:rsidP="00C47BC2">
            <w:pPr>
              <w:pStyle w:val="ListBullet2"/>
            </w:pPr>
            <w:r w:rsidRPr="00C47BC2">
              <w:t>obtain and study information relating to the telecommunications industry</w:t>
            </w:r>
          </w:p>
          <w:p w:rsidR="00000000" w:rsidP="00C47BC2">
            <w:pPr>
              <w:pStyle w:val="ListBullet2"/>
              <w:rPr>
                <w:lang w:val="en-NZ"/>
              </w:rPr>
            </w:pPr>
            <w:r w:rsidRPr="00C47BC2">
              <w:t>study relevant legislation and associated operational codes</w:t>
            </w:r>
          </w:p>
        </w:tc>
      </w:tr>
      <w:tr w:rsidTr="002F734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BC2">
            <w:pPr>
              <w:pStyle w:val="BodyText"/>
              <w:rPr>
                <w:lang w:val="en-NZ"/>
              </w:rPr>
            </w:pPr>
            <w:r w:rsidRPr="00C47BC2">
              <w:rPr>
                <w:rStyle w:val="SpecialBold"/>
              </w:rPr>
              <w:t>Required knowledge</w:t>
            </w:r>
          </w:p>
        </w:tc>
      </w:tr>
      <w:tr w:rsidTr="002F734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BC2" w:rsidP="00C47BC2">
            <w:pPr>
              <w:pStyle w:val="ListBullet"/>
            </w:pPr>
            <w:r w:rsidRPr="00C47BC2">
              <w:t>deregulation of industry</w:t>
            </w:r>
          </w:p>
          <w:p w:rsidR="00000000" w:rsidRPr="00C47BC2" w:rsidP="00C47BC2">
            <w:pPr>
              <w:pStyle w:val="ListBullet"/>
            </w:pPr>
            <w:r w:rsidRPr="00C47BC2">
              <w:t>investment management system</w:t>
            </w:r>
          </w:p>
          <w:p w:rsidR="00000000" w:rsidRPr="00C47BC2" w:rsidP="00C47BC2">
            <w:pPr>
              <w:pStyle w:val="ListBullet"/>
            </w:pPr>
            <w:r w:rsidRPr="00C47BC2">
              <w:t>legislations</w:t>
            </w:r>
          </w:p>
          <w:p w:rsidR="00000000" w:rsidRPr="00C47BC2" w:rsidP="00C47BC2">
            <w:pPr>
              <w:pStyle w:val="ListBullet"/>
            </w:pPr>
            <w:r w:rsidRPr="00C47BC2">
              <w:t>market forces</w:t>
            </w:r>
          </w:p>
          <w:p w:rsidR="00000000" w:rsidRPr="00C47BC2" w:rsidP="00C47BC2">
            <w:pPr>
              <w:pStyle w:val="ListBullet"/>
            </w:pPr>
            <w:r w:rsidRPr="00C47BC2">
              <w:t>planning procedures</w:t>
            </w:r>
          </w:p>
          <w:p w:rsidR="00000000" w:rsidRPr="00C47BC2" w:rsidP="00C47BC2">
            <w:pPr>
              <w:pStyle w:val="ListBullet"/>
            </w:pPr>
            <w:r w:rsidRPr="00C47BC2">
              <w:t>telecommunications framework</w:t>
            </w:r>
          </w:p>
          <w:p w:rsidR="00000000" w:rsidRPr="00C47BC2" w:rsidP="00C47BC2">
            <w:pPr>
              <w:pStyle w:val="ListBullet"/>
            </w:pPr>
            <w:r w:rsidRPr="00C47BC2">
              <w:t>telecommunications industry</w:t>
            </w:r>
          </w:p>
          <w:p w:rsidR="00000000" w:rsidRPr="00C47BC2" w:rsidP="00C47BC2">
            <w:pPr>
              <w:pStyle w:val="ListBullet"/>
            </w:pPr>
            <w:r w:rsidRPr="00C47BC2">
              <w:t>telecommunications networks</w:t>
            </w:r>
          </w:p>
        </w:tc>
      </w:tr>
    </w:tbl>
    <w:p w:rsidR="002F734B" w:rsidP="00C47BC2">
      <w:pPr>
        <w:pStyle w:val="BodyText"/>
      </w:pPr>
    </w:p>
    <w:p w:rsidR="002F734B" w:rsidP="00C47BC2">
      <w:pPr>
        <w:pStyle w:val="BodyText"/>
      </w:pPr>
    </w:p>
    <w:p w:rsidR="00000000" w:rsidRPr="00C47BC2" w:rsidP="00C47BC2">
      <w:pPr>
        <w:pStyle w:val="AllowPageBreak"/>
      </w:pPr>
    </w:p>
    <w:p w:rsidR="00000000" w:rsidRPr="00C47BC2" w:rsidP="00C47BC2">
      <w:pPr>
        <w:pStyle w:val="Heading1"/>
      </w:pPr>
      <w:bookmarkStart w:id="10" w:name="O_244490"/>
      <w:bookmarkEnd w:id="10"/>
      <w:r w:rsidRPr="00C47BC2">
        <w:t>Evidence Guide</w:t>
      </w:r>
    </w:p>
    <w:tbl>
      <w:tblPr>
        <w:tblW w:w="9570" w:type="dxa"/>
        <w:tblLayout w:type="fixed"/>
        <w:tblCellMar>
          <w:left w:w="62" w:type="dxa"/>
          <w:right w:w="62" w:type="dxa"/>
        </w:tblCellMar>
        <w:tblLook w:val="0000"/>
      </w:tblPr>
      <w:tblGrid>
        <w:gridCol w:w="3908"/>
        <w:gridCol w:w="5662"/>
      </w:tblGrid>
      <w:tr w:rsidTr="002F734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BC2">
            <w:pPr>
              <w:pStyle w:val="BodyText"/>
              <w:rPr>
                <w:lang w:val="en-NZ"/>
              </w:rPr>
            </w:pPr>
            <w:r w:rsidRPr="00C47BC2">
              <w:rPr>
                <w:rStyle w:val="SpecialBold"/>
              </w:rPr>
              <w:t>EVIDENCE GUIDE</w:t>
            </w:r>
          </w:p>
        </w:tc>
      </w:tr>
      <w:tr w:rsidTr="002F734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BC2">
            <w:pPr>
              <w:pStyle w:val="BodyText"/>
              <w:rPr>
                <w:lang w:val="en-NZ"/>
              </w:rPr>
            </w:pPr>
            <w:r w:rsidRPr="00C47BC2">
              <w:t>The evidence guide provides advice on assessment and must be read in conjunction with the performance criteria, required skills and knowledge, range statement and the Assessment Guidelines for the Training Package.</w:t>
            </w:r>
          </w:p>
        </w:tc>
      </w:tr>
      <w:tr w:rsidTr="002F734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BC2">
            <w:pPr>
              <w:pStyle w:val="BodyText"/>
              <w:rPr>
                <w:lang w:val="en-NZ"/>
              </w:rPr>
            </w:pPr>
            <w:r w:rsidRPr="00C47BC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BC2" w:rsidP="00C47BC2">
            <w:pPr>
              <w:pStyle w:val="BodyText"/>
            </w:pPr>
            <w:r w:rsidRPr="00C47BC2">
              <w:t>Evidence of the ability to:</w:t>
            </w:r>
          </w:p>
          <w:p w:rsidR="00000000" w:rsidRPr="00C47BC2" w:rsidP="00C47BC2">
            <w:pPr>
              <w:pStyle w:val="ListBullet"/>
            </w:pPr>
            <w:r w:rsidRPr="00C47BC2">
              <w:t>produce an evaluation report on the economic and political influences on the telecommunications industry in Australia</w:t>
            </w:r>
          </w:p>
          <w:p w:rsidR="00000000" w:rsidRPr="00C47BC2" w:rsidP="00C47BC2">
            <w:pPr>
              <w:pStyle w:val="ListBullet"/>
            </w:pPr>
            <w:r w:rsidRPr="00C47BC2">
              <w:t>produce an evalua</w:t>
            </w:r>
            <w:r w:rsidRPr="00C47BC2">
              <w:t xml:space="preserve">tion report on the impact of key regulation and legislation on the telecommunications industry </w:t>
            </w:r>
          </w:p>
          <w:p w:rsidR="00000000" w:rsidP="00C47BC2">
            <w:pPr>
              <w:pStyle w:val="ListBullet"/>
              <w:rPr>
                <w:lang w:val="en-NZ"/>
              </w:rPr>
            </w:pPr>
            <w:r w:rsidRPr="00C47BC2">
              <w:t>produce a summary report evaluating the impact by the legislations on the planning process of Access Networks.</w:t>
            </w:r>
          </w:p>
        </w:tc>
      </w:tr>
      <w:tr w:rsidTr="002F734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BC2">
            <w:pPr>
              <w:pStyle w:val="BodyText"/>
              <w:rPr>
                <w:lang w:val="en-NZ"/>
              </w:rPr>
            </w:pPr>
            <w:r w:rsidRPr="00C47BC2">
              <w:rPr>
                <w:rStyle w:val="SpecialBold"/>
              </w:rPr>
              <w:t>Context of</w:t>
            </w:r>
            <w:r w:rsidRPr="00C47BC2">
              <w:t xml:space="preserve">, </w:t>
            </w:r>
            <w:r w:rsidRPr="00C47BC2">
              <w:rPr>
                <w:rStyle w:val="SpecialBold"/>
              </w:rPr>
              <w:t>and specific resources for assessmen</w:t>
            </w:r>
            <w:r w:rsidRPr="00C47BC2">
              <w:rPr>
                <w:rStyle w:val="SpecialBold"/>
              </w:rPr>
              <w:t>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BC2" w:rsidP="00C47BC2">
            <w:pPr>
              <w:pStyle w:val="BodyText"/>
            </w:pPr>
            <w:r w:rsidRPr="00C47BC2">
              <w:t>Assessment must ensure:</w:t>
            </w:r>
          </w:p>
          <w:p w:rsidR="00000000" w:rsidRPr="00C47BC2" w:rsidP="00C47BC2">
            <w:pPr>
              <w:pStyle w:val="ListBullet"/>
            </w:pPr>
            <w:r w:rsidRPr="00C47BC2">
              <w:t>relevant legislations, planning processes and Telecommunications Industry Regulatory Accounting Framework (RAF)</w:t>
            </w:r>
          </w:p>
          <w:p w:rsidR="00000000" w:rsidP="00C47BC2">
            <w:pPr>
              <w:pStyle w:val="ListBullet"/>
              <w:rPr>
                <w:lang w:val="en-NZ"/>
              </w:rPr>
            </w:pPr>
            <w:r w:rsidRPr="00C47BC2">
              <w:t>planning tools, enterprise-specific investment management system (IMS), relevant databases, licensing requirements and</w:t>
            </w:r>
            <w:r w:rsidRPr="00C47BC2">
              <w:t xml:space="preserve"> other related procedures.</w:t>
            </w:r>
          </w:p>
        </w:tc>
      </w:tr>
      <w:tr w:rsidTr="002F734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BC2">
            <w:pPr>
              <w:pStyle w:val="BodyText"/>
              <w:rPr>
                <w:lang w:val="en-NZ"/>
              </w:rPr>
            </w:pPr>
            <w:r w:rsidRPr="00C47BC2">
              <w:rPr>
                <w:rStyle w:val="SpecialBold"/>
              </w:rPr>
              <w:t>Methods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BC2" w:rsidP="00C47BC2">
            <w:pPr>
              <w:pStyle w:val="BodyText"/>
            </w:pPr>
            <w:r w:rsidRPr="00C47BC2">
              <w:t>A range of assessment methods should be used to assess practical skills and knowledge. The following examples are appropriate for this unit:</w:t>
            </w:r>
          </w:p>
          <w:p w:rsidR="00000000" w:rsidRPr="00C47BC2" w:rsidP="00C47BC2">
            <w:pPr>
              <w:pStyle w:val="ListBullet"/>
            </w:pPr>
            <w:r w:rsidRPr="00C47BC2">
              <w:t>review of evaluation and summary reports completed by the candida</w:t>
            </w:r>
            <w:r w:rsidRPr="00C47BC2">
              <w:t>te</w:t>
            </w:r>
          </w:p>
          <w:p w:rsidR="00000000" w:rsidP="00C47BC2">
            <w:pPr>
              <w:pStyle w:val="ListBullet"/>
              <w:rPr>
                <w:lang w:val="en-NZ"/>
              </w:rPr>
            </w:pPr>
            <w:r w:rsidRPr="00C47BC2">
              <w:t>oral or written questioning to assess required knowledge.</w:t>
            </w:r>
          </w:p>
        </w:tc>
      </w:tr>
      <w:tr w:rsidTr="002F734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BC2">
            <w:pPr>
              <w:pStyle w:val="BodyText"/>
              <w:rPr>
                <w:lang w:val="en-NZ"/>
              </w:rPr>
            </w:pPr>
            <w:r w:rsidRPr="00C47BC2">
              <w:rPr>
                <w:rStyle w:val="SpecialBold"/>
              </w:rPr>
              <w:t>Guidance information for assessment</w:t>
            </w:r>
            <w:r w:rsidRPr="00C47BC2">
              <w:t xml:space="preserve"> </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BC2" w:rsidP="00C47BC2">
            <w:pPr>
              <w:pStyle w:val="BodyText"/>
            </w:pPr>
            <w:r w:rsidRPr="00C47BC2">
              <w:t>Holistic assessment with other units relevant to the industry sector, workplaces and job role is recommended, for example:</w:t>
            </w:r>
          </w:p>
          <w:p w:rsidR="00000000" w:rsidRPr="00C47BC2" w:rsidP="00C47BC2">
            <w:pPr>
              <w:pStyle w:val="ListBullet"/>
            </w:pPr>
            <w:r w:rsidRPr="00C47BC2">
              <w:t>ICTNPL4108A Plan the deployment of access network architectures</w:t>
            </w:r>
          </w:p>
          <w:p w:rsidR="00000000" w:rsidRPr="00C47BC2" w:rsidP="00C47BC2">
            <w:pPr>
              <w:pStyle w:val="ListBullet"/>
            </w:pPr>
            <w:r w:rsidRPr="00C47BC2">
              <w:t>ICTNPL4151A Plan the telecommunications access network for an estate.</w:t>
            </w:r>
          </w:p>
          <w:p w:rsidR="00000000" w:rsidRPr="00C47BC2" w:rsidP="00C47BC2">
            <w:pPr>
              <w:pStyle w:val="BodyText"/>
            </w:pPr>
          </w:p>
          <w:p w:rsidR="00000000" w:rsidRPr="00C47BC2" w:rsidP="00C47BC2">
            <w:pPr>
              <w:pStyle w:val="BodyText"/>
            </w:pPr>
            <w:r w:rsidRPr="00C47BC2">
              <w:t>Aboriginal people and other people from a non-English speaking background may have second language issues.</w:t>
            </w:r>
          </w:p>
          <w:p w:rsidR="00000000" w:rsidRPr="00C47BC2" w:rsidP="00C47BC2">
            <w:pPr>
              <w:pStyle w:val="BodyText"/>
            </w:pPr>
          </w:p>
          <w:p w:rsidR="00000000" w:rsidRPr="00C47BC2" w:rsidP="00C47BC2">
            <w:pPr>
              <w:pStyle w:val="BodyText"/>
            </w:pPr>
            <w:r w:rsidRPr="00C47BC2">
              <w:t>Access must b</w:t>
            </w:r>
            <w:r w:rsidRPr="00C47BC2">
              <w:t xml:space="preserve">e provided to appropriate learning and assessment support when required. </w:t>
            </w:r>
          </w:p>
          <w:p w:rsidR="00000000" w:rsidRPr="00C47BC2" w:rsidP="00C47BC2">
            <w:pPr>
              <w:pStyle w:val="BodyText"/>
            </w:pPr>
          </w:p>
          <w:p w:rsidR="00000000" w:rsidRPr="00C47BC2" w:rsidP="00C47BC2">
            <w:pPr>
              <w:pStyle w:val="BodyText"/>
            </w:pPr>
            <w:r w:rsidRPr="00C47BC2">
              <w:t>Assessment processes and techniques must be culturally appropriate, and appropriate to the oral communication skill level, and language and literacy capacity of the candidate and th</w:t>
            </w:r>
            <w:r w:rsidRPr="00C47BC2">
              <w:t>e work being performed.</w:t>
            </w:r>
          </w:p>
          <w:p w:rsidR="00000000" w:rsidRPr="00C47BC2" w:rsidP="00C47BC2">
            <w:pPr>
              <w:pStyle w:val="BodyText"/>
            </w:pPr>
          </w:p>
          <w:p w:rsidR="00000000" w:rsidRPr="00C47BC2" w:rsidP="00C47BC2">
            <w:pPr>
              <w:pStyle w:val="BodyText"/>
            </w:pPr>
            <w:r w:rsidRPr="00C47BC2">
              <w:t>In all cases where practical assessment is used it will be combined with targeted questioning to assess required knowledge. Questioning techniques should not require language, literacy and numeracy skills beyond those required in t</w:t>
            </w:r>
            <w:r w:rsidRPr="00C47BC2">
              <w:t xml:space="preserve">his unit of competency. </w:t>
            </w:r>
          </w:p>
          <w:p w:rsidR="00000000" w:rsidRPr="00C47BC2" w:rsidP="00C47BC2">
            <w:pPr>
              <w:pStyle w:val="BodyText"/>
            </w:pPr>
          </w:p>
          <w:p w:rsidR="00000000" w:rsidRPr="00C47BC2" w:rsidP="00C47BC2">
            <w:pPr>
              <w:pStyle w:val="BodyText"/>
            </w:pPr>
            <w:r w:rsidRPr="00C47BC2">
              <w:t>Where applicable, physical resources should include equipment modified for people with special needs.</w:t>
            </w:r>
          </w:p>
        </w:tc>
      </w:tr>
    </w:tbl>
    <w:p w:rsidR="002F734B" w:rsidP="00C47BC2">
      <w:pPr>
        <w:pStyle w:val="BodyText"/>
      </w:pPr>
    </w:p>
    <w:p w:rsidR="002F734B" w:rsidP="00C47BC2">
      <w:pPr>
        <w:pStyle w:val="BodyText"/>
      </w:pPr>
    </w:p>
    <w:p w:rsidR="00000000" w:rsidRPr="00C47BC2" w:rsidP="00C47BC2">
      <w:pPr>
        <w:pStyle w:val="Heading1"/>
      </w:pPr>
      <w:bookmarkStart w:id="11" w:name="O_252473"/>
      <w:bookmarkEnd w:id="11"/>
      <w:r w:rsidRPr="00C47BC2">
        <w:t>Range Statement</w:t>
      </w:r>
    </w:p>
    <w:tbl>
      <w:tblPr>
        <w:tblW w:w="0" w:type="auto"/>
        <w:tblLayout w:type="fixed"/>
        <w:tblCellMar>
          <w:left w:w="62" w:type="dxa"/>
          <w:right w:w="62" w:type="dxa"/>
        </w:tblCellMar>
        <w:tblLook w:val="0000"/>
      </w:tblPr>
      <w:tblGrid>
        <w:gridCol w:w="3447"/>
        <w:gridCol w:w="5075"/>
      </w:tblGrid>
      <w:tr w:rsidTr="002F734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BC2">
            <w:pPr>
              <w:pStyle w:val="BodyText"/>
              <w:rPr>
                <w:lang w:val="en-NZ"/>
              </w:rPr>
            </w:pPr>
            <w:r w:rsidRPr="00C47BC2">
              <w:rPr>
                <w:rStyle w:val="SpecialBold"/>
              </w:rPr>
              <w:t>RANGE STATEMENT</w:t>
            </w:r>
          </w:p>
        </w:tc>
      </w:tr>
      <w:tr w:rsidTr="002F734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BC2">
            <w:pPr>
              <w:pStyle w:val="BodyText"/>
              <w:rPr>
                <w:lang w:val="en-NZ"/>
              </w:rPr>
            </w:pPr>
            <w:r w:rsidRPr="00C47BC2">
              <w:t>The range statement relates to the unit of competency as a whole. It allows for different work environments and situations that may affect performance. Bold italicised wording, if used in the performance criteria, is detailed below. Essential operating con</w:t>
            </w:r>
            <w:r w:rsidRPr="00C47BC2">
              <w:t>ditions that may be present with training and assessment (depending on the work situation, needs of the candidate, accessibility of the item, and local industry and regional contexts) may also be included.</w:t>
            </w:r>
          </w:p>
        </w:tc>
      </w:tr>
      <w:tr w:rsidTr="002F734B">
        <w:tblPrEx>
          <w:tblW w:w="0" w:type="auto"/>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BC2">
            <w:pPr>
              <w:pStyle w:val="BodyText"/>
              <w:rPr>
                <w:lang w:val="en-NZ"/>
              </w:rPr>
            </w:pPr>
            <w:r w:rsidRPr="00C47BC2">
              <w:rPr>
                <w:rStyle w:val="BoldandItalics"/>
              </w:rPr>
              <w:t>Planning priorities</w:t>
            </w:r>
            <w:r w:rsidRPr="00C47BC2">
              <w:t xml:space="preserve"> may be driven by:</w:t>
            </w:r>
          </w:p>
        </w:tc>
        <w:tc>
          <w:tcPr>
            <w:tcW w:w="5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BC2" w:rsidP="00C47BC2">
            <w:pPr>
              <w:pStyle w:val="ListBullet"/>
            </w:pPr>
            <w:r w:rsidRPr="00C47BC2">
              <w:t>customer d</w:t>
            </w:r>
            <w:r w:rsidRPr="00C47BC2">
              <w:t>emand</w:t>
            </w:r>
          </w:p>
          <w:p w:rsidR="00000000" w:rsidRPr="00C47BC2" w:rsidP="00C47BC2">
            <w:pPr>
              <w:pStyle w:val="ListBullet"/>
            </w:pPr>
            <w:r w:rsidRPr="00C47BC2">
              <w:t>legislative requirements</w:t>
            </w:r>
          </w:p>
          <w:p w:rsidR="00000000" w:rsidRPr="00C47BC2" w:rsidP="00C47BC2">
            <w:pPr>
              <w:pStyle w:val="ListBullet"/>
            </w:pPr>
            <w:r w:rsidRPr="00C47BC2">
              <w:t>marketing initiatives</w:t>
            </w:r>
          </w:p>
          <w:p w:rsidR="00000000" w:rsidRPr="00C47BC2" w:rsidP="00C47BC2">
            <w:pPr>
              <w:pStyle w:val="ListBullet"/>
            </w:pPr>
            <w:r w:rsidRPr="00C47BC2">
              <w:t>network conditions</w:t>
            </w:r>
          </w:p>
          <w:p w:rsidR="00000000" w:rsidP="00C47BC2">
            <w:pPr>
              <w:pStyle w:val="ListBullet"/>
              <w:rPr>
                <w:lang w:val="en-NZ"/>
              </w:rPr>
            </w:pPr>
            <w:r w:rsidRPr="00C47BC2">
              <w:t>revenue projections.</w:t>
            </w:r>
          </w:p>
        </w:tc>
      </w:tr>
      <w:tr w:rsidTr="002F734B">
        <w:tblPrEx>
          <w:tblW w:w="0" w:type="auto"/>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BC2">
            <w:pPr>
              <w:pStyle w:val="BodyText"/>
              <w:rPr>
                <w:lang w:val="en-NZ"/>
              </w:rPr>
            </w:pPr>
            <w:r w:rsidRPr="00C47BC2">
              <w:rPr>
                <w:rStyle w:val="BoldandItalics"/>
              </w:rPr>
              <w:t>Planning</w:t>
            </w:r>
            <w:r w:rsidRPr="00C47BC2">
              <w:t xml:space="preserve"> may refer to:</w:t>
            </w:r>
          </w:p>
        </w:tc>
        <w:tc>
          <w:tcPr>
            <w:tcW w:w="5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BC2" w:rsidP="00C47BC2">
            <w:pPr>
              <w:pStyle w:val="ListBullet"/>
            </w:pPr>
            <w:r w:rsidRPr="00C47BC2">
              <w:t>network change</w:t>
            </w:r>
          </w:p>
          <w:p w:rsidR="00000000" w:rsidRPr="00C47BC2" w:rsidP="00C47BC2">
            <w:pPr>
              <w:pStyle w:val="ListBullet"/>
            </w:pPr>
            <w:r w:rsidRPr="00C47BC2">
              <w:t>network growth</w:t>
            </w:r>
          </w:p>
          <w:p w:rsidR="00000000" w:rsidRPr="00C47BC2" w:rsidP="00C47BC2">
            <w:pPr>
              <w:pStyle w:val="ListBullet"/>
            </w:pPr>
            <w:r w:rsidRPr="00C47BC2">
              <w:t>network reduction</w:t>
            </w:r>
          </w:p>
          <w:p w:rsidR="00000000" w:rsidP="00C47BC2">
            <w:pPr>
              <w:pStyle w:val="ListBullet"/>
              <w:rPr>
                <w:lang w:val="en-NZ"/>
              </w:rPr>
            </w:pPr>
            <w:r w:rsidRPr="00C47BC2">
              <w:t>sites, buildings and structures.</w:t>
            </w:r>
          </w:p>
        </w:tc>
      </w:tr>
      <w:tr w:rsidTr="002F734B">
        <w:tblPrEx>
          <w:tblW w:w="0" w:type="auto"/>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BC2">
            <w:pPr>
              <w:pStyle w:val="BodyText"/>
              <w:rPr>
                <w:lang w:val="en-NZ"/>
              </w:rPr>
            </w:pPr>
            <w:r w:rsidRPr="00C47BC2">
              <w:rPr>
                <w:rStyle w:val="BoldandItalics"/>
              </w:rPr>
              <w:t>Legislations</w:t>
            </w:r>
            <w:r w:rsidRPr="00C47BC2">
              <w:t xml:space="preserve"> may include</w:t>
            </w:r>
          </w:p>
        </w:tc>
        <w:tc>
          <w:tcPr>
            <w:tcW w:w="5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BC2" w:rsidP="00C47BC2">
            <w:pPr>
              <w:pStyle w:val="ListBullet"/>
            </w:pPr>
            <w:r w:rsidRPr="00C47BC2">
              <w:t>ACCC</w:t>
            </w:r>
          </w:p>
          <w:p w:rsidR="00000000" w:rsidRPr="00C47BC2" w:rsidP="00C47BC2">
            <w:pPr>
              <w:pStyle w:val="ListBullet"/>
            </w:pPr>
            <w:r w:rsidRPr="00C47BC2">
              <w:t>Australian Communications and Media Authority (ACMA) legislations</w:t>
            </w:r>
          </w:p>
          <w:p w:rsidR="00000000" w:rsidRPr="00C47BC2" w:rsidP="00C47BC2">
            <w:pPr>
              <w:pStyle w:val="ListBullet"/>
            </w:pPr>
            <w:r w:rsidRPr="00C47BC2">
              <w:t>Telecommunications Act 1997</w:t>
            </w:r>
          </w:p>
          <w:p w:rsidR="00000000" w:rsidRPr="00C47BC2" w:rsidP="00C47BC2">
            <w:pPr>
              <w:pStyle w:val="ListBullet"/>
            </w:pPr>
            <w:r w:rsidRPr="00C47BC2">
              <w:t>Telecommunications Industry Regulatory Framework (RAF)</w:t>
            </w:r>
          </w:p>
          <w:p w:rsidR="00000000" w:rsidRPr="00C47BC2" w:rsidP="00C47BC2">
            <w:pPr>
              <w:pStyle w:val="ListBullet"/>
            </w:pPr>
            <w:r w:rsidRPr="00C47BC2">
              <w:t>Telecommunications ombudsman</w:t>
            </w:r>
          </w:p>
          <w:p w:rsidR="00000000" w:rsidRPr="00C47BC2" w:rsidP="00C47BC2">
            <w:pPr>
              <w:pStyle w:val="ListBullet"/>
            </w:pPr>
            <w:r w:rsidRPr="00C47BC2">
              <w:t>Trade Practices Act</w:t>
            </w:r>
          </w:p>
          <w:p w:rsidR="00000000" w:rsidP="00C47BC2">
            <w:pPr>
              <w:pStyle w:val="ListBullet"/>
              <w:rPr>
                <w:lang w:val="en-NZ"/>
              </w:rPr>
            </w:pPr>
            <w:r w:rsidRPr="00C47BC2">
              <w:t>USO.</w:t>
            </w:r>
          </w:p>
        </w:tc>
      </w:tr>
      <w:tr w:rsidTr="002F734B">
        <w:tblPrEx>
          <w:tblW w:w="0" w:type="auto"/>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BC2">
            <w:pPr>
              <w:pStyle w:val="BodyText"/>
              <w:rPr>
                <w:lang w:val="en-NZ"/>
              </w:rPr>
            </w:pPr>
            <w:r w:rsidRPr="00C47BC2">
              <w:rPr>
                <w:rStyle w:val="BoldandItalics"/>
              </w:rPr>
              <w:t>Business plan</w:t>
            </w:r>
            <w:r w:rsidRPr="00C47BC2">
              <w:t xml:space="preserve"> may refer to:</w:t>
            </w:r>
          </w:p>
        </w:tc>
        <w:tc>
          <w:tcPr>
            <w:tcW w:w="5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BC2" w:rsidP="00C47BC2">
            <w:pPr>
              <w:pStyle w:val="ListBullet"/>
            </w:pPr>
            <w:r w:rsidRPr="00C47BC2">
              <w:t>activities</w:t>
            </w:r>
          </w:p>
          <w:p w:rsidR="00000000" w:rsidRPr="00C47BC2" w:rsidP="00C47BC2">
            <w:pPr>
              <w:pStyle w:val="ListBullet"/>
            </w:pPr>
            <w:r w:rsidRPr="00C47BC2">
              <w:t>finance</w:t>
            </w:r>
          </w:p>
          <w:p w:rsidR="00000000" w:rsidRPr="00C47BC2" w:rsidP="00C47BC2">
            <w:pPr>
              <w:pStyle w:val="ListBullet"/>
            </w:pPr>
            <w:r w:rsidRPr="00C47BC2">
              <w:t>labour</w:t>
            </w:r>
          </w:p>
          <w:p w:rsidR="00000000" w:rsidRPr="00C47BC2" w:rsidP="00C47BC2">
            <w:pPr>
              <w:pStyle w:val="ListBullet"/>
            </w:pPr>
            <w:r w:rsidRPr="00C47BC2">
              <w:t>material</w:t>
            </w:r>
          </w:p>
          <w:p w:rsidR="00000000" w:rsidRPr="00C47BC2" w:rsidP="00C47BC2">
            <w:pPr>
              <w:pStyle w:val="ListBullet"/>
            </w:pPr>
            <w:r w:rsidRPr="00C47BC2">
              <w:t>planning resource commitment.</w:t>
            </w:r>
          </w:p>
        </w:tc>
      </w:tr>
    </w:tbl>
    <w:p w:rsidR="002F734B" w:rsidP="00C47BC2">
      <w:pPr>
        <w:pStyle w:val="BodyText"/>
      </w:pPr>
    </w:p>
    <w:p w:rsidR="002F734B" w:rsidP="00C47BC2">
      <w:pPr>
        <w:pStyle w:val="BodyText"/>
      </w:pPr>
    </w:p>
    <w:p w:rsidR="00000000" w:rsidRPr="00C47BC2" w:rsidP="00C47BC2">
      <w:pPr>
        <w:pStyle w:val="Heading1"/>
      </w:pPr>
      <w:bookmarkStart w:id="12" w:name="O_208996"/>
      <w:bookmarkEnd w:id="12"/>
      <w:r w:rsidRPr="00C47BC2">
        <w:t>Unit Sector(s)</w:t>
      </w:r>
    </w:p>
    <w:tbl>
      <w:tblPr>
        <w:tblW w:w="0" w:type="auto"/>
        <w:tblLayout w:type="fixed"/>
        <w:tblCellMar>
          <w:left w:w="62" w:type="dxa"/>
          <w:right w:w="62" w:type="dxa"/>
        </w:tblCellMar>
        <w:tblLook w:val="0000"/>
      </w:tblPr>
      <w:tblGrid>
        <w:gridCol w:w="2570"/>
        <w:gridCol w:w="5952"/>
      </w:tblGrid>
      <w:tr w:rsidTr="002F734B">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BC2">
            <w:pPr>
              <w:pStyle w:val="BodyText"/>
              <w:rPr>
                <w:lang w:val="en-NZ"/>
              </w:rPr>
            </w:pPr>
            <w:r w:rsidRPr="00C47BC2">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BC2" w:rsidP="00C47BC2">
            <w:pPr>
              <w:pStyle w:val="BodyText"/>
            </w:pPr>
            <w:r w:rsidRPr="00C47BC2">
              <w:t xml:space="preserve">Telecommunications </w:t>
            </w:r>
          </w:p>
        </w:tc>
      </w:tr>
    </w:tbl>
    <w:p w:rsidR="002F734B" w:rsidP="00C47BC2">
      <w:pPr>
        <w:pStyle w:val="BodyText"/>
      </w:pPr>
    </w:p>
    <w:p w:rsidR="002F734B" w:rsidP="00C47BC2">
      <w:pPr>
        <w:pStyle w:val="BodyText"/>
      </w:pPr>
    </w:p>
    <w:p w:rsidR="00000000" w:rsidRPr="00C47BC2" w:rsidP="00C47BC2">
      <w:pPr>
        <w:pStyle w:val="Heading1"/>
      </w:pPr>
      <w:bookmarkStart w:id="13" w:name="O_208993"/>
      <w:bookmarkEnd w:id="13"/>
      <w:r w:rsidRPr="00C47BC2">
        <w:t>Co-requisite units</w:t>
      </w:r>
    </w:p>
    <w:tbl>
      <w:tblPr>
        <w:tblW w:w="0" w:type="auto"/>
        <w:tblLayout w:type="fixed"/>
        <w:tblCellMar>
          <w:left w:w="62" w:type="dxa"/>
          <w:right w:w="62" w:type="dxa"/>
        </w:tblCellMar>
        <w:tblLook w:val="0000"/>
      </w:tblPr>
      <w:tblGrid>
        <w:gridCol w:w="2641"/>
        <w:gridCol w:w="1322"/>
        <w:gridCol w:w="4559"/>
      </w:tblGrid>
      <w:tr w:rsidTr="002F734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BC2">
            <w:pPr>
              <w:pStyle w:val="BodyText"/>
              <w:rPr>
                <w:lang w:val="en-NZ"/>
              </w:rPr>
            </w:pPr>
            <w:r w:rsidRPr="00C47BC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BC2">
            <w:pPr>
              <w:pStyle w:val="BodyText"/>
              <w:rPr>
                <w:lang w:val="en-NZ"/>
              </w:rPr>
            </w:pPr>
          </w:p>
        </w:tc>
      </w:tr>
      <w:tr w:rsidTr="002F734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BC2">
            <w:pPr>
              <w:pStyle w:val="BodyText"/>
              <w:rPr>
                <w:lang w:val="en-NZ"/>
              </w:rPr>
            </w:pPr>
          </w:p>
        </w:tc>
      </w:tr>
      <w:tr w:rsidTr="002F734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BC2" w:rsidP="00C47BC2">
            <w:pPr>
              <w:pStyle w:val="BodyText"/>
            </w:pPr>
          </w:p>
        </w:tc>
      </w:tr>
    </w:tbl>
    <w:p w:rsidR="002F734B" w:rsidP="00C47BC2">
      <w:pPr>
        <w:pStyle w:val="BodyText"/>
      </w:pPr>
    </w:p>
    <w:p w:rsidR="002F734B" w:rsidP="00C47BC2">
      <w:pPr>
        <w:pStyle w:val="BodyText"/>
      </w:pPr>
    </w:p>
    <w:p w:rsidR="00000000" w:rsidRPr="00C47BC2" w:rsidP="00C47BC2">
      <w:pPr>
        <w:pStyle w:val="Heading1"/>
      </w:pPr>
      <w:bookmarkStart w:id="14" w:name="O_208995"/>
      <w:bookmarkEnd w:id="14"/>
      <w:r w:rsidRPr="00C47BC2">
        <w:t>Competency field</w:t>
      </w:r>
    </w:p>
    <w:tbl>
      <w:tblPr>
        <w:tblW w:w="0" w:type="auto"/>
        <w:tblLayout w:type="fixed"/>
        <w:tblCellMar>
          <w:left w:w="62" w:type="dxa"/>
          <w:right w:w="62" w:type="dxa"/>
        </w:tblCellMar>
        <w:tblLook w:val="0000"/>
      </w:tblPr>
      <w:tblGrid>
        <w:gridCol w:w="2777"/>
        <w:gridCol w:w="5745"/>
      </w:tblGrid>
      <w:tr w:rsidTr="002F734B">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BC2">
            <w:pPr>
              <w:pStyle w:val="BodyText"/>
              <w:rPr>
                <w:lang w:val="en-NZ"/>
              </w:rPr>
            </w:pPr>
            <w:r w:rsidRPr="00C47BC2">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BC2" w:rsidP="00C47BC2">
            <w:pPr>
              <w:pStyle w:val="BodyText"/>
            </w:pPr>
            <w:r w:rsidRPr="00C47BC2">
              <w:t>Network planning</w:t>
            </w:r>
          </w:p>
        </w:tc>
      </w:tr>
    </w:tbl>
    <w:p w:rsidR="002F734B" w:rsidP="00C47BC2">
      <w:pPr>
        <w:pStyle w:val="BodyText"/>
      </w:pPr>
    </w:p>
    <w:p w:rsidR="002F734B" w:rsidP="00C47BC2">
      <w:pPr>
        <w:pStyle w:val="BodyText"/>
      </w:pPr>
    </w:p>
    <w:p w:rsidR="00000000" w:rsidRPr="00C47BC2" w:rsidP="00C47BC2"/>
    <w:sectPr w:rsidSect="00C47BC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B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F734B" w:rsidP="002F734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B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34B" w:rsidP="00C47BC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F734B" w:rsidP="00C47BC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F734B" w:rsidP="00C47BC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B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BC2" w:rsidRPr="002F734B" w:rsidP="002F734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B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34B" w:rsidRPr="002D2AF8" w:rsidP="00C47BC2">
    <w:pPr>
      <w:pStyle w:val="Header"/>
      <w:framePr w:wrap="around"/>
    </w:pPr>
    <w:r>
      <w:fldChar w:fldCharType="begin"/>
    </w:r>
    <w:r>
      <w:instrText xml:space="preserve"> TITLE   \* MERGEFORMAT </w:instrText>
    </w:r>
    <w:r>
      <w:fldChar w:fldCharType="separate"/>
    </w:r>
    <w:r>
      <w:t>ICTNPL4150A Apply knowledge of regulation and legislation for the telecommunications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2F734B" w:rsidP="00C47B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1221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5611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586A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7B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7BC2"/>
    <w:pPr>
      <w:spacing w:before="360" w:after="60"/>
      <w:outlineLvl w:val="0"/>
    </w:pPr>
    <w:rPr>
      <w:sz w:val="32"/>
    </w:rPr>
  </w:style>
  <w:style w:type="paragraph" w:styleId="Heading2">
    <w:name w:val="heading 2"/>
    <w:basedOn w:val="HeadingBase"/>
    <w:next w:val="BodyText"/>
    <w:link w:val="Heading2Char"/>
    <w:qFormat/>
    <w:rsid w:val="00C47BC2"/>
    <w:pPr>
      <w:keepLines/>
      <w:spacing w:before="240" w:after="120"/>
      <w:outlineLvl w:val="1"/>
    </w:pPr>
    <w:rPr>
      <w:sz w:val="28"/>
      <w:szCs w:val="40"/>
    </w:rPr>
  </w:style>
  <w:style w:type="paragraph" w:styleId="Heading3">
    <w:name w:val="heading 3"/>
    <w:basedOn w:val="HeadingBase"/>
    <w:next w:val="BodyText"/>
    <w:link w:val="Heading3Char"/>
    <w:qFormat/>
    <w:rsid w:val="00C47BC2"/>
    <w:pPr>
      <w:spacing w:before="180" w:after="120"/>
      <w:outlineLvl w:val="2"/>
    </w:pPr>
    <w:rPr>
      <w:spacing w:val="-10"/>
      <w:kern w:val="32"/>
    </w:rPr>
  </w:style>
  <w:style w:type="paragraph" w:styleId="Heading4">
    <w:name w:val="heading 4"/>
    <w:basedOn w:val="HeadingBase"/>
    <w:next w:val="BodyText"/>
    <w:link w:val="Heading4Char"/>
    <w:qFormat/>
    <w:rsid w:val="00C47BC2"/>
    <w:pPr>
      <w:spacing w:before="160" w:after="120"/>
      <w:outlineLvl w:val="3"/>
    </w:pPr>
    <w:rPr>
      <w:sz w:val="22"/>
    </w:rPr>
  </w:style>
  <w:style w:type="paragraph" w:styleId="Heading5">
    <w:name w:val="heading 5"/>
    <w:basedOn w:val="HeadingBase"/>
    <w:next w:val="Normal"/>
    <w:link w:val="Heading5Char"/>
    <w:qFormat/>
    <w:rsid w:val="00C47BC2"/>
    <w:pPr>
      <w:spacing w:before="80"/>
      <w:outlineLvl w:val="4"/>
    </w:pPr>
    <w:rPr>
      <w:color w:val="918585"/>
      <w:sz w:val="20"/>
    </w:rPr>
  </w:style>
  <w:style w:type="paragraph" w:styleId="Heading6">
    <w:name w:val="heading 6"/>
    <w:basedOn w:val="HeadingBase"/>
    <w:next w:val="Normal"/>
    <w:link w:val="Heading6Char"/>
    <w:qFormat/>
    <w:rsid w:val="00C47BC2"/>
    <w:pPr>
      <w:spacing w:before="60"/>
      <w:outlineLvl w:val="5"/>
    </w:pPr>
    <w:rPr>
      <w:color w:val="918585"/>
      <w:sz w:val="20"/>
    </w:rPr>
  </w:style>
  <w:style w:type="paragraph" w:styleId="Heading7">
    <w:name w:val="heading 7"/>
    <w:basedOn w:val="Normal"/>
    <w:next w:val="Normal"/>
    <w:link w:val="Heading7Char"/>
    <w:qFormat/>
    <w:rsid w:val="00C47BC2"/>
    <w:pPr>
      <w:ind w:left="720"/>
      <w:outlineLvl w:val="6"/>
    </w:pPr>
    <w:rPr>
      <w:i/>
    </w:rPr>
  </w:style>
  <w:style w:type="paragraph" w:styleId="Heading8">
    <w:name w:val="heading 8"/>
    <w:basedOn w:val="Normal"/>
    <w:next w:val="Normal"/>
    <w:link w:val="Heading8Char"/>
    <w:qFormat/>
    <w:rsid w:val="00C47BC2"/>
    <w:pPr>
      <w:ind w:left="720"/>
      <w:outlineLvl w:val="7"/>
    </w:pPr>
    <w:rPr>
      <w:i/>
    </w:rPr>
  </w:style>
  <w:style w:type="paragraph" w:styleId="Heading9">
    <w:name w:val="heading 9"/>
    <w:basedOn w:val="Normal"/>
    <w:next w:val="Normal"/>
    <w:link w:val="Heading9Char"/>
    <w:qFormat/>
    <w:rsid w:val="00C47BC2"/>
    <w:pPr>
      <w:ind w:left="720"/>
      <w:outlineLvl w:val="8"/>
    </w:pPr>
    <w:rPr>
      <w:i/>
    </w:rPr>
  </w:style>
  <w:style w:type="character" w:default="1" w:styleId="DefaultParagraphFont">
    <w:name w:val="Default Paragraph Font"/>
    <w:uiPriority w:val="1"/>
    <w:unhideWhenUsed/>
    <w:rsid w:val="00C47B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7BC2"/>
  </w:style>
  <w:style w:type="character" w:customStyle="1" w:styleId="Heading1Char">
    <w:name w:val="Heading 1 Char"/>
    <w:basedOn w:val="DefaultParagraphFont"/>
    <w:link w:val="Heading1"/>
    <w:rsid w:val="00C47BC2"/>
    <w:rPr>
      <w:rFonts w:ascii="Times New Roman" w:eastAsia="Times New Roman" w:hAnsi="Times New Roman" w:cs="Times New Roman"/>
      <w:b/>
      <w:sz w:val="32"/>
      <w:szCs w:val="20"/>
      <w:lang w:eastAsia="en-US"/>
    </w:rPr>
  </w:style>
  <w:style w:type="paragraph" w:styleId="BodyText">
    <w:name w:val="Body Text"/>
    <w:basedOn w:val="Normal"/>
    <w:link w:val="BodyTextChar"/>
    <w:rsid w:val="00C47BC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47BC2"/>
    <w:rPr>
      <w:rFonts w:ascii="Times New Roman" w:eastAsia="Times New Roman" w:hAnsi="Times New Roman" w:cs="Times New Roman"/>
      <w:sz w:val="24"/>
      <w:lang w:eastAsia="en-US"/>
    </w:rPr>
  </w:style>
  <w:style w:type="paragraph" w:styleId="Footer">
    <w:name w:val="footer"/>
    <w:basedOn w:val="Normal"/>
    <w:link w:val="FooterChar"/>
    <w:rsid w:val="00C47B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7BC2"/>
    <w:rPr>
      <w:rFonts w:ascii="Times New Roman" w:eastAsia="Times New Roman" w:hAnsi="Times New Roman" w:cs="Times New Roman"/>
      <w:sz w:val="16"/>
      <w:lang w:eastAsia="en-US"/>
    </w:rPr>
  </w:style>
  <w:style w:type="paragraph" w:styleId="List">
    <w:name w:val="List"/>
    <w:basedOn w:val="BodyText"/>
    <w:next w:val="BodyText"/>
    <w:rsid w:val="00C47BC2"/>
    <w:pPr>
      <w:tabs>
        <w:tab w:val="left" w:pos="340"/>
      </w:tabs>
      <w:spacing w:before="60" w:after="60"/>
      <w:ind w:left="340" w:hanging="340"/>
    </w:pPr>
  </w:style>
  <w:style w:type="paragraph" w:styleId="ListBullet">
    <w:name w:val="List Bullet"/>
    <w:basedOn w:val="List"/>
    <w:rsid w:val="00C47BC2"/>
    <w:pPr>
      <w:numPr>
        <w:numId w:val="13"/>
      </w:numPr>
      <w:tabs>
        <w:tab w:val="clear" w:pos="340"/>
      </w:tabs>
      <w:spacing w:before="40" w:after="40"/>
    </w:pPr>
  </w:style>
  <w:style w:type="character" w:customStyle="1" w:styleId="SpecialBold">
    <w:name w:val="Special Bold"/>
    <w:basedOn w:val="DefaultParagraphFont"/>
    <w:rsid w:val="00C47BC2"/>
    <w:rPr>
      <w:b/>
      <w:spacing w:val="0"/>
    </w:rPr>
  </w:style>
  <w:style w:type="paragraph" w:styleId="ListBullet2">
    <w:name w:val="List Bullet 2"/>
    <w:basedOn w:val="List2"/>
    <w:rsid w:val="00C47BC2"/>
    <w:pPr>
      <w:numPr>
        <w:numId w:val="14"/>
      </w:numPr>
      <w:tabs>
        <w:tab w:val="clear" w:pos="680"/>
      </w:tabs>
    </w:pPr>
  </w:style>
  <w:style w:type="paragraph" w:customStyle="1" w:styleId="SuperHeading">
    <w:name w:val="SuperHeading"/>
    <w:basedOn w:val="Normal"/>
    <w:rsid w:val="00C47BC2"/>
    <w:pPr>
      <w:spacing w:before="240" w:after="120"/>
      <w:outlineLvl w:val="0"/>
    </w:pPr>
    <w:rPr>
      <w:rFonts w:ascii="Times New Roman" w:hAnsi="Times New Roman"/>
      <w:b/>
      <w:sz w:val="28"/>
    </w:rPr>
  </w:style>
  <w:style w:type="paragraph" w:customStyle="1" w:styleId="AllowPageBreak">
    <w:name w:val="AllowPageBreak"/>
    <w:rsid w:val="00C47BC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47BC2"/>
    <w:pPr>
      <w:tabs>
        <w:tab w:val="left" w:pos="680"/>
      </w:tabs>
      <w:spacing w:before="60" w:after="60"/>
      <w:ind w:left="680" w:hanging="340"/>
    </w:pPr>
  </w:style>
  <w:style w:type="character" w:customStyle="1" w:styleId="BoldandItalics">
    <w:name w:val="Bold and Italics"/>
    <w:qFormat/>
    <w:rsid w:val="00C47BC2"/>
    <w:rPr>
      <w:b/>
      <w:i/>
      <w:u w:val="none"/>
    </w:rPr>
  </w:style>
  <w:style w:type="character" w:customStyle="1" w:styleId="Heading2Char">
    <w:name w:val="Heading 2 Char"/>
    <w:basedOn w:val="DefaultParagraphFont"/>
    <w:link w:val="Heading2"/>
    <w:rsid w:val="00C47B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7B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7B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7B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7B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7B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7B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7BC2"/>
    <w:rPr>
      <w:rFonts w:ascii="Courier New" w:eastAsia="Times New Roman" w:hAnsi="Courier New" w:cs="Times New Roman"/>
      <w:i/>
      <w:szCs w:val="20"/>
      <w:lang w:eastAsia="en-US"/>
    </w:rPr>
  </w:style>
  <w:style w:type="paragraph" w:customStyle="1" w:styleId="HeadingBase">
    <w:name w:val="Heading Base"/>
    <w:rsid w:val="00C47B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7BC2"/>
    <w:pPr>
      <w:tabs>
        <w:tab w:val="right" w:leader="dot" w:pos="9072"/>
      </w:tabs>
      <w:ind w:left="567"/>
    </w:pPr>
    <w:rPr>
      <w:szCs w:val="22"/>
    </w:rPr>
  </w:style>
  <w:style w:type="paragraph" w:customStyle="1" w:styleId="TOCBase">
    <w:name w:val="TOC Base"/>
    <w:rsid w:val="00C47B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7BC2"/>
    <w:pPr>
      <w:tabs>
        <w:tab w:val="right" w:leader="dot" w:pos="9072"/>
      </w:tabs>
      <w:spacing w:before="40" w:after="40"/>
      <w:ind w:left="284"/>
    </w:pPr>
    <w:rPr>
      <w:rFonts w:ascii="Times New Roman" w:hAnsi="Times New Roman"/>
    </w:rPr>
  </w:style>
  <w:style w:type="paragraph" w:styleId="TOC1">
    <w:name w:val="toc 1"/>
    <w:basedOn w:val="TOCBase"/>
    <w:next w:val="Normal"/>
    <w:rsid w:val="00C47BC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47BC2"/>
    <w:pPr>
      <w:spacing w:before="5040"/>
      <w:jc w:val="center"/>
    </w:pPr>
    <w:rPr>
      <w:sz w:val="48"/>
      <w:szCs w:val="72"/>
      <w:lang w:val="en-US"/>
    </w:rPr>
  </w:style>
  <w:style w:type="character" w:customStyle="1" w:styleId="TitleChar">
    <w:name w:val="Title Char"/>
    <w:basedOn w:val="DefaultParagraphFont"/>
    <w:link w:val="Title"/>
    <w:rsid w:val="00C47B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7BC2"/>
    <w:pPr>
      <w:tabs>
        <w:tab w:val="left" w:pos="3600"/>
        <w:tab w:val="left" w:pos="3958"/>
      </w:tabs>
    </w:pPr>
  </w:style>
  <w:style w:type="paragraph" w:customStyle="1" w:styleId="Note">
    <w:name w:val="Note"/>
    <w:basedOn w:val="BodyText"/>
    <w:rsid w:val="00C47B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7BC2"/>
    <w:pPr>
      <w:framePr w:wrap="auto" w:hAnchor="text" w:y="6049"/>
    </w:pPr>
    <w:rPr>
      <w:color w:val="000000"/>
      <w:sz w:val="40"/>
    </w:rPr>
  </w:style>
  <w:style w:type="paragraph" w:customStyle="1" w:styleId="TOCTitle">
    <w:name w:val="TOCTitle"/>
    <w:basedOn w:val="Heading1"/>
    <w:rsid w:val="00C47BC2"/>
    <w:pPr>
      <w:spacing w:after="240"/>
      <w:jc w:val="center"/>
      <w:outlineLvl w:val="9"/>
    </w:pPr>
    <w:rPr>
      <w:caps/>
    </w:rPr>
  </w:style>
  <w:style w:type="paragraph" w:customStyle="1" w:styleId="Version">
    <w:name w:val="Version"/>
    <w:rsid w:val="00C47B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7BC2"/>
    <w:pPr>
      <w:keepNext w:val="0"/>
      <w:tabs>
        <w:tab w:val="right" w:pos="4176"/>
      </w:tabs>
      <w:ind w:left="198" w:hanging="198"/>
    </w:pPr>
    <w:rPr>
      <w:rFonts w:ascii="Garamond" w:hAnsi="Garamond"/>
    </w:rPr>
  </w:style>
  <w:style w:type="paragraph" w:styleId="IndexHeading">
    <w:name w:val="index heading"/>
    <w:basedOn w:val="Normal"/>
    <w:next w:val="Index1"/>
    <w:semiHidden/>
    <w:rsid w:val="00C47BC2"/>
    <w:pPr>
      <w:spacing w:before="120" w:after="120"/>
    </w:pPr>
    <w:rPr>
      <w:rFonts w:ascii="Arial" w:hAnsi="Arial"/>
      <w:b/>
      <w:color w:val="918585"/>
      <w:sz w:val="24"/>
    </w:rPr>
  </w:style>
  <w:style w:type="paragraph" w:styleId="Header">
    <w:name w:val="header"/>
    <w:basedOn w:val="Normal"/>
    <w:link w:val="HeaderChar"/>
    <w:rsid w:val="00C47B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7BC2"/>
    <w:rPr>
      <w:rFonts w:ascii="Times New Roman" w:eastAsia="Times New Roman" w:hAnsi="Times New Roman" w:cs="Times New Roman"/>
      <w:sz w:val="16"/>
      <w:szCs w:val="20"/>
      <w:lang w:val="en-GB" w:eastAsia="en-US"/>
    </w:rPr>
  </w:style>
  <w:style w:type="paragraph" w:customStyle="1" w:styleId="Chapter">
    <w:name w:val="Chapter"/>
    <w:basedOn w:val="Normal"/>
    <w:rsid w:val="00C47BC2"/>
    <w:pPr>
      <w:spacing w:before="240"/>
    </w:pPr>
    <w:rPr>
      <w:rFonts w:ascii="Times New Roman" w:hAnsi="Times New Roman"/>
      <w:smallCaps/>
      <w:spacing w:val="80"/>
      <w:sz w:val="28"/>
    </w:rPr>
  </w:style>
  <w:style w:type="paragraph" w:customStyle="1" w:styleId="InChapter">
    <w:name w:val="InChapter"/>
    <w:basedOn w:val="Heading3"/>
    <w:rsid w:val="00C47BC2"/>
    <w:pPr>
      <w:spacing w:after="240"/>
      <w:outlineLvl w:val="9"/>
    </w:pPr>
    <w:rPr>
      <w:noProof/>
    </w:rPr>
  </w:style>
  <w:style w:type="paragraph" w:styleId="Index2">
    <w:name w:val="index 2"/>
    <w:basedOn w:val="Normal"/>
    <w:next w:val="Normal"/>
    <w:semiHidden/>
    <w:rsid w:val="00C47BC2"/>
    <w:pPr>
      <w:tabs>
        <w:tab w:val="right" w:pos="4176"/>
      </w:tabs>
      <w:ind w:left="568" w:hanging="284"/>
    </w:pPr>
    <w:rPr>
      <w:rFonts w:ascii="Garamond" w:hAnsi="Garamond"/>
    </w:rPr>
  </w:style>
  <w:style w:type="paragraph" w:customStyle="1" w:styleId="Byline">
    <w:name w:val="Byline"/>
    <w:rsid w:val="00C47B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7BC2"/>
    <w:pPr>
      <w:tabs>
        <w:tab w:val="clear" w:pos="3600"/>
        <w:tab w:val="clear" w:pos="3958"/>
      </w:tabs>
      <w:jc w:val="right"/>
    </w:pPr>
  </w:style>
  <w:style w:type="character" w:styleId="Emphasis">
    <w:name w:val="Emphasis"/>
    <w:basedOn w:val="DefaultParagraphFont"/>
    <w:qFormat/>
    <w:rsid w:val="00C47BC2"/>
    <w:rPr>
      <w:i/>
    </w:rPr>
  </w:style>
  <w:style w:type="paragraph" w:styleId="Caption">
    <w:name w:val="caption"/>
    <w:basedOn w:val="BodyText"/>
    <w:next w:val="Normal"/>
    <w:qFormat/>
    <w:rsid w:val="00C47BC2"/>
    <w:pPr>
      <w:framePr w:w="2268" w:hSpace="181" w:vSpace="181" w:wrap="around" w:vAnchor="text" w:hAnchor="page" w:x="1135" w:y="285" w:anchorLock="1"/>
    </w:pPr>
    <w:rPr>
      <w:i/>
    </w:rPr>
  </w:style>
  <w:style w:type="paragraph" w:customStyle="1" w:styleId="MiniTOCTitle">
    <w:name w:val="MiniTOCTitle"/>
    <w:basedOn w:val="Heading4"/>
    <w:rsid w:val="00C47BC2"/>
    <w:pPr>
      <w:spacing w:before="240"/>
      <w:outlineLvl w:val="9"/>
    </w:pPr>
    <w:rPr>
      <w:noProof/>
      <w:sz w:val="24"/>
    </w:rPr>
  </w:style>
  <w:style w:type="paragraph" w:customStyle="1" w:styleId="MiniTOCItem">
    <w:name w:val="MiniTOCItem"/>
    <w:basedOn w:val="ListBullet"/>
    <w:rsid w:val="00C47BC2"/>
    <w:pPr>
      <w:numPr>
        <w:numId w:val="0"/>
      </w:numPr>
      <w:tabs>
        <w:tab w:val="right" w:leader="dot" w:pos="6521"/>
      </w:tabs>
      <w:spacing w:before="0" w:after="0"/>
    </w:pPr>
  </w:style>
  <w:style w:type="paragraph" w:customStyle="1" w:styleId="TOFTitle">
    <w:name w:val="TOFTitle"/>
    <w:basedOn w:val="TOCTitle"/>
    <w:rsid w:val="00C47BC2"/>
  </w:style>
  <w:style w:type="paragraph" w:styleId="TableofFigures">
    <w:name w:val="table of figures"/>
    <w:basedOn w:val="Normal"/>
    <w:next w:val="Normal"/>
    <w:semiHidden/>
    <w:rsid w:val="00C47BC2"/>
    <w:pPr>
      <w:tabs>
        <w:tab w:val="right" w:leader="dot" w:pos="9072"/>
      </w:tabs>
      <w:ind w:left="970" w:hanging="403"/>
    </w:pPr>
    <w:rPr>
      <w:rFonts w:ascii="Times New Roman" w:hAnsi="Times New Roman"/>
      <w:b/>
    </w:rPr>
  </w:style>
  <w:style w:type="paragraph" w:styleId="ListNumber">
    <w:name w:val="List Number"/>
    <w:basedOn w:val="List"/>
    <w:rsid w:val="00C47BC2"/>
    <w:pPr>
      <w:numPr>
        <w:numId w:val="11"/>
      </w:numPr>
    </w:pPr>
  </w:style>
  <w:style w:type="character" w:customStyle="1" w:styleId="WingdingSymbols">
    <w:name w:val="Wingding Symbols"/>
    <w:rsid w:val="00C47BC2"/>
    <w:rPr>
      <w:rFonts w:ascii="Wingdings" w:hAnsi="Wingdings"/>
    </w:rPr>
  </w:style>
  <w:style w:type="paragraph" w:customStyle="1" w:styleId="TableHeading">
    <w:name w:val="Table Heading"/>
    <w:basedOn w:val="HeadingBase"/>
    <w:rsid w:val="00C47BC2"/>
    <w:pPr>
      <w:keepLines/>
      <w:pBdr>
        <w:bottom w:val="single" w:sz="6" w:space="1" w:color="918585"/>
      </w:pBdr>
      <w:spacing w:before="240"/>
    </w:pPr>
  </w:style>
  <w:style w:type="character" w:customStyle="1" w:styleId="HotSpot">
    <w:name w:val="HotSpot"/>
    <w:rsid w:val="00C47BC2"/>
    <w:rPr>
      <w:color w:val="0033CC"/>
      <w:u w:val="none"/>
    </w:rPr>
  </w:style>
  <w:style w:type="paragraph" w:customStyle="1" w:styleId="BodyTextRight">
    <w:name w:val="Body Text Right"/>
    <w:basedOn w:val="BodyText"/>
    <w:rsid w:val="00C47BC2"/>
    <w:pPr>
      <w:spacing w:before="0" w:after="0"/>
      <w:jc w:val="right"/>
    </w:pPr>
  </w:style>
  <w:style w:type="paragraph" w:styleId="Index3">
    <w:name w:val="index 3"/>
    <w:basedOn w:val="ListNumber2"/>
    <w:next w:val="Normal"/>
    <w:semiHidden/>
    <w:rsid w:val="00C47BC2"/>
    <w:pPr>
      <w:numPr>
        <w:numId w:val="0"/>
      </w:numPr>
      <w:tabs>
        <w:tab w:val="right" w:leader="dot" w:pos="4176"/>
      </w:tabs>
    </w:pPr>
  </w:style>
  <w:style w:type="paragraph" w:styleId="ListNumber2">
    <w:name w:val="List Number 2"/>
    <w:basedOn w:val="List2"/>
    <w:rsid w:val="00C47BC2"/>
    <w:pPr>
      <w:numPr>
        <w:numId w:val="10"/>
      </w:numPr>
      <w:tabs>
        <w:tab w:val="clear" w:pos="1060"/>
      </w:tabs>
    </w:pPr>
  </w:style>
  <w:style w:type="paragraph" w:customStyle="1" w:styleId="MarginNote">
    <w:name w:val="Margin Note"/>
    <w:basedOn w:val="BodyText"/>
    <w:rsid w:val="00C47B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7B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7B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7BC2"/>
    <w:rPr>
      <w:sz w:val="32"/>
    </w:rPr>
  </w:style>
  <w:style w:type="paragraph" w:customStyle="1" w:styleId="HeadingProcedure">
    <w:name w:val="Heading Procedure"/>
    <w:basedOn w:val="HeadingBase"/>
    <w:next w:val="Normal"/>
    <w:rsid w:val="00C47BC2"/>
    <w:pPr>
      <w:tabs>
        <w:tab w:val="left" w:pos="0"/>
      </w:tabs>
      <w:spacing w:before="120" w:after="60"/>
    </w:pPr>
    <w:rPr>
      <w:i/>
      <w:color w:val="918585"/>
      <w:sz w:val="22"/>
    </w:rPr>
  </w:style>
  <w:style w:type="paragraph" w:customStyle="1" w:styleId="TableBodyText">
    <w:name w:val="Table Body Text"/>
    <w:basedOn w:val="BodyText"/>
    <w:rsid w:val="00C47BC2"/>
    <w:pPr>
      <w:spacing w:before="60" w:after="60"/>
    </w:pPr>
  </w:style>
  <w:style w:type="paragraph" w:styleId="ListContinue">
    <w:name w:val="List Continue"/>
    <w:basedOn w:val="List"/>
    <w:rsid w:val="00C47BC2"/>
    <w:pPr>
      <w:ind w:firstLine="0"/>
    </w:pPr>
  </w:style>
  <w:style w:type="paragraph" w:customStyle="1" w:styleId="ListNote">
    <w:name w:val="List Note"/>
    <w:basedOn w:val="List"/>
    <w:rsid w:val="00C47BC2"/>
    <w:pPr>
      <w:pBdr>
        <w:top w:val="single" w:sz="6" w:space="2" w:color="918585"/>
        <w:bottom w:val="single" w:sz="6" w:space="2" w:color="918585"/>
      </w:pBdr>
      <w:tabs>
        <w:tab w:val="left" w:pos="1021"/>
      </w:tabs>
      <w:ind w:firstLine="0"/>
    </w:pPr>
  </w:style>
  <w:style w:type="paragraph" w:customStyle="1" w:styleId="Warning">
    <w:name w:val="Warning"/>
    <w:basedOn w:val="BodyText"/>
    <w:rsid w:val="00C47BC2"/>
    <w:pPr>
      <w:shd w:val="clear" w:color="auto" w:fill="D9D9D9"/>
      <w:tabs>
        <w:tab w:val="left" w:pos="992"/>
      </w:tabs>
      <w:ind w:left="119" w:right="119"/>
    </w:pPr>
    <w:rPr>
      <w:sz w:val="20"/>
    </w:rPr>
  </w:style>
  <w:style w:type="paragraph" w:customStyle="1" w:styleId="MarginIcons">
    <w:name w:val="Margin Icons"/>
    <w:basedOn w:val="BodyText"/>
    <w:rsid w:val="00C47B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7BC2"/>
    <w:rPr>
      <w:rFonts w:ascii="Courier New" w:hAnsi="Courier New"/>
    </w:rPr>
  </w:style>
  <w:style w:type="paragraph" w:customStyle="1" w:styleId="NoteBullet">
    <w:name w:val="Note Bullet"/>
    <w:basedOn w:val="Note"/>
    <w:rsid w:val="00C47BC2"/>
    <w:pPr>
      <w:tabs>
        <w:tab w:val="clear" w:pos="680"/>
      </w:tabs>
      <w:spacing w:before="60" w:after="60"/>
    </w:pPr>
  </w:style>
  <w:style w:type="paragraph" w:customStyle="1" w:styleId="SubHeading2">
    <w:name w:val="SubHeading2"/>
    <w:basedOn w:val="HeadingBase"/>
    <w:rsid w:val="00C47BC2"/>
    <w:pPr>
      <w:spacing w:before="240" w:after="60"/>
    </w:pPr>
    <w:rPr>
      <w:sz w:val="20"/>
    </w:rPr>
  </w:style>
  <w:style w:type="paragraph" w:customStyle="1" w:styleId="SubHeading1">
    <w:name w:val="SubHeading1"/>
    <w:basedOn w:val="HeadingBase"/>
    <w:rsid w:val="00C47BC2"/>
    <w:pPr>
      <w:spacing w:before="240" w:after="60"/>
    </w:pPr>
    <w:rPr>
      <w:color w:val="918585"/>
      <w:sz w:val="22"/>
    </w:rPr>
  </w:style>
  <w:style w:type="paragraph" w:customStyle="1" w:styleId="SideHeading">
    <w:name w:val="Side Heading"/>
    <w:basedOn w:val="HeadingBase"/>
    <w:rsid w:val="00C47B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7BC2"/>
    <w:pPr>
      <w:numPr>
        <w:numId w:val="12"/>
      </w:numPr>
    </w:pPr>
  </w:style>
  <w:style w:type="paragraph" w:styleId="PlainText">
    <w:name w:val="Plain Text"/>
    <w:basedOn w:val="Normal"/>
    <w:link w:val="PlainTextChar"/>
    <w:rsid w:val="00C47BC2"/>
    <w:rPr>
      <w:sz w:val="20"/>
    </w:rPr>
  </w:style>
  <w:style w:type="character" w:customStyle="1" w:styleId="PlainTextChar">
    <w:name w:val="Plain Text Char"/>
    <w:basedOn w:val="DefaultParagraphFont"/>
    <w:link w:val="PlainText"/>
    <w:rsid w:val="00C47BC2"/>
    <w:rPr>
      <w:rFonts w:ascii="Courier New" w:eastAsia="Times New Roman" w:hAnsi="Courier New" w:cs="Times New Roman"/>
      <w:sz w:val="20"/>
      <w:szCs w:val="20"/>
      <w:lang w:eastAsia="en-US"/>
    </w:rPr>
  </w:style>
  <w:style w:type="character" w:customStyle="1" w:styleId="MenuOption">
    <w:name w:val="Menu Option"/>
    <w:basedOn w:val="DefaultParagraphFont"/>
    <w:rsid w:val="00C47BC2"/>
    <w:rPr>
      <w:b/>
      <w:smallCaps/>
    </w:rPr>
  </w:style>
  <w:style w:type="paragraph" w:customStyle="1" w:styleId="TableListNumber">
    <w:name w:val="Table List Number"/>
    <w:basedOn w:val="ListNumber"/>
    <w:rsid w:val="00C47BC2"/>
    <w:pPr>
      <w:numPr>
        <w:numId w:val="0"/>
      </w:numPr>
    </w:pPr>
  </w:style>
  <w:style w:type="paragraph" w:styleId="TOC4">
    <w:name w:val="toc 4"/>
    <w:basedOn w:val="TOCBase"/>
    <w:next w:val="Normal"/>
    <w:semiHidden/>
    <w:rsid w:val="00C47BC2"/>
    <w:pPr>
      <w:tabs>
        <w:tab w:val="right" w:leader="dot" w:pos="9071"/>
      </w:tabs>
      <w:ind w:left="1701"/>
    </w:pPr>
  </w:style>
  <w:style w:type="paragraph" w:customStyle="1" w:styleId="ListAlpha">
    <w:name w:val="List Alpha"/>
    <w:basedOn w:val="List"/>
    <w:rsid w:val="00C47BC2"/>
    <w:pPr>
      <w:numPr>
        <w:numId w:val="9"/>
      </w:numPr>
    </w:pPr>
  </w:style>
  <w:style w:type="paragraph" w:customStyle="1" w:styleId="ListAlpha2">
    <w:name w:val="List Alpha 2"/>
    <w:basedOn w:val="List2"/>
    <w:rsid w:val="00C47BC2"/>
    <w:pPr>
      <w:numPr>
        <w:numId w:val="8"/>
      </w:numPr>
    </w:pPr>
  </w:style>
  <w:style w:type="paragraph" w:styleId="List3">
    <w:name w:val="List 3"/>
    <w:basedOn w:val="BodyText"/>
    <w:rsid w:val="00C47BC2"/>
    <w:pPr>
      <w:tabs>
        <w:tab w:val="left" w:pos="1021"/>
      </w:tabs>
      <w:spacing w:before="60" w:after="60"/>
      <w:ind w:left="1020" w:hanging="340"/>
    </w:pPr>
  </w:style>
  <w:style w:type="paragraph" w:styleId="List4">
    <w:name w:val="List 4"/>
    <w:basedOn w:val="BodyText"/>
    <w:rsid w:val="00C47BC2"/>
    <w:pPr>
      <w:tabs>
        <w:tab w:val="left" w:pos="1361"/>
      </w:tabs>
      <w:spacing w:before="60" w:after="60"/>
      <w:ind w:left="1361" w:hanging="340"/>
    </w:pPr>
  </w:style>
  <w:style w:type="paragraph" w:styleId="List5">
    <w:name w:val="List 5"/>
    <w:basedOn w:val="BodyText"/>
    <w:rsid w:val="00C47BC2"/>
    <w:pPr>
      <w:tabs>
        <w:tab w:val="left" w:pos="1701"/>
      </w:tabs>
      <w:spacing w:before="60" w:after="60"/>
      <w:ind w:left="1701" w:hanging="340"/>
    </w:pPr>
  </w:style>
  <w:style w:type="paragraph" w:styleId="ListBullet3">
    <w:name w:val="List Bullet 3"/>
    <w:basedOn w:val="List3"/>
    <w:rsid w:val="00C47BC2"/>
    <w:pPr>
      <w:numPr>
        <w:numId w:val="15"/>
      </w:numPr>
      <w:tabs>
        <w:tab w:val="clear" w:pos="1021"/>
      </w:tabs>
      <w:ind w:left="1037" w:hanging="357"/>
    </w:pPr>
  </w:style>
  <w:style w:type="paragraph" w:styleId="ListBullet4">
    <w:name w:val="List Bullet 4"/>
    <w:basedOn w:val="List4"/>
    <w:rsid w:val="00C47BC2"/>
    <w:pPr>
      <w:numPr>
        <w:numId w:val="3"/>
      </w:numPr>
    </w:pPr>
  </w:style>
  <w:style w:type="paragraph" w:styleId="ListBullet5">
    <w:name w:val="List Bullet 5"/>
    <w:basedOn w:val="List5"/>
    <w:rsid w:val="00C47BC2"/>
    <w:pPr>
      <w:numPr>
        <w:numId w:val="4"/>
      </w:numPr>
    </w:pPr>
  </w:style>
  <w:style w:type="paragraph" w:styleId="ListContinue2">
    <w:name w:val="List Continue 2"/>
    <w:basedOn w:val="List2"/>
    <w:rsid w:val="00C47BC2"/>
    <w:pPr>
      <w:ind w:firstLine="0"/>
    </w:pPr>
  </w:style>
  <w:style w:type="paragraph" w:styleId="ListContinue3">
    <w:name w:val="List Continue 3"/>
    <w:basedOn w:val="List3"/>
    <w:rsid w:val="00C47BC2"/>
    <w:pPr>
      <w:ind w:left="1021" w:firstLine="0"/>
    </w:pPr>
  </w:style>
  <w:style w:type="paragraph" w:styleId="ListContinue4">
    <w:name w:val="List Continue 4"/>
    <w:basedOn w:val="List4"/>
    <w:rsid w:val="00C47BC2"/>
    <w:pPr>
      <w:ind w:firstLine="0"/>
    </w:pPr>
  </w:style>
  <w:style w:type="paragraph" w:styleId="ListContinue5">
    <w:name w:val="List Continue 5"/>
    <w:basedOn w:val="List5"/>
    <w:rsid w:val="00C47BC2"/>
    <w:pPr>
      <w:ind w:firstLine="0"/>
    </w:pPr>
  </w:style>
  <w:style w:type="paragraph" w:styleId="ListNumber3">
    <w:name w:val="List Number 3"/>
    <w:basedOn w:val="List3"/>
    <w:rsid w:val="00C47BC2"/>
    <w:pPr>
      <w:numPr>
        <w:numId w:val="5"/>
      </w:numPr>
    </w:pPr>
  </w:style>
  <w:style w:type="paragraph" w:styleId="ListNumber4">
    <w:name w:val="List Number 4"/>
    <w:basedOn w:val="List4"/>
    <w:rsid w:val="00C47BC2"/>
    <w:pPr>
      <w:numPr>
        <w:numId w:val="6"/>
      </w:numPr>
    </w:pPr>
  </w:style>
  <w:style w:type="paragraph" w:styleId="ListNumber5">
    <w:name w:val="List Number 5"/>
    <w:basedOn w:val="List5"/>
    <w:rsid w:val="00C47BC2"/>
    <w:pPr>
      <w:numPr>
        <w:numId w:val="7"/>
      </w:numPr>
    </w:pPr>
  </w:style>
  <w:style w:type="paragraph" w:styleId="BlockText">
    <w:name w:val="Block Text"/>
    <w:basedOn w:val="Normal"/>
    <w:rsid w:val="00C47BC2"/>
    <w:pPr>
      <w:spacing w:after="120"/>
      <w:ind w:left="1440" w:right="1440"/>
    </w:pPr>
  </w:style>
  <w:style w:type="character" w:customStyle="1" w:styleId="Subscript">
    <w:name w:val="Subscript"/>
    <w:basedOn w:val="DefaultParagraphFont"/>
    <w:rsid w:val="00C47BC2"/>
    <w:rPr>
      <w:sz w:val="16"/>
      <w:vertAlign w:val="subscript"/>
    </w:rPr>
  </w:style>
  <w:style w:type="character" w:customStyle="1" w:styleId="Superscript">
    <w:name w:val="Superscript"/>
    <w:basedOn w:val="DefaultParagraphFont"/>
    <w:rsid w:val="00C47BC2"/>
    <w:rPr>
      <w:sz w:val="16"/>
      <w:vertAlign w:val="superscript"/>
    </w:rPr>
  </w:style>
  <w:style w:type="character" w:customStyle="1" w:styleId="Symbols">
    <w:name w:val="Symbols"/>
    <w:basedOn w:val="DefaultParagraphFont"/>
    <w:rsid w:val="00C47BC2"/>
    <w:rPr>
      <w:rFonts w:ascii="Symbol" w:hAnsi="Symbol"/>
    </w:rPr>
  </w:style>
  <w:style w:type="character" w:customStyle="1" w:styleId="MenuOptions">
    <w:name w:val="Menu Options"/>
    <w:basedOn w:val="DefaultParagraphFont"/>
    <w:rsid w:val="00C47BC2"/>
    <w:rPr>
      <w:rFonts w:ascii="Arial Narrow" w:hAnsi="Arial Narrow"/>
      <w:smallCaps/>
    </w:rPr>
  </w:style>
  <w:style w:type="character" w:customStyle="1" w:styleId="Buttons">
    <w:name w:val="Buttons"/>
    <w:basedOn w:val="DefaultParagraphFont"/>
    <w:rsid w:val="00C47BC2"/>
    <w:rPr>
      <w:b/>
    </w:rPr>
  </w:style>
  <w:style w:type="character" w:customStyle="1" w:styleId="Underlined">
    <w:name w:val="Underlined"/>
    <w:basedOn w:val="DefaultParagraphFont"/>
    <w:rsid w:val="00C47BC2"/>
    <w:rPr>
      <w:u w:val="single"/>
    </w:rPr>
  </w:style>
  <w:style w:type="paragraph" w:customStyle="1" w:styleId="TableBodyTextRight">
    <w:name w:val="Table Body Text Right"/>
    <w:basedOn w:val="TableBodyText"/>
    <w:rsid w:val="00C47BC2"/>
    <w:pPr>
      <w:widowControl w:val="0"/>
      <w:autoSpaceDE w:val="0"/>
      <w:autoSpaceDN w:val="0"/>
      <w:adjustRightInd w:val="0"/>
      <w:jc w:val="right"/>
    </w:pPr>
    <w:rPr>
      <w:rFonts w:cs="Arial"/>
      <w:szCs w:val="18"/>
    </w:rPr>
  </w:style>
  <w:style w:type="paragraph" w:customStyle="1" w:styleId="CopyrightText">
    <w:name w:val="Copyright Text"/>
    <w:basedOn w:val="BodyText"/>
    <w:rsid w:val="00C47BC2"/>
    <w:rPr>
      <w:sz w:val="18"/>
    </w:rPr>
  </w:style>
  <w:style w:type="paragraph" w:customStyle="1" w:styleId="BodySmallRight">
    <w:name w:val="Body Small Right"/>
    <w:basedOn w:val="BodyTextRight"/>
    <w:rsid w:val="00C47BC2"/>
    <w:rPr>
      <w:sz w:val="18"/>
      <w:szCs w:val="18"/>
    </w:rPr>
  </w:style>
  <w:style w:type="paragraph" w:customStyle="1" w:styleId="MarginEdition">
    <w:name w:val="Margin Edition"/>
    <w:basedOn w:val="MarginNote"/>
    <w:rsid w:val="00C47BC2"/>
    <w:pPr>
      <w:spacing w:before="0" w:after="0"/>
    </w:pPr>
    <w:rPr>
      <w:rFonts w:ascii="Times New Roman" w:hAnsi="Times New Roman"/>
      <w:color w:val="999999"/>
    </w:rPr>
  </w:style>
  <w:style w:type="paragraph" w:customStyle="1" w:styleId="Spacer">
    <w:name w:val="Spacer"/>
    <w:basedOn w:val="Normal"/>
    <w:rsid w:val="00C47BC2"/>
    <w:rPr>
      <w:sz w:val="2"/>
      <w:szCs w:val="2"/>
    </w:rPr>
  </w:style>
  <w:style w:type="character" w:customStyle="1" w:styleId="Small">
    <w:name w:val="Small"/>
    <w:basedOn w:val="DefaultParagraphFont"/>
    <w:rsid w:val="00C47BC2"/>
    <w:rPr>
      <w:sz w:val="16"/>
    </w:rPr>
  </w:style>
  <w:style w:type="paragraph" w:customStyle="1" w:styleId="WideTable">
    <w:name w:val="Wide Table"/>
    <w:basedOn w:val="Normal"/>
    <w:rsid w:val="00C47BC2"/>
    <w:pPr>
      <w:ind w:left="-1418"/>
    </w:pPr>
    <w:rPr>
      <w:sz w:val="2"/>
      <w:szCs w:val="2"/>
    </w:rPr>
  </w:style>
  <w:style w:type="character" w:styleId="PageNumber">
    <w:name w:val="page number"/>
    <w:basedOn w:val="DefaultParagraphFont"/>
    <w:rsid w:val="00C47BC2"/>
  </w:style>
  <w:style w:type="paragraph" w:styleId="Quote">
    <w:name w:val="Quote"/>
    <w:basedOn w:val="Heading1"/>
    <w:link w:val="QuoteChar"/>
    <w:qFormat/>
    <w:rsid w:val="00C47BC2"/>
    <w:rPr>
      <w:b w:val="0"/>
      <w:sz w:val="72"/>
      <w:szCs w:val="72"/>
      <w:lang w:val="en-NZ"/>
    </w:rPr>
  </w:style>
  <w:style w:type="character" w:customStyle="1" w:styleId="QuoteChar">
    <w:name w:val="Quote Char"/>
    <w:basedOn w:val="DefaultParagraphFont"/>
    <w:link w:val="Quote"/>
    <w:rsid w:val="00C47B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7BC2"/>
    <w:pPr>
      <w:pageBreakBefore/>
    </w:pPr>
  </w:style>
  <w:style w:type="paragraph" w:customStyle="1" w:styleId="Border">
    <w:name w:val="Border"/>
    <w:basedOn w:val="Normal"/>
    <w:qFormat/>
    <w:rsid w:val="00C47B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7BC2"/>
    <w:rPr>
      <w:b/>
      <w:bCs/>
      <w:i/>
      <w:iCs/>
      <w:color w:val="auto"/>
    </w:rPr>
  </w:style>
  <w:style w:type="paragraph" w:styleId="IntenseQuote">
    <w:name w:val="Intense Quote"/>
    <w:basedOn w:val="Normal"/>
    <w:next w:val="Normal"/>
    <w:link w:val="IntenseQuoteChar"/>
    <w:uiPriority w:val="30"/>
    <w:qFormat/>
    <w:rsid w:val="00C47B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7B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7BC2"/>
    <w:rPr>
      <w:smallCaps/>
      <w:color w:val="auto"/>
      <w:u w:val="single"/>
    </w:rPr>
  </w:style>
  <w:style w:type="character" w:styleId="IntenseReference">
    <w:name w:val="Intense Reference"/>
    <w:basedOn w:val="DefaultParagraphFont"/>
    <w:uiPriority w:val="32"/>
    <w:qFormat/>
    <w:rsid w:val="00C47BC2"/>
    <w:rPr>
      <w:b/>
      <w:bCs/>
      <w:smallCaps/>
      <w:color w:val="auto"/>
      <w:spacing w:val="5"/>
      <w:u w:val="single"/>
    </w:rPr>
  </w:style>
  <w:style w:type="paragraph" w:customStyle="1" w:styleId="2ColumnHeading">
    <w:name w:val="2Column Heading"/>
    <w:basedOn w:val="BodyText"/>
    <w:qFormat/>
    <w:rsid w:val="00C47BC2"/>
    <w:pPr>
      <w:spacing w:after="60"/>
      <w:ind w:left="-2268"/>
    </w:pPr>
    <w:rPr>
      <w:b/>
    </w:rPr>
  </w:style>
  <w:style w:type="paragraph" w:customStyle="1" w:styleId="Heading1TOC">
    <w:name w:val="Heading1 TOC"/>
    <w:basedOn w:val="Normal"/>
    <w:qFormat/>
    <w:rsid w:val="00C47BC2"/>
    <w:pPr>
      <w:spacing w:before="240" w:after="120"/>
    </w:pPr>
    <w:rPr>
      <w:rFonts w:ascii="Times New Roman" w:hAnsi="Times New Roman"/>
      <w:b/>
      <w:sz w:val="32"/>
    </w:rPr>
  </w:style>
  <w:style w:type="paragraph" w:customStyle="1" w:styleId="Heading2TOC">
    <w:name w:val="Heading2 TOC"/>
    <w:basedOn w:val="Normal"/>
    <w:qFormat/>
    <w:rsid w:val="00C47BC2"/>
    <w:pPr>
      <w:spacing w:before="240" w:after="60"/>
    </w:pPr>
    <w:rPr>
      <w:rFonts w:ascii="Times New Roman" w:hAnsi="Times New Roman"/>
      <w:b/>
      <w:sz w:val="28"/>
    </w:rPr>
  </w:style>
  <w:style w:type="character" w:customStyle="1" w:styleId="Underline">
    <w:name w:val="Underline"/>
    <w:basedOn w:val="DefaultParagraphFont"/>
    <w:qFormat/>
    <w:rsid w:val="00C47BC2"/>
    <w:rPr>
      <w:u w:val="single"/>
    </w:rPr>
  </w:style>
  <w:style w:type="paragraph" w:styleId="BalloonText">
    <w:name w:val="Balloon Text"/>
    <w:basedOn w:val="Normal"/>
    <w:link w:val="BalloonTextChar"/>
    <w:rsid w:val="00C47BC2"/>
    <w:rPr>
      <w:rFonts w:ascii="Tahoma" w:hAnsi="Tahoma" w:cs="Tahoma"/>
      <w:sz w:val="16"/>
      <w:szCs w:val="16"/>
    </w:rPr>
  </w:style>
  <w:style w:type="character" w:customStyle="1" w:styleId="BalloonTextChar">
    <w:name w:val="Balloon Text Char"/>
    <w:basedOn w:val="DefaultParagraphFont"/>
    <w:link w:val="BalloonText"/>
    <w:rsid w:val="00C47B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7BC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47B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7BC2"/>
    <w:rPr>
      <w:b/>
      <w:color w:val="660033"/>
      <w:spacing w:val="0"/>
    </w:rPr>
  </w:style>
  <w:style w:type="paragraph" w:customStyle="1" w:styleId="Nameditemlist">
    <w:name w:val="Named item list"/>
    <w:basedOn w:val="BodyText"/>
    <w:qFormat/>
    <w:rsid w:val="00C47BC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1141</Words>
  <Characters>7390</Characters>
  <Application>Microsoft Office Word</Application>
  <DocSecurity>0</DocSecurity>
  <Lines>282</Lines>
  <Paragraphs>121</Paragraphs>
  <ScaleCrop>false</ScaleCrop>
  <Company>Author-it Software Corporation Ltd.</Company>
  <LinksUpToDate>false</LinksUpToDate>
  <CharactersWithSpaces>8466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ICTNPL4150A Apply knowledge of regulation and legislation for the telecommunications industry</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2012-10-05T15:55:00Z</dcterms:created>
  <dcterms:modified xsi:type="dcterms:W3CDTF">2012-10-05T15:55:00Z</dcterms:modified>
</cp:coreProperties>
</file>