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915" w:rsidP="00AD4915">
      <w:pPr>
        <w:pStyle w:val="Title"/>
      </w:pPr>
      <w:bookmarkStart w:id="0" w:name="_GoBack"/>
      <w:bookmarkEnd w:id="0"/>
      <w:r>
        <w:fldChar w:fldCharType="begin"/>
      </w:r>
      <w:r>
        <w:instrText xml:space="preserve"> TITLE   \* MERGEFORMAT </w:instrText>
      </w:r>
      <w:r>
        <w:fldChar w:fldCharType="separate"/>
      </w:r>
      <w:r>
        <w:t>ICTNPL4114A Produce planning specifications for end to end service delivery</w:t>
      </w:r>
      <w:r>
        <w:fldChar w:fldCharType="end"/>
      </w:r>
    </w:p>
    <w:p w:rsidR="00AD4915" w:rsidP="00AD4915">
      <w:pPr>
        <w:pStyle w:val="Version"/>
        <w:sectPr w:rsidSect="00343C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CE0" w:rsidP="00343CE0">
      <w:pPr>
        <w:pStyle w:val="SuperHeading"/>
      </w:pPr>
      <w:r w:rsidRPr="00343CE0">
        <w:t>ICTNPL4114A Produce planning specifications for end to end service delivery</w:t>
      </w:r>
    </w:p>
    <w:p w:rsidR="00000000" w:rsidRPr="00343CE0" w:rsidP="00343CE0">
      <w:pPr>
        <w:pStyle w:val="Heading1"/>
      </w:pPr>
      <w:bookmarkStart w:id="1" w:name="O_271792"/>
      <w:bookmarkEnd w:id="1"/>
      <w:r w:rsidRPr="00343CE0">
        <w:t>Modification History</w:t>
      </w:r>
    </w:p>
    <w:p w:rsidR="00000000" w:rsidRPr="00343CE0" w:rsidP="00343CE0">
      <w:pPr>
        <w:pStyle w:val="BodyText"/>
      </w:pPr>
      <w:r w:rsidRPr="00343CE0">
        <w:t>Not Applicable</w:t>
      </w:r>
    </w:p>
    <w:p w:rsidR="00000000" w:rsidRPr="00343CE0" w:rsidP="00343CE0">
      <w:pPr>
        <w:pStyle w:val="AllowPageBreak"/>
      </w:pPr>
    </w:p>
    <w:p w:rsidR="00000000" w:rsidRPr="00343CE0" w:rsidP="00343CE0">
      <w:pPr>
        <w:pStyle w:val="Heading1"/>
      </w:pPr>
      <w:bookmarkStart w:id="2" w:name="O_208983"/>
      <w:bookmarkEnd w:id="2"/>
      <w:r w:rsidRPr="00343CE0">
        <w:t>Unit Descriptor</w:t>
      </w:r>
    </w:p>
    <w:tbl>
      <w:tblPr>
        <w:tblW w:w="0" w:type="auto"/>
        <w:tblLayout w:type="fixed"/>
        <w:tblCellMar>
          <w:left w:w="62" w:type="dxa"/>
          <w:right w:w="62" w:type="dxa"/>
        </w:tblCellMar>
        <w:tblLook w:val="0000"/>
      </w:tblPr>
      <w:tblGrid>
        <w:gridCol w:w="2668"/>
        <w:gridCol w:w="5854"/>
      </w:tblGrid>
      <w:tr w:rsidTr="00AD491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 xml:space="preserve">Unit </w:t>
            </w:r>
            <w:r w:rsidRPr="00343CE0">
              <w:rPr>
                <w:rStyle w:val="SpecialBold"/>
              </w:rPr>
              <w:t>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BodyText"/>
            </w:pPr>
            <w:r w:rsidRPr="00343CE0">
              <w:t>This unit describes the performance outcomes, skills and knowledge required to gather information on the types of end-to-end services and product delivery and evaluate their capability to meet present and future demands. It involves the evaluati</w:t>
            </w:r>
            <w:r w:rsidRPr="00343CE0">
              <w:t xml:space="preserve">on and comparison of competing technologies to produce planning specifications and advice to planning, sales and marketing sections. </w:t>
            </w:r>
          </w:p>
          <w:p w:rsidR="00000000" w:rsidRPr="00343CE0" w:rsidP="00343CE0">
            <w:pPr>
              <w:pStyle w:val="BodyText"/>
            </w:pPr>
          </w:p>
          <w:p w:rsidR="00000000" w:rsidRPr="00343CE0" w:rsidP="00343CE0">
            <w:pPr>
              <w:pStyle w:val="BodyText"/>
            </w:pPr>
            <w:r w:rsidRPr="00343CE0">
              <w:t>No licensing, legislative, regulatory or certification requirements apply to this unit at the time of endorsement but use</w:t>
            </w:r>
            <w:r w:rsidRPr="00343CE0">
              <w:t>rs should confirm requirements with the relevant federal, state or territory authority.</w:t>
            </w:r>
          </w:p>
        </w:tc>
      </w:tr>
    </w:tbl>
    <w:p w:rsidR="00AD4915" w:rsidP="00343CE0">
      <w:pPr>
        <w:pStyle w:val="BodyText"/>
      </w:pPr>
    </w:p>
    <w:p w:rsidR="00AD4915" w:rsidP="00343CE0">
      <w:pPr>
        <w:pStyle w:val="BodyText"/>
      </w:pPr>
    </w:p>
    <w:p w:rsidR="00000000" w:rsidRPr="00343CE0" w:rsidP="00343CE0">
      <w:pPr>
        <w:pStyle w:val="Heading1"/>
      </w:pPr>
      <w:bookmarkStart w:id="3" w:name="O_208987"/>
      <w:bookmarkEnd w:id="3"/>
      <w:r w:rsidRPr="00343CE0">
        <w:t>Application of the Unit</w:t>
      </w:r>
    </w:p>
    <w:tbl>
      <w:tblPr>
        <w:tblW w:w="0" w:type="auto"/>
        <w:tblLayout w:type="fixed"/>
        <w:tblCellMar>
          <w:left w:w="62" w:type="dxa"/>
          <w:right w:w="62" w:type="dxa"/>
        </w:tblCellMar>
        <w:tblLook w:val="0000"/>
      </w:tblPr>
      <w:tblGrid>
        <w:gridCol w:w="2747"/>
        <w:gridCol w:w="5775"/>
      </w:tblGrid>
      <w:tr w:rsidTr="00AD491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BodyText"/>
            </w:pPr>
            <w:r w:rsidRPr="00343CE0">
              <w:t>Technic</w:t>
            </w:r>
            <w:r w:rsidRPr="00343CE0">
              <w:t xml:space="preserve">al officers from private and public telecommunications network planning organisations apply the skills and knowledge in this unit to develop planning specifications for the implementation of end-to-end services delivery of access networks and products and </w:t>
            </w:r>
            <w:r w:rsidRPr="00343CE0">
              <w:t xml:space="preserve">make recommendations. </w:t>
            </w:r>
          </w:p>
          <w:p w:rsidR="00000000" w:rsidRPr="00343CE0" w:rsidP="00343CE0">
            <w:pPr>
              <w:pStyle w:val="BodyText"/>
            </w:pPr>
          </w:p>
          <w:p w:rsidR="00000000" w:rsidRPr="00343CE0" w:rsidP="00343CE0">
            <w:pPr>
              <w:pStyle w:val="BodyText"/>
            </w:pPr>
            <w:r w:rsidRPr="00343CE0">
              <w:t>They combine technical network skills with organisational skills to evaluate end-to-end services used by telecommunications service providers and asset owners primarily in the access network.</w:t>
            </w:r>
          </w:p>
          <w:p w:rsidR="00000000" w:rsidRPr="00343CE0" w:rsidP="00343CE0">
            <w:pPr>
              <w:pStyle w:val="BodyText"/>
            </w:pPr>
          </w:p>
          <w:p w:rsidR="00000000" w:rsidRPr="00343CE0" w:rsidP="00343CE0">
            <w:pPr>
              <w:pStyle w:val="BodyText"/>
            </w:pPr>
            <w:r w:rsidRPr="00343CE0">
              <w:t>Technical officers may be responsible f</w:t>
            </w:r>
            <w:r w:rsidRPr="00343CE0">
              <w:t>or small projects or parts of larger projects, and for the operational and engineering of the telecommunications network in general.</w:t>
            </w:r>
          </w:p>
        </w:tc>
      </w:tr>
    </w:tbl>
    <w:p w:rsidR="00AD4915" w:rsidP="00343CE0">
      <w:pPr>
        <w:pStyle w:val="BodyText"/>
      </w:pPr>
    </w:p>
    <w:p w:rsidR="00AD4915" w:rsidP="00343CE0">
      <w:pPr>
        <w:pStyle w:val="BodyText"/>
      </w:pPr>
    </w:p>
    <w:p w:rsidR="00000000" w:rsidRPr="00343CE0" w:rsidP="00343CE0">
      <w:pPr>
        <w:pStyle w:val="Heading1"/>
      </w:pPr>
      <w:bookmarkStart w:id="4" w:name="O_280052"/>
      <w:bookmarkEnd w:id="4"/>
      <w:r w:rsidRPr="00343CE0">
        <w:t>Licensing/Regulatory Information</w:t>
      </w:r>
    </w:p>
    <w:p w:rsidR="00000000" w:rsidRPr="00343CE0" w:rsidP="00343CE0">
      <w:pPr>
        <w:pStyle w:val="BodyText"/>
      </w:pPr>
      <w:r w:rsidRPr="00343CE0">
        <w:t>Refer to Unit Descriptor</w:t>
      </w:r>
    </w:p>
    <w:p w:rsidR="00000000" w:rsidRPr="00343CE0" w:rsidP="00343CE0">
      <w:pPr>
        <w:pStyle w:val="AllowPageBreak"/>
      </w:pPr>
    </w:p>
    <w:p w:rsidR="00000000" w:rsidRPr="00343CE0" w:rsidP="00343CE0">
      <w:pPr>
        <w:pStyle w:val="Heading1"/>
      </w:pPr>
      <w:bookmarkStart w:id="5" w:name="O_208985"/>
      <w:bookmarkEnd w:id="5"/>
      <w:r w:rsidRPr="00343CE0">
        <w:t>Pre-Requisites</w:t>
      </w:r>
    </w:p>
    <w:tbl>
      <w:tblPr>
        <w:tblW w:w="0" w:type="auto"/>
        <w:tblLayout w:type="fixed"/>
        <w:tblCellMar>
          <w:left w:w="62" w:type="dxa"/>
          <w:right w:w="62" w:type="dxa"/>
        </w:tblCellMar>
        <w:tblLook w:val="0000"/>
      </w:tblPr>
      <w:tblGrid>
        <w:gridCol w:w="2775"/>
        <w:gridCol w:w="1295"/>
        <w:gridCol w:w="4452"/>
      </w:tblGrid>
      <w:tr w:rsidTr="00AD491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p>
        </w:tc>
      </w:tr>
      <w:tr w:rsidTr="00AD491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p>
        </w:tc>
      </w:tr>
      <w:tr w:rsidTr="00AD491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BodyText"/>
            </w:pPr>
          </w:p>
        </w:tc>
      </w:tr>
    </w:tbl>
    <w:p w:rsidR="00AD4915" w:rsidP="00343CE0">
      <w:pPr>
        <w:pStyle w:val="BodyText"/>
      </w:pPr>
    </w:p>
    <w:p w:rsidR="00AD4915" w:rsidP="00343CE0">
      <w:pPr>
        <w:pStyle w:val="BodyText"/>
      </w:pPr>
    </w:p>
    <w:p w:rsidR="00000000" w:rsidRPr="00343CE0" w:rsidP="00343CE0">
      <w:pPr>
        <w:pStyle w:val="Heading1"/>
      </w:pPr>
      <w:bookmarkStart w:id="6" w:name="O_208984"/>
      <w:bookmarkEnd w:id="6"/>
      <w:r w:rsidRPr="00343CE0">
        <w:t>Employability Skills Information</w:t>
      </w:r>
    </w:p>
    <w:tbl>
      <w:tblPr>
        <w:tblW w:w="0" w:type="auto"/>
        <w:tblLayout w:type="fixed"/>
        <w:tblCellMar>
          <w:left w:w="62" w:type="dxa"/>
          <w:right w:w="62" w:type="dxa"/>
        </w:tblCellMar>
        <w:tblLook w:val="0000"/>
      </w:tblPr>
      <w:tblGrid>
        <w:gridCol w:w="2802"/>
        <w:gridCol w:w="5720"/>
      </w:tblGrid>
      <w:tr w:rsidTr="00AD491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BodyText"/>
            </w:pPr>
            <w:r w:rsidRPr="00343CE0">
              <w:t>This unit contains employability skills.</w:t>
            </w:r>
          </w:p>
        </w:tc>
      </w:tr>
    </w:tbl>
    <w:p w:rsidR="00AD4915" w:rsidP="00343CE0">
      <w:pPr>
        <w:pStyle w:val="BodyText"/>
      </w:pPr>
    </w:p>
    <w:p w:rsidR="00AD4915" w:rsidP="00343CE0">
      <w:pPr>
        <w:pStyle w:val="BodyText"/>
      </w:pPr>
    </w:p>
    <w:p w:rsidR="00000000" w:rsidRPr="00343CE0" w:rsidP="00343CE0">
      <w:pPr>
        <w:pStyle w:val="Heading1"/>
      </w:pPr>
      <w:bookmarkStart w:id="7" w:name="O_289838"/>
      <w:bookmarkEnd w:id="7"/>
      <w:r w:rsidRPr="00343CE0">
        <w:t>Elements and Performance Criteria Pre-Content</w:t>
      </w:r>
    </w:p>
    <w:tbl>
      <w:tblPr>
        <w:tblW w:w="0" w:type="auto"/>
        <w:tblLayout w:type="fixed"/>
        <w:tblCellMar>
          <w:left w:w="62" w:type="dxa"/>
          <w:right w:w="62" w:type="dxa"/>
        </w:tblCellMar>
        <w:tblLook w:val="0000"/>
      </w:tblPr>
      <w:tblGrid>
        <w:gridCol w:w="2552"/>
        <w:gridCol w:w="5970"/>
      </w:tblGrid>
      <w:tr w:rsidTr="00AD491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BodyText"/>
            </w:pPr>
            <w:r w:rsidRPr="00343CE0">
              <w:t>Performance criteria describe the performance needed to demonstrate achievement of the element. Where bold italicised text is used, further information is detailed in the required skills and</w:t>
            </w:r>
            <w:r w:rsidRPr="00343CE0">
              <w:t xml:space="preserve"> knowledge section and the range statement. Assessment of performance is to be consistent with the evidence guide.</w:t>
            </w:r>
          </w:p>
        </w:tc>
      </w:tr>
    </w:tbl>
    <w:p w:rsidR="00000000" w:rsidRPr="00343CE0" w:rsidP="00343CE0">
      <w:pPr>
        <w:pStyle w:val="BodyText"/>
      </w:pPr>
    </w:p>
    <w:p w:rsidR="00000000" w:rsidRPr="00343CE0" w:rsidP="00343CE0">
      <w:pPr>
        <w:pStyle w:val="AllowPageBreak"/>
      </w:pPr>
    </w:p>
    <w:p w:rsidR="00000000" w:rsidRPr="00343CE0" w:rsidP="00343CE0">
      <w:pPr>
        <w:pStyle w:val="Heading1"/>
      </w:pPr>
      <w:bookmarkStart w:id="8" w:name="O_236505"/>
      <w:bookmarkEnd w:id="8"/>
      <w:r w:rsidRPr="00343CE0">
        <w:t>Elements and Performance Criteria</w:t>
      </w:r>
    </w:p>
    <w:tbl>
      <w:tblPr>
        <w:tblW w:w="0" w:type="auto"/>
        <w:tblLayout w:type="fixed"/>
        <w:tblCellMar>
          <w:left w:w="62" w:type="dxa"/>
          <w:right w:w="62" w:type="dxa"/>
        </w:tblCellMar>
        <w:tblLook w:val="0000"/>
      </w:tblPr>
      <w:tblGrid>
        <w:gridCol w:w="2552"/>
        <w:gridCol w:w="5970"/>
      </w:tblGrid>
      <w:tr w:rsidTr="00AD4915">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BodyText"/>
            </w:pPr>
            <w:r w:rsidRPr="00343CE0">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PERFORMANCE CRITERIA</w:t>
            </w:r>
          </w:p>
        </w:tc>
      </w:tr>
      <w:tr w:rsidTr="00AD491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List"/>
              <w:rPr>
                <w:lang w:val="en-NZ"/>
              </w:rPr>
            </w:pPr>
            <w:r w:rsidRPr="00343CE0">
              <w:t>1.</w:t>
            </w:r>
            <w:r w:rsidRPr="00343CE0">
              <w:tab/>
              <w:t>Scope the project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List2"/>
            </w:pPr>
            <w:r w:rsidRPr="00343CE0">
              <w:t>1.1.</w:t>
            </w:r>
            <w:r w:rsidRPr="00343CE0">
              <w:tab/>
            </w:r>
            <w:r w:rsidRPr="00343CE0">
              <w:t xml:space="preserve">Prepare for given work according to site specific safety requirements and enterprise occupational health and safety (OHS) processes and procedures </w:t>
            </w:r>
          </w:p>
          <w:p w:rsidR="00000000" w:rsidRPr="00343CE0" w:rsidP="00343CE0">
            <w:pPr>
              <w:pStyle w:val="List2"/>
            </w:pPr>
            <w:r w:rsidRPr="00343CE0">
              <w:t>1.2.</w:t>
            </w:r>
            <w:r w:rsidRPr="00343CE0">
              <w:tab/>
              <w:t xml:space="preserve">Determine the types of currently deployed </w:t>
            </w:r>
            <w:r w:rsidRPr="00343CE0">
              <w:rPr>
                <w:rStyle w:val="BoldandItalics"/>
              </w:rPr>
              <w:t>end</w:t>
            </w:r>
            <w:r w:rsidRPr="00343CE0">
              <w:t>-</w:t>
            </w:r>
            <w:r w:rsidRPr="00343CE0">
              <w:rPr>
                <w:rStyle w:val="BoldandItalics"/>
              </w:rPr>
              <w:t>to</w:t>
            </w:r>
            <w:r w:rsidRPr="00343CE0">
              <w:t>-</w:t>
            </w:r>
            <w:r w:rsidRPr="00343CE0">
              <w:rPr>
                <w:rStyle w:val="BoldandItalics"/>
              </w:rPr>
              <w:t>end service delivery networks</w:t>
            </w:r>
            <w:r w:rsidRPr="00343CE0">
              <w:t xml:space="preserve"> by accessing and using </w:t>
            </w:r>
            <w:r w:rsidRPr="00343CE0">
              <w:rPr>
                <w:rStyle w:val="BoldandItalics"/>
              </w:rPr>
              <w:t>n</w:t>
            </w:r>
            <w:r w:rsidRPr="00343CE0">
              <w:rPr>
                <w:rStyle w:val="BoldandItalics"/>
              </w:rPr>
              <w:t>etwork information sources</w:t>
            </w:r>
          </w:p>
          <w:p w:rsidR="00000000" w:rsidP="00343CE0">
            <w:pPr>
              <w:pStyle w:val="List2"/>
              <w:rPr>
                <w:lang w:val="en-NZ"/>
              </w:rPr>
            </w:pPr>
            <w:r w:rsidRPr="00343CE0">
              <w:t>1.3.</w:t>
            </w:r>
            <w:r w:rsidRPr="00343CE0">
              <w:tab/>
              <w:t>Produce a brief on how end-to-end service delivery network elements relate to the larger network and their impact on the work</w:t>
            </w:r>
          </w:p>
        </w:tc>
      </w:tr>
      <w:tr w:rsidTr="00AD491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List"/>
              <w:rPr>
                <w:lang w:val="en-NZ"/>
              </w:rPr>
            </w:pPr>
            <w:r w:rsidRPr="00343CE0">
              <w:t>2.</w:t>
            </w:r>
            <w:r w:rsidRPr="00343CE0">
              <w:tab/>
              <w:t xml:space="preserve">Assess the capacity and capability of a specific </w:t>
            </w:r>
            <w:r w:rsidRPr="00343CE0">
              <w:t>end-to-end service delivery project and a building facility project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List2"/>
            </w:pPr>
            <w:r w:rsidRPr="00343CE0">
              <w:t>2.1.</w:t>
            </w:r>
            <w:r w:rsidRPr="00343CE0">
              <w:tab/>
              <w:t xml:space="preserve">Determine the nature, quantity, architecture and condition of existing end-to-end service delivery </w:t>
            </w:r>
            <w:r w:rsidRPr="00343CE0">
              <w:rPr>
                <w:rStyle w:val="BoldandItalics"/>
              </w:rPr>
              <w:t>network elements</w:t>
            </w:r>
            <w:r w:rsidRPr="00343CE0">
              <w:t xml:space="preserve"> and </w:t>
            </w:r>
            <w:r w:rsidRPr="00343CE0">
              <w:rPr>
                <w:rStyle w:val="BoldandItalics"/>
              </w:rPr>
              <w:t>attributes</w:t>
            </w:r>
            <w:r w:rsidRPr="00343CE0">
              <w:t xml:space="preserve"> that contribute to determining planning specificatio</w:t>
            </w:r>
            <w:r w:rsidRPr="00343CE0">
              <w:t>ns</w:t>
            </w:r>
          </w:p>
          <w:p w:rsidR="00000000" w:rsidRPr="00343CE0" w:rsidP="00343CE0">
            <w:pPr>
              <w:pStyle w:val="List2"/>
            </w:pPr>
            <w:r w:rsidRPr="00343CE0">
              <w:t>2.2.</w:t>
            </w:r>
            <w:r w:rsidRPr="00343CE0">
              <w:tab/>
              <w:t>Assess the capacity and capability limitations of an existing end-to-end service delivery network project by accessing network information sources and conducting site visits</w:t>
            </w:r>
          </w:p>
          <w:p w:rsidR="00000000" w:rsidP="00343CE0">
            <w:pPr>
              <w:pStyle w:val="List2"/>
              <w:rPr>
                <w:lang w:val="en-NZ"/>
              </w:rPr>
            </w:pPr>
            <w:r w:rsidRPr="00343CE0">
              <w:t>2.3.</w:t>
            </w:r>
            <w:r w:rsidRPr="00343CE0">
              <w:tab/>
              <w:t xml:space="preserve">Assess the capacity and capability </w:t>
            </w:r>
            <w:r w:rsidRPr="00343CE0">
              <w:rPr>
                <w:rStyle w:val="BoldandItalics"/>
              </w:rPr>
              <w:t>limitations of a building facility</w:t>
            </w:r>
            <w:r w:rsidRPr="00343CE0">
              <w:t xml:space="preserve"> project that contribute to determining planning specifications</w:t>
            </w:r>
          </w:p>
        </w:tc>
      </w:tr>
      <w:tr w:rsidTr="00AD491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List"/>
              <w:rPr>
                <w:lang w:val="en-NZ"/>
              </w:rPr>
            </w:pPr>
            <w:r w:rsidRPr="00343CE0">
              <w:t>3.</w:t>
            </w:r>
            <w:r w:rsidRPr="00343CE0">
              <w:tab/>
              <w:t>Assess the capacity and capability of product and service delivery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List2"/>
            </w:pPr>
            <w:r w:rsidRPr="00343CE0">
              <w:t>3.1.</w:t>
            </w:r>
            <w:r w:rsidRPr="00343CE0">
              <w:tab/>
              <w:t xml:space="preserve">Determine the types of currently deployed </w:t>
            </w:r>
            <w:r w:rsidRPr="00343CE0">
              <w:rPr>
                <w:rStyle w:val="BoldandItalics"/>
              </w:rPr>
              <w:t>products and services</w:t>
            </w:r>
            <w:r w:rsidRPr="00343CE0">
              <w:t xml:space="preserve"> by accessing sales and marketing information databas</w:t>
            </w:r>
            <w:r w:rsidRPr="00343CE0">
              <w:t>e</w:t>
            </w:r>
          </w:p>
          <w:p w:rsidR="00000000" w:rsidRPr="00343CE0" w:rsidP="00343CE0">
            <w:pPr>
              <w:pStyle w:val="List2"/>
            </w:pPr>
            <w:r w:rsidRPr="00343CE0">
              <w:t>3.2.</w:t>
            </w:r>
            <w:r w:rsidRPr="00343CE0">
              <w:tab/>
              <w:t>Produce a brief evaluating the capability and technology of current product and services to meet demands and their relationship to the larger network</w:t>
            </w:r>
          </w:p>
          <w:p w:rsidR="00000000" w:rsidP="00343CE0">
            <w:pPr>
              <w:pStyle w:val="List2"/>
              <w:rPr>
                <w:lang w:val="en-NZ"/>
              </w:rPr>
            </w:pPr>
            <w:r w:rsidRPr="00343CE0">
              <w:t>3.3.</w:t>
            </w:r>
            <w:r w:rsidRPr="00343CE0">
              <w:tab/>
              <w:t xml:space="preserve">Evaluate the </w:t>
            </w:r>
            <w:r w:rsidRPr="00343CE0">
              <w:rPr>
                <w:rStyle w:val="BoldandItalics"/>
              </w:rPr>
              <w:t>emerging technologies</w:t>
            </w:r>
            <w:r w:rsidRPr="00343CE0">
              <w:t xml:space="preserve"> that contribute to determining planning specifications for </w:t>
            </w:r>
            <w:r w:rsidRPr="00343CE0">
              <w:t xml:space="preserve">demands of future products and services </w:t>
            </w:r>
          </w:p>
        </w:tc>
      </w:tr>
      <w:tr w:rsidTr="00AD4915">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List"/>
              <w:rPr>
                <w:lang w:val="en-NZ"/>
              </w:rPr>
            </w:pPr>
            <w:r w:rsidRPr="00343CE0">
              <w:t>4.</w:t>
            </w:r>
            <w:r w:rsidRPr="00343CE0">
              <w:tab/>
              <w:t>Produce planning briefs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List2"/>
            </w:pPr>
            <w:r w:rsidRPr="00343CE0">
              <w:t>4.1.</w:t>
            </w:r>
            <w:r w:rsidRPr="00343CE0">
              <w:tab/>
              <w:t xml:space="preserve">Produce a brief on the planning specifications of an end-to-end service delivery network and a building facility project for planning section to determine current and future network </w:t>
            </w:r>
            <w:r w:rsidRPr="00343CE0">
              <w:t>demands</w:t>
            </w:r>
          </w:p>
          <w:p w:rsidR="00000000" w:rsidRPr="00343CE0" w:rsidP="00343CE0">
            <w:pPr>
              <w:pStyle w:val="List2"/>
            </w:pPr>
            <w:r w:rsidRPr="00343CE0">
              <w:t>4.2.</w:t>
            </w:r>
            <w:r w:rsidRPr="00343CE0">
              <w:tab/>
              <w:t>Produce a brief on products and services planning requirements for sales and marketing to determine provisioning of future demands</w:t>
            </w:r>
          </w:p>
        </w:tc>
      </w:tr>
    </w:tbl>
    <w:p w:rsidR="00AD4915" w:rsidP="00343CE0">
      <w:pPr>
        <w:pStyle w:val="BodyText"/>
      </w:pPr>
    </w:p>
    <w:p w:rsidR="00AD4915" w:rsidP="00343CE0">
      <w:pPr>
        <w:pStyle w:val="BodyText"/>
      </w:pPr>
    </w:p>
    <w:p w:rsidR="00000000" w:rsidRPr="00343CE0" w:rsidP="00343CE0">
      <w:pPr>
        <w:pStyle w:val="Heading1"/>
      </w:pPr>
      <w:bookmarkStart w:id="9" w:name="O_260455"/>
      <w:bookmarkEnd w:id="9"/>
      <w:r w:rsidRPr="00343CE0">
        <w:t>Required Skills and Knowledge</w:t>
      </w:r>
    </w:p>
    <w:tbl>
      <w:tblPr>
        <w:tblW w:w="0" w:type="auto"/>
        <w:tblLayout w:type="fixed"/>
        <w:tblCellMar>
          <w:left w:w="62" w:type="dxa"/>
          <w:right w:w="62" w:type="dxa"/>
        </w:tblCellMar>
        <w:tblLook w:val="0000"/>
      </w:tblPr>
      <w:tblGrid>
        <w:gridCol w:w="8522"/>
      </w:tblGrid>
      <w:tr w:rsidTr="00AD491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REQUIRED SKILLS AND KNOWLEDGE</w:t>
            </w:r>
          </w:p>
        </w:tc>
      </w:tr>
      <w:tr w:rsidTr="00AD491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t>This section describes the skills and knowledge required for this unit.</w:t>
            </w:r>
          </w:p>
        </w:tc>
      </w:tr>
      <w:tr w:rsidTr="00AD49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Required skills</w:t>
            </w:r>
          </w:p>
        </w:tc>
      </w:tr>
      <w:tr w:rsidTr="00AD49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ListBullet"/>
            </w:pPr>
            <w:r w:rsidRPr="00343CE0">
              <w:t>communication skills to liaise with internal and external personnel on technical and operational matters</w:t>
            </w:r>
          </w:p>
          <w:p w:rsidR="00000000" w:rsidRPr="00343CE0" w:rsidP="00343CE0">
            <w:pPr>
              <w:pStyle w:val="ListBullet"/>
            </w:pPr>
            <w:r w:rsidRPr="00343CE0">
              <w:t xml:space="preserve">literacy skills to interpret technical documentation and write briefs in required formats </w:t>
            </w:r>
          </w:p>
          <w:p w:rsidR="00000000" w:rsidRPr="00343CE0" w:rsidP="00343CE0">
            <w:pPr>
              <w:pStyle w:val="ListBullet"/>
            </w:pPr>
            <w:r w:rsidRPr="00343CE0">
              <w:t>numeracy skills to compare technical data on various network technologies</w:t>
            </w:r>
          </w:p>
          <w:p w:rsidR="00000000" w:rsidRPr="00343CE0" w:rsidP="00343CE0">
            <w:pPr>
              <w:pStyle w:val="ListBullet"/>
            </w:pPr>
            <w:r w:rsidRPr="00343CE0">
              <w:t>planning and organisational skills to plan, prioritise and monitor own work</w:t>
            </w:r>
          </w:p>
          <w:p w:rsidR="00000000" w:rsidRPr="00343CE0" w:rsidP="00343CE0">
            <w:pPr>
              <w:pStyle w:val="ListBullet"/>
            </w:pPr>
            <w:r w:rsidRPr="00343CE0">
              <w:t>research skills</w:t>
            </w:r>
            <w:r w:rsidRPr="00343CE0">
              <w:t xml:space="preserve"> to interrogate databases and investigate different equipment requirements</w:t>
            </w:r>
          </w:p>
          <w:p w:rsidR="00000000" w:rsidP="00343CE0">
            <w:pPr>
              <w:pStyle w:val="ListBullet"/>
              <w:rPr>
                <w:lang w:val="en-NZ"/>
              </w:rPr>
            </w:pPr>
            <w:r w:rsidRPr="00343CE0">
              <w:t>technical skills to select and describe appropriate end-to-end services models</w:t>
            </w:r>
          </w:p>
        </w:tc>
      </w:tr>
      <w:tr w:rsidTr="00AD49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Required knowledge</w:t>
            </w:r>
          </w:p>
        </w:tc>
      </w:tr>
      <w:tr w:rsidTr="00AD49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ListBullet"/>
            </w:pPr>
            <w:r w:rsidRPr="00343CE0">
              <w:t>emerging technologies, trends and products that are available overseas and will b</w:t>
            </w:r>
            <w:r w:rsidRPr="00343CE0">
              <w:t>e in demand in the Australian market</w:t>
            </w:r>
          </w:p>
          <w:p w:rsidR="00000000" w:rsidRPr="00343CE0" w:rsidP="00343CE0">
            <w:pPr>
              <w:pStyle w:val="ListBullet"/>
            </w:pPr>
            <w:r w:rsidRPr="00343CE0">
              <w:t>information required to prepare and review the limits of:</w:t>
            </w:r>
          </w:p>
          <w:p w:rsidR="00000000" w:rsidRPr="00343CE0" w:rsidP="00343CE0">
            <w:pPr>
              <w:pStyle w:val="ListBullet2"/>
            </w:pPr>
            <w:r w:rsidRPr="00343CE0">
              <w:t>broadband networks</w:t>
            </w:r>
          </w:p>
          <w:p w:rsidR="00000000" w:rsidRPr="00343CE0" w:rsidP="00343CE0">
            <w:pPr>
              <w:pStyle w:val="ListBullet2"/>
            </w:pPr>
            <w:r w:rsidRPr="00343CE0">
              <w:t>data networks</w:t>
            </w:r>
          </w:p>
          <w:p w:rsidR="00000000" w:rsidRPr="00343CE0" w:rsidP="00343CE0">
            <w:pPr>
              <w:pStyle w:val="ListBullet2"/>
            </w:pPr>
            <w:r w:rsidRPr="00343CE0">
              <w:t>facilities and environmental issues</w:t>
            </w:r>
          </w:p>
          <w:p w:rsidR="00000000" w:rsidRPr="00343CE0" w:rsidP="00343CE0">
            <w:pPr>
              <w:pStyle w:val="ListBullet2"/>
            </w:pPr>
            <w:r w:rsidRPr="00343CE0">
              <w:t>fixed access transmission network</w:t>
            </w:r>
          </w:p>
          <w:p w:rsidR="00000000" w:rsidRPr="00343CE0" w:rsidP="00343CE0">
            <w:pPr>
              <w:pStyle w:val="ListBullet2"/>
            </w:pPr>
            <w:r w:rsidRPr="00343CE0">
              <w:t>media and content</w:t>
            </w:r>
          </w:p>
          <w:p w:rsidR="00000000" w:rsidRPr="00343CE0" w:rsidP="00343CE0">
            <w:pPr>
              <w:pStyle w:val="ListBullet2"/>
            </w:pPr>
            <w:r w:rsidRPr="00343CE0">
              <w:t>regional and metropolitan network</w:t>
            </w:r>
          </w:p>
          <w:p w:rsidR="00000000" w:rsidRPr="00343CE0" w:rsidP="00343CE0">
            <w:pPr>
              <w:pStyle w:val="ListBullet2"/>
            </w:pPr>
            <w:r w:rsidRPr="00343CE0">
              <w:t>voice networks</w:t>
            </w:r>
          </w:p>
          <w:p w:rsidR="00000000" w:rsidRPr="00343CE0" w:rsidP="00343CE0">
            <w:pPr>
              <w:pStyle w:val="ListBullet2"/>
            </w:pPr>
            <w:r w:rsidRPr="00343CE0">
              <w:t>wireless network</w:t>
            </w:r>
          </w:p>
          <w:p w:rsidR="00000000" w:rsidRPr="00343CE0" w:rsidP="00343CE0">
            <w:pPr>
              <w:pStyle w:val="ListBullet"/>
            </w:pPr>
            <w:r w:rsidRPr="00343CE0">
              <w:t>overview knowledge of:</w:t>
            </w:r>
          </w:p>
          <w:p w:rsidR="00000000" w:rsidRPr="00343CE0" w:rsidP="00343CE0">
            <w:pPr>
              <w:pStyle w:val="ListBullet2"/>
            </w:pPr>
            <w:r w:rsidRPr="00343CE0">
              <w:t xml:space="preserve">basic network design including routing and redundancy </w:t>
            </w:r>
          </w:p>
          <w:p w:rsidR="00000000" w:rsidRPr="00343CE0" w:rsidP="00343CE0">
            <w:pPr>
              <w:pStyle w:val="ListBullet2"/>
            </w:pPr>
            <w:r w:rsidRPr="00343CE0">
              <w:t>levels of reliability performance standards applicable to specific equipment deployment needs</w:t>
            </w:r>
          </w:p>
          <w:p w:rsidR="00000000" w:rsidRPr="00343CE0" w:rsidP="00343CE0">
            <w:pPr>
              <w:pStyle w:val="ListBullet2"/>
            </w:pPr>
            <w:r w:rsidRPr="00343CE0">
              <w:t>standards and regulations</w:t>
            </w:r>
          </w:p>
          <w:p w:rsidR="00000000" w:rsidRPr="00343CE0" w:rsidP="00343CE0">
            <w:pPr>
              <w:pStyle w:val="ListBullet"/>
            </w:pPr>
            <w:r w:rsidRPr="00343CE0">
              <w:t>specific knowledge on the</w:t>
            </w:r>
            <w:r w:rsidRPr="00343CE0">
              <w:t xml:space="preserve"> distribution structure of networks including:</w:t>
            </w:r>
          </w:p>
          <w:p w:rsidR="00000000" w:rsidRPr="00343CE0" w:rsidP="00343CE0">
            <w:pPr>
              <w:pStyle w:val="ListBullet2"/>
            </w:pPr>
            <w:r w:rsidRPr="00343CE0">
              <w:t xml:space="preserve">access </w:t>
            </w:r>
          </w:p>
          <w:p w:rsidR="00000000" w:rsidRPr="00343CE0" w:rsidP="00343CE0">
            <w:pPr>
              <w:pStyle w:val="ListBullet2"/>
            </w:pPr>
            <w:r w:rsidRPr="00343CE0">
              <w:t>backbone</w:t>
            </w:r>
          </w:p>
          <w:p w:rsidR="00000000" w:rsidRPr="00343CE0" w:rsidP="00343CE0">
            <w:pPr>
              <w:pStyle w:val="ListBullet2"/>
            </w:pPr>
            <w:r w:rsidRPr="00343CE0">
              <w:t>edge</w:t>
            </w:r>
          </w:p>
          <w:p w:rsidR="00000000" w:rsidRPr="00343CE0" w:rsidP="00343CE0">
            <w:pPr>
              <w:pStyle w:val="ListBullet"/>
            </w:pPr>
            <w:r w:rsidRPr="00343CE0">
              <w:t>up to date knowledge of current equipment and product types to meet future service obligations</w:t>
            </w:r>
          </w:p>
        </w:tc>
      </w:tr>
    </w:tbl>
    <w:p w:rsidR="00AD4915" w:rsidP="00343CE0">
      <w:pPr>
        <w:pStyle w:val="BodyText"/>
      </w:pPr>
    </w:p>
    <w:p w:rsidR="00AD4915" w:rsidP="00343CE0">
      <w:pPr>
        <w:pStyle w:val="BodyText"/>
      </w:pPr>
    </w:p>
    <w:p w:rsidR="00000000" w:rsidRPr="00343CE0" w:rsidP="00343CE0">
      <w:pPr>
        <w:pStyle w:val="AllowPageBreak"/>
      </w:pPr>
    </w:p>
    <w:p w:rsidR="00000000" w:rsidRPr="00343CE0" w:rsidP="00343CE0">
      <w:pPr>
        <w:pStyle w:val="Heading1"/>
      </w:pPr>
      <w:bookmarkStart w:id="10" w:name="O_244489"/>
      <w:bookmarkEnd w:id="10"/>
      <w:r w:rsidRPr="00343CE0">
        <w:t>Evidence Guide</w:t>
      </w:r>
    </w:p>
    <w:tbl>
      <w:tblPr>
        <w:tblW w:w="9570" w:type="dxa"/>
        <w:tblLayout w:type="fixed"/>
        <w:tblCellMar>
          <w:left w:w="62" w:type="dxa"/>
          <w:right w:w="62" w:type="dxa"/>
        </w:tblCellMar>
        <w:tblLook w:val="0000"/>
      </w:tblPr>
      <w:tblGrid>
        <w:gridCol w:w="3908"/>
        <w:gridCol w:w="5662"/>
      </w:tblGrid>
      <w:tr w:rsidTr="00AD491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EVIDENCE GUIDE</w:t>
            </w:r>
          </w:p>
        </w:tc>
      </w:tr>
      <w:tr w:rsidTr="00AD491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t>The evidence guide provides advice on assessment and must be read in conjunction with the performance criteria, required skills and knowledge, range statement and the Assessment Guidelines for the Training Package.</w:t>
            </w:r>
          </w:p>
        </w:tc>
      </w:tr>
      <w:tr w:rsidTr="00AD49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p>
        </w:tc>
      </w:tr>
      <w:tr w:rsidTr="00AD49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Critical aspec</w:t>
            </w:r>
            <w:r w:rsidRPr="00343CE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BodyText"/>
            </w:pPr>
            <w:r w:rsidRPr="00343CE0">
              <w:t>Evidence of the ability to:</w:t>
            </w:r>
          </w:p>
          <w:p w:rsidR="00000000" w:rsidRPr="00343CE0" w:rsidP="00343CE0">
            <w:pPr>
              <w:pStyle w:val="ListBullet"/>
            </w:pPr>
            <w:r w:rsidRPr="00343CE0">
              <w:t>access network information databases to determine the types of end-to-end services and products</w:t>
            </w:r>
          </w:p>
          <w:p w:rsidR="00000000" w:rsidRPr="00343CE0" w:rsidP="00343CE0">
            <w:pPr>
              <w:pStyle w:val="ListBullet"/>
            </w:pPr>
            <w:r w:rsidRPr="00343CE0">
              <w:t>conduct site evaluation assessment</w:t>
            </w:r>
          </w:p>
          <w:p w:rsidR="00000000" w:rsidRPr="00343CE0" w:rsidP="00343CE0">
            <w:pPr>
              <w:pStyle w:val="ListBullet"/>
            </w:pPr>
            <w:r w:rsidRPr="00343CE0">
              <w:t>evaluate the capacity and capability of end-to-end services to meet current and future demands</w:t>
            </w:r>
          </w:p>
          <w:p w:rsidR="00000000" w:rsidRPr="00343CE0" w:rsidP="00343CE0">
            <w:pPr>
              <w:pStyle w:val="ListBullet"/>
            </w:pPr>
            <w:r w:rsidRPr="00343CE0">
              <w:t>assess the limitations of current end-to-end services and produce specifications to meet future demands</w:t>
            </w:r>
          </w:p>
          <w:p w:rsidR="00000000" w:rsidRPr="00343CE0" w:rsidP="00343CE0">
            <w:pPr>
              <w:pStyle w:val="ListBullet"/>
            </w:pPr>
            <w:r w:rsidRPr="00343CE0">
              <w:t>assess the limitations of current building facility and s</w:t>
            </w:r>
            <w:r w:rsidRPr="00343CE0">
              <w:t>ervices and produce specifications to meet future demands</w:t>
            </w:r>
          </w:p>
          <w:p w:rsidR="00000000" w:rsidP="00343CE0">
            <w:pPr>
              <w:pStyle w:val="ListBullet"/>
              <w:rPr>
                <w:lang w:val="en-NZ"/>
              </w:rPr>
            </w:pPr>
            <w:r w:rsidRPr="00343CE0">
              <w:t>summarise and produce planning briefs to network, sales and marketing planning sections.</w:t>
            </w:r>
          </w:p>
        </w:tc>
      </w:tr>
      <w:tr w:rsidTr="00AD49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BodyText"/>
            </w:pPr>
            <w:r w:rsidRPr="00343CE0">
              <w:t>Assessment must ensure:</w:t>
            </w:r>
          </w:p>
          <w:p w:rsidR="00000000" w:rsidRPr="00343CE0" w:rsidP="00343CE0">
            <w:pPr>
              <w:pStyle w:val="ListBullet"/>
            </w:pPr>
            <w:r w:rsidRPr="00343CE0">
              <w:t>an access network planning area, wi</w:t>
            </w:r>
            <w:r w:rsidRPr="00343CE0">
              <w:t>th access to systems and deployment rules and standards</w:t>
            </w:r>
          </w:p>
          <w:p w:rsidR="00000000" w:rsidRPr="00343CE0" w:rsidP="00343CE0">
            <w:pPr>
              <w:pStyle w:val="ListBullet"/>
            </w:pPr>
            <w:r w:rsidRPr="00343CE0">
              <w:t>end-to-end services and products databases</w:t>
            </w:r>
          </w:p>
          <w:p w:rsidR="00000000" w:rsidP="00343CE0">
            <w:pPr>
              <w:pStyle w:val="ListBullet"/>
              <w:rPr>
                <w:lang w:val="en-NZ"/>
              </w:rPr>
            </w:pPr>
            <w:r w:rsidRPr="00343CE0">
              <w:t>relevant workplace procedures, product and manufacturing specifications, codes, standards, manuals and reference materials.</w:t>
            </w:r>
          </w:p>
        </w:tc>
      </w:tr>
      <w:tr w:rsidTr="00AD49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BodyText"/>
            </w:pPr>
            <w:r w:rsidRPr="00343CE0">
              <w:t xml:space="preserve">A range of </w:t>
            </w:r>
            <w:r w:rsidRPr="00343CE0">
              <w:t>assessment methods should be used to assess practical skills and knowledge. The following examples are appropriate for this unit:</w:t>
            </w:r>
          </w:p>
          <w:p w:rsidR="00000000" w:rsidRPr="00343CE0" w:rsidP="00343CE0">
            <w:pPr>
              <w:pStyle w:val="ListBullet"/>
            </w:pPr>
            <w:r w:rsidRPr="00343CE0">
              <w:t>direct observation of the candidate evaluating competing technologies and producing planning specifications</w:t>
            </w:r>
          </w:p>
          <w:p w:rsidR="00000000" w:rsidRPr="00343CE0" w:rsidP="00343CE0">
            <w:pPr>
              <w:pStyle w:val="ListBullet"/>
            </w:pPr>
            <w:r w:rsidRPr="00343CE0">
              <w:t xml:space="preserve">review of reports </w:t>
            </w:r>
            <w:r w:rsidRPr="00343CE0">
              <w:t>completed by the candidate for differing project briefs</w:t>
            </w:r>
          </w:p>
          <w:p w:rsidR="00000000" w:rsidP="00343CE0">
            <w:pPr>
              <w:pStyle w:val="ListBullet"/>
              <w:rPr>
                <w:lang w:val="en-NZ"/>
              </w:rPr>
            </w:pPr>
            <w:r w:rsidRPr="00343CE0">
              <w:t>oral or written questioning to assess knowledge of the various access methods of providing an end-to-end service in terms of delivery.</w:t>
            </w:r>
          </w:p>
        </w:tc>
      </w:tr>
      <w:tr w:rsidTr="00AD49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BodyText"/>
            </w:pPr>
            <w:r w:rsidRPr="00343CE0">
              <w:t>Holistic assessment with other units relevant to the industry sector, workplace and job role is recommended, for example with:</w:t>
            </w:r>
          </w:p>
          <w:p w:rsidR="00000000" w:rsidRPr="00343CE0" w:rsidP="00343CE0">
            <w:pPr>
              <w:pStyle w:val="ListBullet"/>
            </w:pPr>
            <w:r w:rsidRPr="00343CE0">
              <w:t>ICTNPL4108A Plan the deployment of access network architectures.</w:t>
            </w:r>
          </w:p>
          <w:p w:rsidR="00000000" w:rsidRPr="00343CE0" w:rsidP="00343CE0">
            <w:pPr>
              <w:pStyle w:val="BodyText"/>
            </w:pPr>
          </w:p>
          <w:p w:rsidR="00000000" w:rsidRPr="00343CE0" w:rsidP="00343CE0">
            <w:pPr>
              <w:pStyle w:val="BodyText"/>
            </w:pPr>
            <w:r w:rsidRPr="00343CE0">
              <w:t xml:space="preserve">Aboriginal people and other people from a non-English speaking </w:t>
            </w:r>
            <w:r w:rsidRPr="00343CE0">
              <w:t>background may have second language issues.</w:t>
            </w:r>
          </w:p>
          <w:p w:rsidR="00000000" w:rsidRPr="00343CE0" w:rsidP="00343CE0">
            <w:pPr>
              <w:pStyle w:val="BodyText"/>
            </w:pPr>
          </w:p>
          <w:p w:rsidR="00000000" w:rsidRPr="00343CE0" w:rsidP="00343CE0">
            <w:pPr>
              <w:pStyle w:val="BodyText"/>
            </w:pPr>
            <w:r w:rsidRPr="00343CE0">
              <w:t xml:space="preserve">Access must be provided to appropriate learning and assessment support when required. </w:t>
            </w:r>
          </w:p>
          <w:p w:rsidR="00000000" w:rsidRPr="00343CE0" w:rsidP="00343CE0">
            <w:pPr>
              <w:pStyle w:val="BodyText"/>
            </w:pPr>
          </w:p>
          <w:p w:rsidR="00000000" w:rsidRPr="00343CE0" w:rsidP="00343CE0">
            <w:pPr>
              <w:pStyle w:val="BodyText"/>
            </w:pPr>
            <w:r w:rsidRPr="00343CE0">
              <w:t xml:space="preserve">Assessment processes and techniques must be culturally appropriate, and appropriate to the oral communication skill level, </w:t>
            </w:r>
            <w:r w:rsidRPr="00343CE0">
              <w:t>and language and literacy capacity of the candidate and the work being performed.</w:t>
            </w:r>
          </w:p>
          <w:p w:rsidR="00000000" w:rsidRPr="00343CE0" w:rsidP="00343CE0">
            <w:pPr>
              <w:pStyle w:val="BodyText"/>
            </w:pPr>
          </w:p>
          <w:p w:rsidR="00000000" w:rsidRPr="00343CE0" w:rsidP="00343CE0">
            <w:pPr>
              <w:pStyle w:val="BodyText"/>
            </w:pPr>
            <w:r w:rsidRPr="00343CE0">
              <w:t>In all cases where practical assessment is used it will be combined with targeted questioning to assess required knowledge. Questioning techniques should not require languag</w:t>
            </w:r>
            <w:r w:rsidRPr="00343CE0">
              <w:t xml:space="preserve">e, literacy and numeracy skills beyond those required in this unit of competency. </w:t>
            </w:r>
          </w:p>
          <w:p w:rsidR="00000000" w:rsidRPr="00343CE0" w:rsidP="00343CE0">
            <w:pPr>
              <w:pStyle w:val="BodyText"/>
            </w:pPr>
          </w:p>
          <w:p w:rsidR="00000000" w:rsidRPr="00343CE0" w:rsidP="00343CE0">
            <w:pPr>
              <w:pStyle w:val="BodyText"/>
            </w:pPr>
            <w:r w:rsidRPr="00343CE0">
              <w:t>Where applicable, physical resources should include equipment modified for people with special needs.</w:t>
            </w:r>
          </w:p>
        </w:tc>
      </w:tr>
    </w:tbl>
    <w:p w:rsidR="00AD4915" w:rsidP="00343CE0">
      <w:pPr>
        <w:pStyle w:val="BodyText"/>
      </w:pPr>
    </w:p>
    <w:p w:rsidR="00AD4915" w:rsidP="00343CE0">
      <w:pPr>
        <w:pStyle w:val="BodyText"/>
      </w:pPr>
    </w:p>
    <w:p w:rsidR="00000000" w:rsidRPr="00343CE0" w:rsidP="00343CE0">
      <w:pPr>
        <w:pStyle w:val="Heading1"/>
      </w:pPr>
      <w:bookmarkStart w:id="11" w:name="O_252472"/>
      <w:bookmarkEnd w:id="11"/>
      <w:r w:rsidRPr="00343CE0">
        <w:t>Range Statement</w:t>
      </w:r>
    </w:p>
    <w:tbl>
      <w:tblPr>
        <w:tblW w:w="0" w:type="auto"/>
        <w:tblLayout w:type="fixed"/>
        <w:tblCellMar>
          <w:left w:w="62" w:type="dxa"/>
          <w:right w:w="62" w:type="dxa"/>
        </w:tblCellMar>
        <w:tblLook w:val="0000"/>
      </w:tblPr>
      <w:tblGrid>
        <w:gridCol w:w="3386"/>
        <w:gridCol w:w="5136"/>
      </w:tblGrid>
      <w:tr w:rsidTr="00AD491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RANGE STATEMENT</w:t>
            </w:r>
          </w:p>
        </w:tc>
      </w:tr>
      <w:tr w:rsidTr="00AD49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t>The range statement relates to the unit of competency as a whole. It allows for different work environments and situations that may affect performance. Bold italicised wording, if used in the performance criteria, is detailed below. Essential operating con</w:t>
            </w:r>
            <w:r w:rsidRPr="00343CE0">
              <w:t>ditions that may be present with training and assessment (depending on the work situation, needs of the candidate, accessibility of the item, and local industry and regional contexts) may also be included.</w:t>
            </w:r>
          </w:p>
        </w:tc>
      </w:tr>
      <w:tr w:rsidTr="00AD4915">
        <w:tblPrEx>
          <w:tblW w:w="0" w:type="auto"/>
          <w:tblLayout w:type="fixed"/>
          <w:tblCellMar>
            <w:left w:w="62" w:type="dxa"/>
            <w:right w:w="62" w:type="dxa"/>
          </w:tblCellMar>
          <w:tblLook w:val="0000"/>
        </w:tblPrEx>
        <w:tc>
          <w:tcPr>
            <w:tcW w:w="33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BoldandItalics"/>
              </w:rPr>
              <w:t>End</w:t>
            </w:r>
            <w:r w:rsidRPr="00343CE0">
              <w:t>-</w:t>
            </w:r>
            <w:r w:rsidRPr="00343CE0">
              <w:rPr>
                <w:rStyle w:val="BoldandItalics"/>
              </w:rPr>
              <w:t>to</w:t>
            </w:r>
            <w:r w:rsidRPr="00343CE0">
              <w:t>-</w:t>
            </w:r>
            <w:r w:rsidRPr="00343CE0">
              <w:rPr>
                <w:rStyle w:val="BoldandItalics"/>
              </w:rPr>
              <w:t>end service delivery</w:t>
            </w:r>
            <w:r w:rsidRPr="00343CE0">
              <w:t xml:space="preserve"> </w:t>
            </w:r>
            <w:r w:rsidRPr="00343CE0">
              <w:rPr>
                <w:rStyle w:val="BoldandItalics"/>
              </w:rPr>
              <w:t>networks</w:t>
            </w:r>
            <w:r w:rsidRPr="00343CE0">
              <w:t xml:space="preserve"> may include</w:t>
            </w:r>
            <w:r w:rsidRPr="00343CE0">
              <w:t>:</w:t>
            </w:r>
          </w:p>
        </w:tc>
        <w:tc>
          <w:tcPr>
            <w:tcW w:w="51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ListBullet"/>
            </w:pPr>
            <w:r w:rsidRPr="00343CE0">
              <w:t>fixed access network:</w:t>
            </w:r>
          </w:p>
          <w:p w:rsidR="00000000" w:rsidRPr="00343CE0" w:rsidP="00343CE0">
            <w:pPr>
              <w:pStyle w:val="ListBullet2"/>
            </w:pPr>
            <w:r w:rsidRPr="00343CE0">
              <w:t>copper :</w:t>
            </w:r>
          </w:p>
          <w:p w:rsidR="00000000" w:rsidRPr="00343CE0" w:rsidP="00343CE0">
            <w:pPr>
              <w:pStyle w:val="ListBullet3"/>
            </w:pPr>
            <w:r w:rsidRPr="00343CE0">
              <w:t>asymmetrical digital subscriber line (ADSL) and digital subscriber line (DSL)</w:t>
            </w:r>
          </w:p>
          <w:p w:rsidR="00000000" w:rsidRPr="00343CE0" w:rsidP="00343CE0">
            <w:pPr>
              <w:pStyle w:val="ListBullet3"/>
            </w:pPr>
            <w:r w:rsidRPr="00343CE0">
              <w:t>coaxial</w:t>
            </w:r>
          </w:p>
          <w:p w:rsidR="00000000" w:rsidRPr="00343CE0" w:rsidP="00343CE0">
            <w:pPr>
              <w:pStyle w:val="ListBullet3"/>
            </w:pPr>
            <w:r w:rsidRPr="00343CE0">
              <w:t>hybrid fibre coaxial (HFC)</w:t>
            </w:r>
          </w:p>
          <w:p w:rsidR="00000000" w:rsidRPr="00343CE0" w:rsidP="00343CE0">
            <w:pPr>
              <w:pStyle w:val="ListBullet3"/>
            </w:pPr>
            <w:r w:rsidRPr="00343CE0">
              <w:t>twisted pair</w:t>
            </w:r>
          </w:p>
          <w:p w:rsidR="00000000" w:rsidRPr="00343CE0" w:rsidP="00343CE0">
            <w:pPr>
              <w:pStyle w:val="ListBullet2"/>
            </w:pPr>
            <w:r w:rsidRPr="00343CE0">
              <w:t>optical:</w:t>
            </w:r>
          </w:p>
          <w:p w:rsidR="00000000" w:rsidRPr="00343CE0" w:rsidP="00343CE0">
            <w:pPr>
              <w:pStyle w:val="ListBullet3"/>
            </w:pPr>
            <w:r w:rsidRPr="00343CE0">
              <w:t>fibre to the node (FTTN)</w:t>
            </w:r>
          </w:p>
          <w:p w:rsidR="00000000" w:rsidRPr="00343CE0" w:rsidP="00343CE0">
            <w:pPr>
              <w:pStyle w:val="ListBullet3"/>
            </w:pPr>
            <w:r w:rsidRPr="00343CE0">
              <w:t>fibre to the premises (FTTP)</w:t>
            </w:r>
          </w:p>
          <w:p w:rsidR="00000000" w:rsidRPr="00343CE0" w:rsidP="00343CE0">
            <w:pPr>
              <w:pStyle w:val="ListBullet3"/>
            </w:pPr>
            <w:r w:rsidRPr="00343CE0">
              <w:t>HFC</w:t>
            </w:r>
          </w:p>
          <w:p w:rsidR="00000000" w:rsidRPr="00343CE0" w:rsidP="00343CE0">
            <w:pPr>
              <w:pStyle w:val="ListBullet"/>
            </w:pPr>
            <w:r w:rsidRPr="00343CE0">
              <w:t>internet protocol (IP) broadband data network:</w:t>
            </w:r>
          </w:p>
          <w:p w:rsidR="00000000" w:rsidRPr="00343CE0" w:rsidP="00343CE0">
            <w:pPr>
              <w:pStyle w:val="ListBullet2"/>
            </w:pPr>
            <w:r w:rsidRPr="00343CE0">
              <w:t>email</w:t>
            </w:r>
          </w:p>
          <w:p w:rsidR="00000000" w:rsidRPr="00343CE0" w:rsidP="00343CE0">
            <w:pPr>
              <w:pStyle w:val="ListBullet2"/>
            </w:pPr>
            <w:r w:rsidRPr="00343CE0">
              <w:t>local area network (LAN)</w:t>
            </w:r>
          </w:p>
          <w:p w:rsidR="00000000" w:rsidRPr="00343CE0" w:rsidP="00343CE0">
            <w:pPr>
              <w:pStyle w:val="ListBullet2"/>
            </w:pPr>
            <w:r w:rsidRPr="00343CE0">
              <w:t>multiprotocol label switching (MPLS)</w:t>
            </w:r>
          </w:p>
          <w:p w:rsidR="00000000" w:rsidRPr="00343CE0" w:rsidP="00343CE0">
            <w:pPr>
              <w:pStyle w:val="ListBullet2"/>
            </w:pPr>
            <w:r w:rsidRPr="00343CE0">
              <w:t>web</w:t>
            </w:r>
          </w:p>
          <w:p w:rsidR="00000000" w:rsidRPr="00343CE0" w:rsidP="00343CE0">
            <w:pPr>
              <w:pStyle w:val="ListBullet2"/>
            </w:pPr>
            <w:r w:rsidRPr="00343CE0">
              <w:t>wide area network (WAN)</w:t>
            </w:r>
          </w:p>
          <w:p w:rsidR="00000000" w:rsidRPr="00343CE0" w:rsidP="00343CE0">
            <w:pPr>
              <w:pStyle w:val="ListBullet"/>
            </w:pPr>
            <w:r w:rsidRPr="00343CE0">
              <w:t xml:space="preserve">Next Generation Networks: </w:t>
            </w:r>
          </w:p>
          <w:p w:rsidR="00000000" w:rsidRPr="00343CE0" w:rsidP="00343CE0">
            <w:pPr>
              <w:pStyle w:val="ListBullet2"/>
            </w:pPr>
            <w:r w:rsidRPr="00343CE0">
              <w:t>IP based systems using IPv6 addressing</w:t>
            </w:r>
          </w:p>
          <w:p w:rsidR="00000000" w:rsidRPr="00343CE0" w:rsidP="00343CE0">
            <w:pPr>
              <w:pStyle w:val="ListBullet2"/>
            </w:pPr>
            <w:r w:rsidRPr="00343CE0">
              <w:t>IP private branch exchange (IP PBX)</w:t>
            </w:r>
          </w:p>
          <w:p w:rsidR="00000000" w:rsidRPr="00343CE0" w:rsidP="00343CE0">
            <w:pPr>
              <w:pStyle w:val="ListBullet2"/>
            </w:pPr>
            <w:r w:rsidRPr="00343CE0">
              <w:t>IPTV</w:t>
            </w:r>
          </w:p>
          <w:p w:rsidR="00000000" w:rsidRPr="00343CE0" w:rsidP="00343CE0">
            <w:pPr>
              <w:pStyle w:val="ListBullet2"/>
            </w:pPr>
            <w:r w:rsidRPr="00343CE0">
              <w:t>mobile video</w:t>
            </w:r>
          </w:p>
          <w:p w:rsidR="00000000" w:rsidRPr="00343CE0" w:rsidP="00343CE0">
            <w:pPr>
              <w:pStyle w:val="ListBullet2"/>
            </w:pPr>
            <w:r w:rsidRPr="00343CE0">
              <w:t>multimedia</w:t>
            </w:r>
          </w:p>
          <w:p w:rsidR="00000000" w:rsidRPr="00343CE0" w:rsidP="00343CE0">
            <w:pPr>
              <w:pStyle w:val="ListBullet2"/>
            </w:pPr>
            <w:r w:rsidRPr="00343CE0">
              <w:t>voice over internet protocol (VoIP)</w:t>
            </w:r>
          </w:p>
          <w:p w:rsidR="00000000" w:rsidRPr="00343CE0" w:rsidP="00343CE0">
            <w:pPr>
              <w:pStyle w:val="ListBullet"/>
            </w:pPr>
            <w:r w:rsidRPr="00343CE0">
              <w:t>regional and metropolitan transport network:</w:t>
            </w:r>
          </w:p>
          <w:p w:rsidR="00000000" w:rsidRPr="00343CE0" w:rsidP="00343CE0">
            <w:pPr>
              <w:pStyle w:val="ListBullet2"/>
            </w:pPr>
            <w:r w:rsidRPr="00343CE0">
              <w:t>asynchronous transfer mode (ATM)</w:t>
            </w:r>
          </w:p>
          <w:p w:rsidR="00000000" w:rsidRPr="00343CE0" w:rsidP="00343CE0">
            <w:pPr>
              <w:pStyle w:val="ListBullet2"/>
            </w:pPr>
            <w:r w:rsidRPr="00343CE0">
              <w:t>dense wavelength division multiplexing (DWDM)</w:t>
            </w:r>
          </w:p>
          <w:p w:rsidR="00000000" w:rsidRPr="00343CE0" w:rsidP="00343CE0">
            <w:pPr>
              <w:pStyle w:val="ListBullet2"/>
            </w:pPr>
            <w:r w:rsidRPr="00343CE0">
              <w:t>MPLS</w:t>
            </w:r>
          </w:p>
          <w:p w:rsidR="00000000" w:rsidRPr="00343CE0" w:rsidP="00343CE0">
            <w:pPr>
              <w:pStyle w:val="ListBullet2"/>
            </w:pPr>
            <w:r w:rsidRPr="00343CE0">
              <w:t>synchronous digital hierarchy (SDH)</w:t>
            </w:r>
          </w:p>
          <w:p w:rsidR="00000000" w:rsidRPr="00343CE0" w:rsidP="00343CE0">
            <w:pPr>
              <w:pStyle w:val="ListBullet"/>
            </w:pPr>
            <w:r w:rsidRPr="00343CE0">
              <w:t>wireless access:</w:t>
            </w:r>
          </w:p>
          <w:p w:rsidR="00000000" w:rsidRPr="00343CE0" w:rsidP="00343CE0">
            <w:pPr>
              <w:pStyle w:val="ListBullet2"/>
            </w:pPr>
            <w:r w:rsidRPr="00343CE0">
              <w:t>Bluetooth</w:t>
            </w:r>
          </w:p>
          <w:p w:rsidR="00000000" w:rsidRPr="00343CE0" w:rsidP="00343CE0">
            <w:pPr>
              <w:pStyle w:val="ListBullet2"/>
            </w:pPr>
            <w:r w:rsidRPr="00343CE0">
              <w:t>cellular mobile:</w:t>
            </w:r>
          </w:p>
          <w:p w:rsidR="00000000" w:rsidRPr="00343CE0" w:rsidP="00343CE0">
            <w:pPr>
              <w:pStyle w:val="ListBullet3"/>
            </w:pPr>
            <w:r w:rsidRPr="00343CE0">
              <w:t>3G/4G</w:t>
            </w:r>
          </w:p>
          <w:p w:rsidR="00000000" w:rsidRPr="00343CE0" w:rsidP="00343CE0">
            <w:pPr>
              <w:pStyle w:val="ListBullet3"/>
            </w:pPr>
            <w:r w:rsidRPr="00343CE0">
              <w:t>code division multiple access (CDMA)</w:t>
            </w:r>
          </w:p>
          <w:p w:rsidR="00000000" w:rsidRPr="00343CE0" w:rsidP="00343CE0">
            <w:pPr>
              <w:pStyle w:val="ListBullet3"/>
            </w:pPr>
            <w:r w:rsidRPr="00343CE0">
              <w:t>global system for mobiles (GSM)</w:t>
            </w:r>
          </w:p>
          <w:p w:rsidR="00000000" w:rsidRPr="00343CE0" w:rsidP="00343CE0">
            <w:pPr>
              <w:pStyle w:val="ListBullet2"/>
            </w:pPr>
            <w:r w:rsidRPr="00343CE0">
              <w:t>microwave</w:t>
            </w:r>
          </w:p>
          <w:p w:rsidR="00000000" w:rsidRPr="00343CE0" w:rsidP="00343CE0">
            <w:pPr>
              <w:pStyle w:val="ListBullet2"/>
            </w:pPr>
            <w:r w:rsidRPr="00343CE0">
              <w:t>pager</w:t>
            </w:r>
          </w:p>
          <w:p w:rsidR="00000000" w:rsidRPr="00343CE0" w:rsidP="00343CE0">
            <w:pPr>
              <w:pStyle w:val="ListBullet2"/>
            </w:pPr>
            <w:r w:rsidRPr="00343CE0">
              <w:t>radio</w:t>
            </w:r>
          </w:p>
          <w:p w:rsidR="00000000" w:rsidRPr="00343CE0" w:rsidP="00343CE0">
            <w:pPr>
              <w:pStyle w:val="ListBullet2"/>
            </w:pPr>
            <w:r w:rsidRPr="00343CE0">
              <w:t>satellite</w:t>
            </w:r>
          </w:p>
          <w:p w:rsidR="00000000" w:rsidRPr="00343CE0" w:rsidP="00343CE0">
            <w:pPr>
              <w:pStyle w:val="ListBullet2"/>
            </w:pPr>
            <w:r w:rsidRPr="00343CE0">
              <w:t>WiFi (802.11)</w:t>
            </w:r>
          </w:p>
          <w:p w:rsidR="00000000" w:rsidRPr="00343CE0" w:rsidP="00343CE0">
            <w:pPr>
              <w:pStyle w:val="ListBullet2"/>
            </w:pPr>
            <w:r w:rsidRPr="00343CE0">
              <w:t>WiMAX (802.16)</w:t>
            </w:r>
          </w:p>
          <w:p w:rsidR="00000000" w:rsidRPr="00343CE0" w:rsidP="00343CE0">
            <w:pPr>
              <w:pStyle w:val="ListBullet2"/>
            </w:pPr>
            <w:r w:rsidRPr="00343CE0">
              <w:t xml:space="preserve">wireless local loop </w:t>
            </w:r>
          </w:p>
          <w:p w:rsidR="00000000" w:rsidP="00343CE0">
            <w:pPr>
              <w:pStyle w:val="ListBullet2"/>
              <w:rPr>
                <w:lang w:val="en-NZ"/>
              </w:rPr>
            </w:pPr>
            <w:r w:rsidRPr="00343CE0">
              <w:t>wide area networks (WLAN).</w:t>
            </w:r>
          </w:p>
        </w:tc>
      </w:tr>
      <w:tr w:rsidTr="00AD4915">
        <w:tblPrEx>
          <w:tblW w:w="0" w:type="auto"/>
          <w:tblLayout w:type="fixed"/>
          <w:tblCellMar>
            <w:left w:w="62" w:type="dxa"/>
            <w:right w:w="62" w:type="dxa"/>
          </w:tblCellMar>
          <w:tblLook w:val="0000"/>
        </w:tblPrEx>
        <w:tc>
          <w:tcPr>
            <w:tcW w:w="33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BoldandItalics"/>
              </w:rPr>
              <w:t>Network information sources</w:t>
            </w:r>
            <w:r w:rsidRPr="00343CE0">
              <w:t xml:space="preserve"> may include:</w:t>
            </w:r>
          </w:p>
        </w:tc>
        <w:tc>
          <w:tcPr>
            <w:tcW w:w="51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ListBullet"/>
            </w:pPr>
            <w:r w:rsidRPr="00343CE0">
              <w:t>network management databases for:</w:t>
            </w:r>
          </w:p>
          <w:p w:rsidR="00000000" w:rsidRPr="00343CE0" w:rsidP="00343CE0">
            <w:pPr>
              <w:pStyle w:val="ListBullet2"/>
            </w:pPr>
            <w:r w:rsidRPr="00343CE0">
              <w:t>capacity assessment data</w:t>
            </w:r>
          </w:p>
          <w:p w:rsidR="00000000" w:rsidRPr="00343CE0" w:rsidP="00343CE0">
            <w:pPr>
              <w:pStyle w:val="ListBullet2"/>
            </w:pPr>
            <w:r w:rsidRPr="00343CE0">
              <w:t>network performance data</w:t>
            </w:r>
          </w:p>
          <w:p w:rsidR="00000000" w:rsidRPr="00343CE0" w:rsidP="00343CE0">
            <w:pPr>
              <w:pStyle w:val="ListBullet2"/>
            </w:pPr>
            <w:r w:rsidRPr="00343CE0">
              <w:t>traffic dimensioning data</w:t>
            </w:r>
          </w:p>
          <w:p w:rsidR="00000000" w:rsidP="00343CE0">
            <w:pPr>
              <w:pStyle w:val="ListBullet"/>
              <w:rPr>
                <w:lang w:val="en-NZ"/>
              </w:rPr>
            </w:pPr>
            <w:r w:rsidRPr="00343CE0">
              <w:t>network management tools.</w:t>
            </w:r>
          </w:p>
        </w:tc>
      </w:tr>
      <w:tr w:rsidTr="00AD4915">
        <w:tblPrEx>
          <w:tblW w:w="0" w:type="auto"/>
          <w:tblLayout w:type="fixed"/>
          <w:tblCellMar>
            <w:left w:w="62" w:type="dxa"/>
            <w:right w:w="62" w:type="dxa"/>
          </w:tblCellMar>
          <w:tblLook w:val="0000"/>
        </w:tblPrEx>
        <w:tc>
          <w:tcPr>
            <w:tcW w:w="33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BoldandItalics"/>
              </w:rPr>
              <w:t>Network elements</w:t>
            </w:r>
            <w:r w:rsidRPr="00343CE0">
              <w:t xml:space="preserve"> may include:</w:t>
            </w:r>
          </w:p>
        </w:tc>
        <w:tc>
          <w:tcPr>
            <w:tcW w:w="51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ListBullet"/>
            </w:pPr>
            <w:r w:rsidRPr="00343CE0">
              <w:t>IP based:</w:t>
            </w:r>
          </w:p>
          <w:p w:rsidR="00000000" w:rsidRPr="00343CE0" w:rsidP="00343CE0">
            <w:pPr>
              <w:pStyle w:val="ListBullet2"/>
            </w:pPr>
            <w:r w:rsidRPr="00343CE0">
              <w:t>gateways</w:t>
            </w:r>
          </w:p>
          <w:p w:rsidR="00000000" w:rsidRPr="00343CE0" w:rsidP="00343CE0">
            <w:pPr>
              <w:pStyle w:val="ListBullet2"/>
            </w:pPr>
            <w:r w:rsidRPr="00343CE0">
              <w:t>layer 2 and layer 3 switches</w:t>
            </w:r>
          </w:p>
          <w:p w:rsidR="00000000" w:rsidRPr="00343CE0" w:rsidP="00343CE0">
            <w:pPr>
              <w:pStyle w:val="ListBullet2"/>
            </w:pPr>
            <w:r w:rsidRPr="00343CE0">
              <w:t>routers</w:t>
            </w:r>
          </w:p>
          <w:p w:rsidR="00000000" w:rsidRPr="00343CE0" w:rsidP="00343CE0">
            <w:pPr>
              <w:pStyle w:val="ListBullet"/>
            </w:pPr>
            <w:r w:rsidRPr="00343CE0">
              <w:t>optical devices:</w:t>
            </w:r>
          </w:p>
          <w:p w:rsidR="00000000" w:rsidRPr="00343CE0" w:rsidP="00343CE0">
            <w:pPr>
              <w:pStyle w:val="ListBullet2"/>
            </w:pPr>
            <w:r w:rsidRPr="00343CE0">
              <w:t>amplifiers</w:t>
            </w:r>
          </w:p>
          <w:p w:rsidR="00000000" w:rsidRPr="00343CE0" w:rsidP="00343CE0">
            <w:pPr>
              <w:pStyle w:val="ListBullet2"/>
            </w:pPr>
            <w:r w:rsidRPr="00343CE0">
              <w:t>multiplexers</w:t>
            </w:r>
          </w:p>
          <w:p w:rsidR="00000000" w:rsidRPr="00343CE0" w:rsidP="00343CE0">
            <w:pPr>
              <w:pStyle w:val="ListBullet2"/>
            </w:pPr>
            <w:r w:rsidRPr="00343CE0">
              <w:t>routers</w:t>
            </w:r>
          </w:p>
          <w:p w:rsidR="00000000" w:rsidRPr="00343CE0" w:rsidP="00343CE0">
            <w:pPr>
              <w:pStyle w:val="ListBullet2"/>
            </w:pPr>
            <w:r w:rsidRPr="00343CE0">
              <w:t>splitters</w:t>
            </w:r>
          </w:p>
          <w:p w:rsidR="00000000" w:rsidRPr="00343CE0" w:rsidP="00343CE0">
            <w:pPr>
              <w:pStyle w:val="ListBullet2"/>
            </w:pPr>
            <w:r w:rsidRPr="00343CE0">
              <w:t>switches</w:t>
            </w:r>
          </w:p>
          <w:p w:rsidR="00000000" w:rsidRPr="00343CE0" w:rsidP="00343CE0">
            <w:pPr>
              <w:pStyle w:val="ListBullet"/>
            </w:pPr>
            <w:r w:rsidRPr="00343CE0">
              <w:t>virtual equipment:</w:t>
            </w:r>
          </w:p>
          <w:p w:rsidR="00000000" w:rsidRPr="00343CE0" w:rsidP="00343CE0">
            <w:pPr>
              <w:pStyle w:val="ListBullet2"/>
            </w:pPr>
            <w:r w:rsidRPr="00343CE0">
              <w:t>networks</w:t>
            </w:r>
          </w:p>
          <w:p w:rsidR="00000000" w:rsidRPr="00343CE0" w:rsidP="00343CE0">
            <w:pPr>
              <w:pStyle w:val="ListBullet2"/>
            </w:pPr>
            <w:r w:rsidRPr="00343CE0">
              <w:t>PBX</w:t>
            </w:r>
          </w:p>
          <w:p w:rsidR="00000000" w:rsidRPr="00343CE0" w:rsidP="00343CE0">
            <w:pPr>
              <w:pStyle w:val="ListBullet2"/>
            </w:pPr>
            <w:r w:rsidRPr="00343CE0">
              <w:t xml:space="preserve">servers </w:t>
            </w:r>
          </w:p>
          <w:p w:rsidR="00000000" w:rsidP="00343CE0">
            <w:pPr>
              <w:pStyle w:val="ListBullet2"/>
              <w:rPr>
                <w:lang w:val="en-NZ"/>
              </w:rPr>
            </w:pPr>
            <w:r w:rsidRPr="00343CE0">
              <w:t>simulations.</w:t>
            </w:r>
          </w:p>
        </w:tc>
      </w:tr>
      <w:tr w:rsidTr="00AD4915">
        <w:tblPrEx>
          <w:tblW w:w="0" w:type="auto"/>
          <w:tblLayout w:type="fixed"/>
          <w:tblCellMar>
            <w:left w:w="62" w:type="dxa"/>
            <w:right w:w="62" w:type="dxa"/>
          </w:tblCellMar>
          <w:tblLook w:val="0000"/>
        </w:tblPrEx>
        <w:tc>
          <w:tcPr>
            <w:tcW w:w="33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BoldandItalics"/>
              </w:rPr>
              <w:t>Attributes</w:t>
            </w:r>
            <w:r w:rsidRPr="00343CE0">
              <w:t xml:space="preserve"> of network elements may include:</w:t>
            </w:r>
          </w:p>
        </w:tc>
        <w:tc>
          <w:tcPr>
            <w:tcW w:w="51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ListBullet"/>
            </w:pPr>
            <w:r w:rsidRPr="00343CE0">
              <w:t>accessibility</w:t>
            </w:r>
          </w:p>
          <w:p w:rsidR="00000000" w:rsidRPr="00343CE0" w:rsidP="00343CE0">
            <w:pPr>
              <w:pStyle w:val="ListBullet"/>
            </w:pPr>
            <w:r w:rsidRPr="00343CE0">
              <w:t>capability</w:t>
            </w:r>
          </w:p>
          <w:p w:rsidR="00000000" w:rsidRPr="00343CE0" w:rsidP="00343CE0">
            <w:pPr>
              <w:pStyle w:val="ListBullet"/>
            </w:pPr>
            <w:r w:rsidRPr="00343CE0">
              <w:t>capacity</w:t>
            </w:r>
          </w:p>
          <w:p w:rsidR="00000000" w:rsidRPr="00343CE0" w:rsidP="00343CE0">
            <w:pPr>
              <w:pStyle w:val="ListBullet"/>
            </w:pPr>
            <w:r w:rsidRPr="00343CE0">
              <w:t>compatibility</w:t>
            </w:r>
          </w:p>
          <w:p w:rsidR="00000000" w:rsidRPr="00343CE0" w:rsidP="00343CE0">
            <w:pPr>
              <w:pStyle w:val="ListBullet"/>
            </w:pPr>
            <w:r w:rsidRPr="00343CE0">
              <w:t>convergence</w:t>
            </w:r>
          </w:p>
          <w:p w:rsidR="00000000" w:rsidRPr="00343CE0" w:rsidP="00343CE0">
            <w:pPr>
              <w:pStyle w:val="ListBullet"/>
            </w:pPr>
            <w:r w:rsidRPr="00343CE0">
              <w:t>deployability</w:t>
            </w:r>
          </w:p>
          <w:p w:rsidR="00000000" w:rsidRPr="00343CE0" w:rsidP="00343CE0">
            <w:pPr>
              <w:pStyle w:val="ListBullet"/>
            </w:pPr>
            <w:r w:rsidRPr="00343CE0">
              <w:t>interoperability</w:t>
            </w:r>
          </w:p>
          <w:p w:rsidR="00000000" w:rsidRPr="00343CE0" w:rsidP="00343CE0">
            <w:pPr>
              <w:pStyle w:val="ListBullet"/>
            </w:pPr>
            <w:r w:rsidRPr="00343CE0">
              <w:t>longevity</w:t>
            </w:r>
          </w:p>
          <w:p w:rsidR="00000000" w:rsidRPr="00343CE0" w:rsidP="00343CE0">
            <w:pPr>
              <w:pStyle w:val="ListBullet"/>
            </w:pPr>
            <w:r w:rsidRPr="00343CE0">
              <w:t>reliability</w:t>
            </w:r>
          </w:p>
          <w:p w:rsidR="00000000" w:rsidRPr="00343CE0" w:rsidP="00343CE0">
            <w:pPr>
              <w:pStyle w:val="ListBullet"/>
            </w:pPr>
            <w:r w:rsidRPr="00343CE0">
              <w:t xml:space="preserve">return on investment </w:t>
            </w:r>
          </w:p>
          <w:p w:rsidR="00000000" w:rsidRPr="00343CE0" w:rsidP="00343CE0">
            <w:pPr>
              <w:pStyle w:val="ListBullet"/>
            </w:pPr>
            <w:r w:rsidRPr="00343CE0">
              <w:t>scalability</w:t>
            </w:r>
          </w:p>
          <w:p w:rsidR="00000000" w:rsidP="00343CE0">
            <w:pPr>
              <w:pStyle w:val="ListBullet"/>
              <w:rPr>
                <w:lang w:val="en-NZ"/>
              </w:rPr>
            </w:pPr>
            <w:r w:rsidRPr="00343CE0">
              <w:t>security.</w:t>
            </w:r>
          </w:p>
        </w:tc>
      </w:tr>
      <w:tr w:rsidTr="00AD4915">
        <w:tblPrEx>
          <w:tblW w:w="0" w:type="auto"/>
          <w:tblLayout w:type="fixed"/>
          <w:tblCellMar>
            <w:left w:w="62" w:type="dxa"/>
            <w:right w:w="62" w:type="dxa"/>
          </w:tblCellMar>
          <w:tblLook w:val="0000"/>
        </w:tblPrEx>
        <w:tc>
          <w:tcPr>
            <w:tcW w:w="33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BoldandItalics"/>
              </w:rPr>
              <w:t>Limitations of a building facility</w:t>
            </w:r>
            <w:r w:rsidRPr="00343CE0">
              <w:t xml:space="preserve"> may include:</w:t>
            </w:r>
          </w:p>
        </w:tc>
        <w:tc>
          <w:tcPr>
            <w:tcW w:w="51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ListBullet"/>
            </w:pPr>
            <w:r w:rsidRPr="00343CE0">
              <w:t>air conditioning loads</w:t>
            </w:r>
          </w:p>
          <w:p w:rsidR="00000000" w:rsidRPr="00343CE0" w:rsidP="00343CE0">
            <w:pPr>
              <w:pStyle w:val="ListBullet"/>
            </w:pPr>
            <w:r w:rsidRPr="00343CE0">
              <w:t>alarms and security</w:t>
            </w:r>
          </w:p>
          <w:p w:rsidR="00000000" w:rsidRPr="00343CE0" w:rsidP="00343CE0">
            <w:pPr>
              <w:pStyle w:val="ListBullet"/>
            </w:pPr>
            <w:r w:rsidRPr="00343CE0">
              <w:t>building monitoring and management system</w:t>
            </w:r>
          </w:p>
          <w:p w:rsidR="00000000" w:rsidRPr="00343CE0" w:rsidP="00343CE0">
            <w:pPr>
              <w:pStyle w:val="ListBullet"/>
            </w:pPr>
            <w:r w:rsidRPr="00343CE0">
              <w:t>equipment racking</w:t>
            </w:r>
          </w:p>
          <w:p w:rsidR="00000000" w:rsidRPr="00343CE0" w:rsidP="00343CE0">
            <w:pPr>
              <w:pStyle w:val="ListBullet"/>
            </w:pPr>
            <w:r w:rsidRPr="00343CE0">
              <w:t>fire protection</w:t>
            </w:r>
          </w:p>
          <w:p w:rsidR="00000000" w:rsidRPr="00343CE0" w:rsidP="00343CE0">
            <w:pPr>
              <w:pStyle w:val="ListBullet"/>
            </w:pPr>
            <w:r w:rsidRPr="00343CE0">
              <w:t>floor capacity</w:t>
            </w:r>
          </w:p>
          <w:p w:rsidR="00000000" w:rsidRPr="00343CE0" w:rsidP="00343CE0">
            <w:pPr>
              <w:pStyle w:val="ListBullet"/>
            </w:pPr>
            <w:r w:rsidRPr="00343CE0">
              <w:t>floor loading capability</w:t>
            </w:r>
          </w:p>
          <w:p w:rsidR="00000000" w:rsidRPr="00343CE0" w:rsidP="00343CE0">
            <w:pPr>
              <w:pStyle w:val="ListBullet"/>
            </w:pPr>
            <w:r w:rsidRPr="00343CE0">
              <w:t>port</w:t>
            </w:r>
            <w:r w:rsidRPr="00343CE0">
              <w:t xml:space="preserve"> capacity</w:t>
            </w:r>
          </w:p>
          <w:p w:rsidR="00000000" w:rsidRPr="00343CE0" w:rsidP="00343CE0">
            <w:pPr>
              <w:pStyle w:val="ListBullet"/>
            </w:pPr>
            <w:r w:rsidRPr="00343CE0">
              <w:t>power requirements:</w:t>
            </w:r>
          </w:p>
          <w:p w:rsidR="00000000" w:rsidRPr="00343CE0" w:rsidP="00343CE0">
            <w:pPr>
              <w:pStyle w:val="ListBullet2"/>
            </w:pPr>
            <w:r w:rsidRPr="00343CE0">
              <w:t>battery supply</w:t>
            </w:r>
          </w:p>
          <w:p w:rsidR="00000000" w:rsidRPr="00343CE0" w:rsidP="00343CE0">
            <w:pPr>
              <w:pStyle w:val="ListBullet2"/>
            </w:pPr>
            <w:r w:rsidRPr="00343CE0">
              <w:t>emergency power supply</w:t>
            </w:r>
          </w:p>
          <w:p w:rsidR="00000000" w:rsidRPr="00343CE0" w:rsidP="00343CE0">
            <w:pPr>
              <w:pStyle w:val="ListBullet2"/>
            </w:pPr>
            <w:r w:rsidRPr="00343CE0">
              <w:t>energy loads</w:t>
            </w:r>
          </w:p>
          <w:p w:rsidR="00000000" w:rsidP="00343CE0">
            <w:pPr>
              <w:pStyle w:val="ListBullet2"/>
              <w:rPr>
                <w:lang w:val="en-NZ"/>
              </w:rPr>
            </w:pPr>
            <w:r w:rsidRPr="00343CE0">
              <w:t>mains supply.</w:t>
            </w:r>
          </w:p>
        </w:tc>
      </w:tr>
      <w:tr w:rsidTr="00AD4915">
        <w:tblPrEx>
          <w:tblW w:w="0" w:type="auto"/>
          <w:tblLayout w:type="fixed"/>
          <w:tblCellMar>
            <w:left w:w="62" w:type="dxa"/>
            <w:right w:w="62" w:type="dxa"/>
          </w:tblCellMar>
          <w:tblLook w:val="0000"/>
        </w:tblPrEx>
        <w:tc>
          <w:tcPr>
            <w:tcW w:w="33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BoldandItalics"/>
              </w:rPr>
              <w:t>Products and services</w:t>
            </w:r>
            <w:r w:rsidRPr="00343CE0">
              <w:t xml:space="preserve"> may include:</w:t>
            </w:r>
          </w:p>
        </w:tc>
        <w:tc>
          <w:tcPr>
            <w:tcW w:w="51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ListBullet"/>
            </w:pPr>
            <w:r w:rsidRPr="00343CE0">
              <w:t>broadband products:</w:t>
            </w:r>
          </w:p>
          <w:p w:rsidR="00000000" w:rsidRPr="00343CE0" w:rsidP="00343CE0">
            <w:pPr>
              <w:pStyle w:val="ListBullet2"/>
            </w:pPr>
            <w:r w:rsidRPr="00343CE0">
              <w:t>ADSL</w:t>
            </w:r>
          </w:p>
          <w:p w:rsidR="00000000" w:rsidRPr="00343CE0" w:rsidP="00343CE0">
            <w:pPr>
              <w:pStyle w:val="ListBullet2"/>
            </w:pPr>
            <w:r w:rsidRPr="00343CE0">
              <w:t>cellular mobile data</w:t>
            </w:r>
          </w:p>
          <w:p w:rsidR="00000000" w:rsidRPr="00343CE0" w:rsidP="00343CE0">
            <w:pPr>
              <w:pStyle w:val="ListBullet2"/>
            </w:pPr>
            <w:r w:rsidRPr="00343CE0">
              <w:t>FTTP</w:t>
            </w:r>
          </w:p>
          <w:p w:rsidR="00000000" w:rsidRPr="00343CE0" w:rsidP="00343CE0">
            <w:pPr>
              <w:pStyle w:val="ListBullet2"/>
            </w:pPr>
            <w:r w:rsidRPr="00343CE0">
              <w:t>HFC cable</w:t>
            </w:r>
          </w:p>
          <w:p w:rsidR="00000000" w:rsidRPr="00343CE0" w:rsidP="00343CE0">
            <w:pPr>
              <w:pStyle w:val="ListBullet2"/>
            </w:pPr>
            <w:r w:rsidRPr="00343CE0">
              <w:t>VDSL</w:t>
            </w:r>
          </w:p>
          <w:p w:rsidR="00000000" w:rsidRPr="00343CE0" w:rsidP="00343CE0">
            <w:pPr>
              <w:pStyle w:val="ListBullet2"/>
            </w:pPr>
            <w:r w:rsidRPr="00343CE0">
              <w:t>WiFI</w:t>
            </w:r>
          </w:p>
          <w:p w:rsidR="00000000" w:rsidRPr="00343CE0" w:rsidP="00343CE0">
            <w:pPr>
              <w:pStyle w:val="ListBullet2"/>
            </w:pPr>
            <w:r w:rsidRPr="00343CE0">
              <w:t>WiMAX</w:t>
            </w:r>
          </w:p>
          <w:p w:rsidR="00000000" w:rsidRPr="00343CE0" w:rsidP="00343CE0">
            <w:pPr>
              <w:pStyle w:val="ListBullet2"/>
            </w:pPr>
            <w:r w:rsidRPr="00343CE0">
              <w:t>wireless data</w:t>
            </w:r>
          </w:p>
          <w:p w:rsidR="00000000" w:rsidRPr="00343CE0" w:rsidP="00343CE0">
            <w:pPr>
              <w:pStyle w:val="ListBullet"/>
            </w:pPr>
            <w:r w:rsidRPr="00343CE0">
              <w:t>media and content product:</w:t>
            </w:r>
          </w:p>
          <w:p w:rsidR="00000000" w:rsidRPr="00343CE0" w:rsidP="00343CE0">
            <w:pPr>
              <w:pStyle w:val="ListBullet2"/>
            </w:pPr>
            <w:r w:rsidRPr="00343CE0">
              <w:t>IPTV</w:t>
            </w:r>
          </w:p>
          <w:p w:rsidR="00000000" w:rsidRPr="00343CE0" w:rsidP="00343CE0">
            <w:pPr>
              <w:pStyle w:val="ListBullet2"/>
            </w:pPr>
            <w:r w:rsidRPr="00343CE0">
              <w:t xml:space="preserve">mobile video </w:t>
            </w:r>
          </w:p>
          <w:p w:rsidR="00000000" w:rsidRPr="00343CE0" w:rsidP="00343CE0">
            <w:pPr>
              <w:pStyle w:val="ListBullet2"/>
            </w:pPr>
            <w:r w:rsidRPr="00343CE0">
              <w:t>pay TV</w:t>
            </w:r>
          </w:p>
          <w:p w:rsidR="00000000" w:rsidRPr="00343CE0" w:rsidP="00343CE0">
            <w:pPr>
              <w:pStyle w:val="ListBullet2"/>
            </w:pPr>
            <w:r w:rsidRPr="00343CE0">
              <w:t>webhosting</w:t>
            </w:r>
          </w:p>
          <w:p w:rsidR="00000000" w:rsidRPr="00343CE0" w:rsidP="00343CE0">
            <w:pPr>
              <w:pStyle w:val="ListBullet"/>
            </w:pPr>
            <w:r w:rsidRPr="00343CE0">
              <w:t>voice products:</w:t>
            </w:r>
          </w:p>
          <w:p w:rsidR="00000000" w:rsidRPr="00343CE0" w:rsidP="00343CE0">
            <w:pPr>
              <w:pStyle w:val="ListBullet2"/>
            </w:pPr>
            <w:r w:rsidRPr="00343CE0">
              <w:t>public switched telephone network (PSTN)</w:t>
            </w:r>
          </w:p>
          <w:p w:rsidR="00000000" w:rsidRPr="00343CE0" w:rsidP="00343CE0">
            <w:pPr>
              <w:pStyle w:val="ListBullet2"/>
            </w:pPr>
            <w:r w:rsidRPr="00343CE0">
              <w:t>VoIP</w:t>
            </w:r>
          </w:p>
          <w:p w:rsidR="00000000" w:rsidP="00343CE0">
            <w:pPr>
              <w:pStyle w:val="ListBullet2"/>
              <w:rPr>
                <w:lang w:val="en-NZ"/>
              </w:rPr>
            </w:pPr>
            <w:r w:rsidRPr="00343CE0">
              <w:t>voice over broadband (VoBB).</w:t>
            </w:r>
          </w:p>
        </w:tc>
      </w:tr>
      <w:tr w:rsidTr="00AD4915">
        <w:tblPrEx>
          <w:tblW w:w="0" w:type="auto"/>
          <w:tblLayout w:type="fixed"/>
          <w:tblCellMar>
            <w:left w:w="62" w:type="dxa"/>
            <w:right w:w="62" w:type="dxa"/>
          </w:tblCellMar>
          <w:tblLook w:val="0000"/>
        </w:tblPrEx>
        <w:tc>
          <w:tcPr>
            <w:tcW w:w="33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BoldandItalics"/>
              </w:rPr>
              <w:t>Emerging technologies</w:t>
            </w:r>
            <w:r w:rsidRPr="00343CE0">
              <w:t xml:space="preserve"> may include:</w:t>
            </w:r>
          </w:p>
        </w:tc>
        <w:tc>
          <w:tcPr>
            <w:tcW w:w="51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ListBullet"/>
            </w:pPr>
            <w:r w:rsidRPr="00343CE0">
              <w:t>IPTV</w:t>
            </w:r>
          </w:p>
          <w:p w:rsidR="00000000" w:rsidRPr="00343CE0" w:rsidP="00343CE0">
            <w:pPr>
              <w:pStyle w:val="ListBullet"/>
            </w:pPr>
            <w:r w:rsidRPr="00343CE0">
              <w:t>IPv6 architectures</w:t>
            </w:r>
          </w:p>
          <w:p w:rsidR="00000000" w:rsidRPr="00343CE0" w:rsidP="00343CE0">
            <w:pPr>
              <w:pStyle w:val="ListBullet"/>
            </w:pPr>
            <w:r w:rsidRPr="00343CE0">
              <w:t>mesh networks</w:t>
            </w:r>
          </w:p>
          <w:p w:rsidR="00000000" w:rsidRPr="00343CE0" w:rsidP="00343CE0">
            <w:pPr>
              <w:pStyle w:val="ListBullet"/>
            </w:pPr>
            <w:r w:rsidRPr="00343CE0">
              <w:t>mobile video</w:t>
            </w:r>
          </w:p>
          <w:p w:rsidR="00000000" w:rsidRPr="00343CE0" w:rsidP="00343CE0">
            <w:pPr>
              <w:pStyle w:val="ListBullet"/>
            </w:pPr>
            <w:r w:rsidRPr="00343CE0">
              <w:t>NGN</w:t>
            </w:r>
          </w:p>
          <w:p w:rsidR="00000000" w:rsidRPr="00343CE0" w:rsidP="00343CE0">
            <w:pPr>
              <w:pStyle w:val="ListBullet"/>
            </w:pPr>
            <w:r w:rsidRPr="00343CE0">
              <w:t>WiFi enabled phones</w:t>
            </w:r>
          </w:p>
          <w:p w:rsidR="00000000" w:rsidRPr="00343CE0" w:rsidP="00343CE0">
            <w:pPr>
              <w:pStyle w:val="ListBullet"/>
            </w:pPr>
            <w:r w:rsidRPr="00343CE0">
              <w:t>WiMAX enabled phones.</w:t>
            </w:r>
          </w:p>
        </w:tc>
      </w:tr>
    </w:tbl>
    <w:p w:rsidR="00AD4915" w:rsidP="00343CE0">
      <w:pPr>
        <w:pStyle w:val="BodyText"/>
      </w:pPr>
    </w:p>
    <w:p w:rsidR="00AD4915" w:rsidP="00343CE0">
      <w:pPr>
        <w:pStyle w:val="BodyText"/>
      </w:pPr>
    </w:p>
    <w:p w:rsidR="00000000" w:rsidRPr="00343CE0" w:rsidP="00343CE0">
      <w:pPr>
        <w:pStyle w:val="Heading1"/>
      </w:pPr>
      <w:bookmarkStart w:id="12" w:name="O_208989"/>
      <w:bookmarkEnd w:id="12"/>
      <w:r w:rsidRPr="00343CE0">
        <w:t>Unit Sector(s)</w:t>
      </w:r>
    </w:p>
    <w:tbl>
      <w:tblPr>
        <w:tblW w:w="0" w:type="auto"/>
        <w:tblLayout w:type="fixed"/>
        <w:tblCellMar>
          <w:left w:w="62" w:type="dxa"/>
          <w:right w:w="62" w:type="dxa"/>
        </w:tblCellMar>
        <w:tblLook w:val="0000"/>
      </w:tblPr>
      <w:tblGrid>
        <w:gridCol w:w="2570"/>
        <w:gridCol w:w="5952"/>
      </w:tblGrid>
      <w:tr w:rsidTr="00AD491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BodyText"/>
            </w:pPr>
            <w:r w:rsidRPr="00343CE0">
              <w:t>Telecommunications</w:t>
            </w:r>
          </w:p>
        </w:tc>
      </w:tr>
    </w:tbl>
    <w:p w:rsidR="00AD4915" w:rsidP="00343CE0">
      <w:pPr>
        <w:pStyle w:val="BodyText"/>
      </w:pPr>
    </w:p>
    <w:p w:rsidR="00AD4915" w:rsidP="00343CE0">
      <w:pPr>
        <w:pStyle w:val="BodyText"/>
      </w:pPr>
    </w:p>
    <w:p w:rsidR="00000000" w:rsidRPr="00343CE0" w:rsidP="00343CE0">
      <w:pPr>
        <w:pStyle w:val="Heading1"/>
      </w:pPr>
      <w:bookmarkStart w:id="13" w:name="O_208986"/>
      <w:bookmarkEnd w:id="13"/>
      <w:r w:rsidRPr="00343CE0">
        <w:t>Co-requisite units</w:t>
      </w:r>
    </w:p>
    <w:tbl>
      <w:tblPr>
        <w:tblW w:w="0" w:type="auto"/>
        <w:tblLayout w:type="fixed"/>
        <w:tblCellMar>
          <w:left w:w="62" w:type="dxa"/>
          <w:right w:w="62" w:type="dxa"/>
        </w:tblCellMar>
        <w:tblLook w:val="0000"/>
      </w:tblPr>
      <w:tblGrid>
        <w:gridCol w:w="2641"/>
        <w:gridCol w:w="1322"/>
        <w:gridCol w:w="4559"/>
      </w:tblGrid>
      <w:tr w:rsidTr="00AD491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p>
        </w:tc>
      </w:tr>
      <w:tr w:rsidTr="00AD49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p>
        </w:tc>
      </w:tr>
      <w:tr w:rsidTr="00AD49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BodyText"/>
            </w:pPr>
          </w:p>
        </w:tc>
      </w:tr>
    </w:tbl>
    <w:p w:rsidR="00AD4915" w:rsidP="00343CE0">
      <w:pPr>
        <w:pStyle w:val="BodyText"/>
      </w:pPr>
    </w:p>
    <w:p w:rsidR="00AD4915" w:rsidP="00343CE0">
      <w:pPr>
        <w:pStyle w:val="BodyText"/>
      </w:pPr>
    </w:p>
    <w:p w:rsidR="00000000" w:rsidRPr="00343CE0" w:rsidP="00343CE0">
      <w:pPr>
        <w:pStyle w:val="Heading1"/>
      </w:pPr>
      <w:bookmarkStart w:id="14" w:name="O_208988"/>
      <w:bookmarkEnd w:id="14"/>
      <w:r w:rsidRPr="00343CE0">
        <w:t>Competency field</w:t>
      </w:r>
    </w:p>
    <w:tbl>
      <w:tblPr>
        <w:tblW w:w="0" w:type="auto"/>
        <w:tblLayout w:type="fixed"/>
        <w:tblCellMar>
          <w:left w:w="62" w:type="dxa"/>
          <w:right w:w="62" w:type="dxa"/>
        </w:tblCellMar>
        <w:tblLook w:val="0000"/>
      </w:tblPr>
      <w:tblGrid>
        <w:gridCol w:w="2777"/>
        <w:gridCol w:w="5745"/>
      </w:tblGrid>
      <w:tr w:rsidTr="00AD491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CE0">
            <w:pPr>
              <w:pStyle w:val="BodyText"/>
              <w:rPr>
                <w:lang w:val="en-NZ"/>
              </w:rPr>
            </w:pPr>
            <w:r w:rsidRPr="00343CE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CE0" w:rsidP="00343CE0">
            <w:pPr>
              <w:pStyle w:val="BodyText"/>
            </w:pPr>
            <w:r w:rsidRPr="00343CE0">
              <w:t>Network planning</w:t>
            </w:r>
          </w:p>
        </w:tc>
      </w:tr>
    </w:tbl>
    <w:p w:rsidR="00AD4915" w:rsidP="00343CE0">
      <w:pPr>
        <w:pStyle w:val="BodyText"/>
      </w:pPr>
    </w:p>
    <w:p w:rsidR="00AD4915" w:rsidP="00343CE0">
      <w:pPr>
        <w:pStyle w:val="BodyText"/>
      </w:pPr>
    </w:p>
    <w:p w:rsidR="00000000" w:rsidRPr="00343CE0" w:rsidP="00343CE0"/>
    <w:sectPr w:rsidSect="00343C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915" w:rsidP="00AD49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915" w:rsidP="00343C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D4915" w:rsidP="00343C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4915" w:rsidP="00343C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E0" w:rsidRPr="00AD4915" w:rsidP="00AD49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915" w:rsidRPr="002D2AF8" w:rsidP="00343CE0">
    <w:pPr>
      <w:pStyle w:val="Header"/>
      <w:framePr w:wrap="around"/>
    </w:pPr>
    <w:r>
      <w:fldChar w:fldCharType="begin"/>
    </w:r>
    <w:r>
      <w:instrText xml:space="preserve"> TITLE   \* MERGEFORMAT </w:instrText>
    </w:r>
    <w:r>
      <w:fldChar w:fldCharType="separate"/>
    </w:r>
    <w:r>
      <w:t>ICTNPL4114A Produce planning specifications for end to end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D4915" w:rsidP="00343C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3EEE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A42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58A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C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CE0"/>
    <w:pPr>
      <w:spacing w:before="360" w:after="60"/>
      <w:outlineLvl w:val="0"/>
    </w:pPr>
    <w:rPr>
      <w:sz w:val="32"/>
    </w:rPr>
  </w:style>
  <w:style w:type="paragraph" w:styleId="Heading2">
    <w:name w:val="heading 2"/>
    <w:basedOn w:val="HeadingBase"/>
    <w:next w:val="BodyText"/>
    <w:link w:val="Heading2Char"/>
    <w:qFormat/>
    <w:rsid w:val="00343CE0"/>
    <w:pPr>
      <w:keepLines/>
      <w:spacing w:before="240" w:after="120"/>
      <w:outlineLvl w:val="1"/>
    </w:pPr>
    <w:rPr>
      <w:sz w:val="28"/>
      <w:szCs w:val="40"/>
    </w:rPr>
  </w:style>
  <w:style w:type="paragraph" w:styleId="Heading3">
    <w:name w:val="heading 3"/>
    <w:basedOn w:val="HeadingBase"/>
    <w:next w:val="BodyText"/>
    <w:link w:val="Heading3Char"/>
    <w:qFormat/>
    <w:rsid w:val="00343CE0"/>
    <w:pPr>
      <w:spacing w:before="180" w:after="120"/>
      <w:outlineLvl w:val="2"/>
    </w:pPr>
    <w:rPr>
      <w:spacing w:val="-10"/>
      <w:kern w:val="32"/>
    </w:rPr>
  </w:style>
  <w:style w:type="paragraph" w:styleId="Heading4">
    <w:name w:val="heading 4"/>
    <w:basedOn w:val="HeadingBase"/>
    <w:next w:val="BodyText"/>
    <w:link w:val="Heading4Char"/>
    <w:qFormat/>
    <w:rsid w:val="00343CE0"/>
    <w:pPr>
      <w:spacing w:before="160" w:after="120"/>
      <w:outlineLvl w:val="3"/>
    </w:pPr>
    <w:rPr>
      <w:sz w:val="22"/>
    </w:rPr>
  </w:style>
  <w:style w:type="paragraph" w:styleId="Heading5">
    <w:name w:val="heading 5"/>
    <w:basedOn w:val="HeadingBase"/>
    <w:next w:val="Normal"/>
    <w:link w:val="Heading5Char"/>
    <w:qFormat/>
    <w:rsid w:val="00343CE0"/>
    <w:pPr>
      <w:spacing w:before="80"/>
      <w:outlineLvl w:val="4"/>
    </w:pPr>
    <w:rPr>
      <w:color w:val="918585"/>
      <w:sz w:val="20"/>
    </w:rPr>
  </w:style>
  <w:style w:type="paragraph" w:styleId="Heading6">
    <w:name w:val="heading 6"/>
    <w:basedOn w:val="HeadingBase"/>
    <w:next w:val="Normal"/>
    <w:link w:val="Heading6Char"/>
    <w:qFormat/>
    <w:rsid w:val="00343CE0"/>
    <w:pPr>
      <w:spacing w:before="60"/>
      <w:outlineLvl w:val="5"/>
    </w:pPr>
    <w:rPr>
      <w:color w:val="918585"/>
      <w:sz w:val="20"/>
    </w:rPr>
  </w:style>
  <w:style w:type="paragraph" w:styleId="Heading7">
    <w:name w:val="heading 7"/>
    <w:basedOn w:val="Normal"/>
    <w:next w:val="Normal"/>
    <w:link w:val="Heading7Char"/>
    <w:qFormat/>
    <w:rsid w:val="00343CE0"/>
    <w:pPr>
      <w:ind w:left="720"/>
      <w:outlineLvl w:val="6"/>
    </w:pPr>
    <w:rPr>
      <w:i/>
    </w:rPr>
  </w:style>
  <w:style w:type="paragraph" w:styleId="Heading8">
    <w:name w:val="heading 8"/>
    <w:basedOn w:val="Normal"/>
    <w:next w:val="Normal"/>
    <w:link w:val="Heading8Char"/>
    <w:qFormat/>
    <w:rsid w:val="00343CE0"/>
    <w:pPr>
      <w:ind w:left="720"/>
      <w:outlineLvl w:val="7"/>
    </w:pPr>
    <w:rPr>
      <w:i/>
    </w:rPr>
  </w:style>
  <w:style w:type="paragraph" w:styleId="Heading9">
    <w:name w:val="heading 9"/>
    <w:basedOn w:val="Normal"/>
    <w:next w:val="Normal"/>
    <w:link w:val="Heading9Char"/>
    <w:qFormat/>
    <w:rsid w:val="00343CE0"/>
    <w:pPr>
      <w:ind w:left="720"/>
      <w:outlineLvl w:val="8"/>
    </w:pPr>
    <w:rPr>
      <w:i/>
    </w:rPr>
  </w:style>
  <w:style w:type="character" w:default="1" w:styleId="DefaultParagraphFont">
    <w:name w:val="Default Paragraph Font"/>
    <w:uiPriority w:val="1"/>
    <w:unhideWhenUsed/>
    <w:rsid w:val="00343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CE0"/>
  </w:style>
  <w:style w:type="character" w:customStyle="1" w:styleId="Heading1Char">
    <w:name w:val="Heading 1 Char"/>
    <w:basedOn w:val="DefaultParagraphFont"/>
    <w:link w:val="Heading1"/>
    <w:rsid w:val="00343CE0"/>
    <w:rPr>
      <w:rFonts w:ascii="Times New Roman" w:eastAsia="Times New Roman" w:hAnsi="Times New Roman" w:cs="Times New Roman"/>
      <w:b/>
      <w:sz w:val="32"/>
      <w:szCs w:val="20"/>
      <w:lang w:eastAsia="en-US"/>
    </w:rPr>
  </w:style>
  <w:style w:type="paragraph" w:styleId="BodyText">
    <w:name w:val="Body Text"/>
    <w:basedOn w:val="Normal"/>
    <w:link w:val="BodyTextChar"/>
    <w:rsid w:val="00343C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3CE0"/>
    <w:rPr>
      <w:rFonts w:ascii="Times New Roman" w:eastAsia="Times New Roman" w:hAnsi="Times New Roman" w:cs="Times New Roman"/>
      <w:sz w:val="24"/>
      <w:lang w:eastAsia="en-US"/>
    </w:rPr>
  </w:style>
  <w:style w:type="paragraph" w:styleId="Footer">
    <w:name w:val="footer"/>
    <w:basedOn w:val="Normal"/>
    <w:link w:val="FooterChar"/>
    <w:rsid w:val="00343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CE0"/>
    <w:rPr>
      <w:rFonts w:ascii="Times New Roman" w:eastAsia="Times New Roman" w:hAnsi="Times New Roman" w:cs="Times New Roman"/>
      <w:sz w:val="16"/>
      <w:lang w:eastAsia="en-US"/>
    </w:rPr>
  </w:style>
  <w:style w:type="paragraph" w:styleId="List">
    <w:name w:val="List"/>
    <w:basedOn w:val="BodyText"/>
    <w:next w:val="BodyText"/>
    <w:rsid w:val="00343CE0"/>
    <w:pPr>
      <w:tabs>
        <w:tab w:val="left" w:pos="340"/>
      </w:tabs>
      <w:spacing w:before="60" w:after="60"/>
      <w:ind w:left="340" w:hanging="340"/>
    </w:pPr>
  </w:style>
  <w:style w:type="paragraph" w:styleId="ListBullet">
    <w:name w:val="List Bullet"/>
    <w:basedOn w:val="List"/>
    <w:rsid w:val="00343CE0"/>
    <w:pPr>
      <w:numPr>
        <w:numId w:val="14"/>
      </w:numPr>
      <w:tabs>
        <w:tab w:val="clear" w:pos="340"/>
      </w:tabs>
      <w:spacing w:before="40" w:after="40"/>
    </w:pPr>
  </w:style>
  <w:style w:type="character" w:customStyle="1" w:styleId="SpecialBold">
    <w:name w:val="Special Bold"/>
    <w:basedOn w:val="DefaultParagraphFont"/>
    <w:rsid w:val="00343CE0"/>
    <w:rPr>
      <w:b/>
      <w:spacing w:val="0"/>
    </w:rPr>
  </w:style>
  <w:style w:type="paragraph" w:styleId="ListBullet2">
    <w:name w:val="List Bullet 2"/>
    <w:basedOn w:val="List2"/>
    <w:rsid w:val="00343CE0"/>
    <w:pPr>
      <w:numPr>
        <w:numId w:val="15"/>
      </w:numPr>
      <w:tabs>
        <w:tab w:val="clear" w:pos="680"/>
      </w:tabs>
    </w:pPr>
  </w:style>
  <w:style w:type="paragraph" w:customStyle="1" w:styleId="SuperHeading">
    <w:name w:val="SuperHeading"/>
    <w:basedOn w:val="Normal"/>
    <w:rsid w:val="00343CE0"/>
    <w:pPr>
      <w:spacing w:before="240" w:after="120"/>
      <w:outlineLvl w:val="0"/>
    </w:pPr>
    <w:rPr>
      <w:rFonts w:ascii="Times New Roman" w:hAnsi="Times New Roman"/>
      <w:b/>
      <w:sz w:val="28"/>
    </w:rPr>
  </w:style>
  <w:style w:type="paragraph" w:customStyle="1" w:styleId="AllowPageBreak">
    <w:name w:val="AllowPageBreak"/>
    <w:rsid w:val="00343C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3CE0"/>
    <w:pPr>
      <w:tabs>
        <w:tab w:val="left" w:pos="680"/>
      </w:tabs>
      <w:spacing w:before="60" w:after="60"/>
      <w:ind w:left="680" w:hanging="340"/>
    </w:pPr>
  </w:style>
  <w:style w:type="paragraph" w:styleId="ListBullet3">
    <w:name w:val="List Bullet 3"/>
    <w:basedOn w:val="List3"/>
    <w:rsid w:val="00343CE0"/>
    <w:pPr>
      <w:numPr>
        <w:numId w:val="3"/>
      </w:numPr>
      <w:tabs>
        <w:tab w:val="clear" w:pos="1021"/>
      </w:tabs>
      <w:ind w:left="1037" w:hanging="357"/>
    </w:pPr>
  </w:style>
  <w:style w:type="character" w:customStyle="1" w:styleId="BoldandItalics">
    <w:name w:val="Bold and Italics"/>
    <w:qFormat/>
    <w:rsid w:val="00343CE0"/>
    <w:rPr>
      <w:b/>
      <w:i/>
      <w:u w:val="none"/>
    </w:rPr>
  </w:style>
  <w:style w:type="character" w:customStyle="1" w:styleId="Heading2Char">
    <w:name w:val="Heading 2 Char"/>
    <w:basedOn w:val="DefaultParagraphFont"/>
    <w:link w:val="Heading2"/>
    <w:rsid w:val="00343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C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C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CE0"/>
    <w:rPr>
      <w:rFonts w:ascii="Courier New" w:eastAsia="Times New Roman" w:hAnsi="Courier New" w:cs="Times New Roman"/>
      <w:i/>
      <w:szCs w:val="20"/>
      <w:lang w:eastAsia="en-US"/>
    </w:rPr>
  </w:style>
  <w:style w:type="paragraph" w:customStyle="1" w:styleId="HeadingBase">
    <w:name w:val="Heading Base"/>
    <w:rsid w:val="00343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CE0"/>
    <w:pPr>
      <w:tabs>
        <w:tab w:val="right" w:leader="dot" w:pos="9072"/>
      </w:tabs>
      <w:ind w:left="567"/>
    </w:pPr>
    <w:rPr>
      <w:szCs w:val="22"/>
    </w:rPr>
  </w:style>
  <w:style w:type="paragraph" w:customStyle="1" w:styleId="TOCBase">
    <w:name w:val="TOC Base"/>
    <w:rsid w:val="00343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CE0"/>
    <w:pPr>
      <w:tabs>
        <w:tab w:val="right" w:leader="dot" w:pos="9072"/>
      </w:tabs>
      <w:spacing w:before="40" w:after="40"/>
      <w:ind w:left="284"/>
    </w:pPr>
    <w:rPr>
      <w:rFonts w:ascii="Times New Roman" w:hAnsi="Times New Roman"/>
    </w:rPr>
  </w:style>
  <w:style w:type="paragraph" w:styleId="TOC1">
    <w:name w:val="toc 1"/>
    <w:basedOn w:val="TOCBase"/>
    <w:next w:val="Normal"/>
    <w:rsid w:val="00343C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3CE0"/>
    <w:pPr>
      <w:spacing w:before="5040"/>
      <w:jc w:val="center"/>
    </w:pPr>
    <w:rPr>
      <w:sz w:val="48"/>
      <w:szCs w:val="72"/>
      <w:lang w:val="en-US"/>
    </w:rPr>
  </w:style>
  <w:style w:type="character" w:customStyle="1" w:styleId="TitleChar">
    <w:name w:val="Title Char"/>
    <w:basedOn w:val="DefaultParagraphFont"/>
    <w:link w:val="Title"/>
    <w:rsid w:val="00343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CE0"/>
    <w:pPr>
      <w:tabs>
        <w:tab w:val="left" w:pos="3600"/>
        <w:tab w:val="left" w:pos="3958"/>
      </w:tabs>
    </w:pPr>
  </w:style>
  <w:style w:type="paragraph" w:customStyle="1" w:styleId="Note">
    <w:name w:val="Note"/>
    <w:basedOn w:val="BodyText"/>
    <w:rsid w:val="00343C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CE0"/>
    <w:pPr>
      <w:framePr w:wrap="auto" w:hAnchor="text" w:y="6049"/>
    </w:pPr>
    <w:rPr>
      <w:color w:val="000000"/>
      <w:sz w:val="40"/>
    </w:rPr>
  </w:style>
  <w:style w:type="paragraph" w:customStyle="1" w:styleId="TOCTitle">
    <w:name w:val="TOCTitle"/>
    <w:basedOn w:val="Heading1"/>
    <w:rsid w:val="00343CE0"/>
    <w:pPr>
      <w:spacing w:after="240"/>
      <w:jc w:val="center"/>
      <w:outlineLvl w:val="9"/>
    </w:pPr>
    <w:rPr>
      <w:caps/>
    </w:rPr>
  </w:style>
  <w:style w:type="paragraph" w:customStyle="1" w:styleId="Version">
    <w:name w:val="Version"/>
    <w:rsid w:val="00343C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CE0"/>
    <w:pPr>
      <w:keepNext w:val="0"/>
      <w:tabs>
        <w:tab w:val="right" w:pos="4176"/>
      </w:tabs>
      <w:ind w:left="198" w:hanging="198"/>
    </w:pPr>
    <w:rPr>
      <w:rFonts w:ascii="Garamond" w:hAnsi="Garamond"/>
    </w:rPr>
  </w:style>
  <w:style w:type="paragraph" w:styleId="IndexHeading">
    <w:name w:val="index heading"/>
    <w:basedOn w:val="Normal"/>
    <w:next w:val="Index1"/>
    <w:semiHidden/>
    <w:rsid w:val="00343CE0"/>
    <w:pPr>
      <w:spacing w:before="120" w:after="120"/>
    </w:pPr>
    <w:rPr>
      <w:rFonts w:ascii="Arial" w:hAnsi="Arial"/>
      <w:b/>
      <w:color w:val="918585"/>
      <w:sz w:val="24"/>
    </w:rPr>
  </w:style>
  <w:style w:type="paragraph" w:styleId="Header">
    <w:name w:val="header"/>
    <w:basedOn w:val="Normal"/>
    <w:link w:val="HeaderChar"/>
    <w:rsid w:val="00343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CE0"/>
    <w:rPr>
      <w:rFonts w:ascii="Times New Roman" w:eastAsia="Times New Roman" w:hAnsi="Times New Roman" w:cs="Times New Roman"/>
      <w:sz w:val="16"/>
      <w:szCs w:val="20"/>
      <w:lang w:val="en-GB" w:eastAsia="en-US"/>
    </w:rPr>
  </w:style>
  <w:style w:type="paragraph" w:customStyle="1" w:styleId="Chapter">
    <w:name w:val="Chapter"/>
    <w:basedOn w:val="Normal"/>
    <w:rsid w:val="00343CE0"/>
    <w:pPr>
      <w:spacing w:before="240"/>
    </w:pPr>
    <w:rPr>
      <w:rFonts w:ascii="Times New Roman" w:hAnsi="Times New Roman"/>
      <w:smallCaps/>
      <w:spacing w:val="80"/>
      <w:sz w:val="28"/>
    </w:rPr>
  </w:style>
  <w:style w:type="paragraph" w:customStyle="1" w:styleId="InChapter">
    <w:name w:val="InChapter"/>
    <w:basedOn w:val="Heading3"/>
    <w:rsid w:val="00343CE0"/>
    <w:pPr>
      <w:spacing w:after="240"/>
      <w:outlineLvl w:val="9"/>
    </w:pPr>
    <w:rPr>
      <w:noProof/>
    </w:rPr>
  </w:style>
  <w:style w:type="paragraph" w:styleId="Index2">
    <w:name w:val="index 2"/>
    <w:basedOn w:val="Normal"/>
    <w:next w:val="Normal"/>
    <w:semiHidden/>
    <w:rsid w:val="00343CE0"/>
    <w:pPr>
      <w:tabs>
        <w:tab w:val="right" w:pos="4176"/>
      </w:tabs>
      <w:ind w:left="568" w:hanging="284"/>
    </w:pPr>
    <w:rPr>
      <w:rFonts w:ascii="Garamond" w:hAnsi="Garamond"/>
    </w:rPr>
  </w:style>
  <w:style w:type="paragraph" w:customStyle="1" w:styleId="Byline">
    <w:name w:val="Byline"/>
    <w:rsid w:val="00343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CE0"/>
    <w:pPr>
      <w:tabs>
        <w:tab w:val="clear" w:pos="3600"/>
        <w:tab w:val="clear" w:pos="3958"/>
      </w:tabs>
      <w:jc w:val="right"/>
    </w:pPr>
  </w:style>
  <w:style w:type="character" w:styleId="Emphasis">
    <w:name w:val="Emphasis"/>
    <w:basedOn w:val="DefaultParagraphFont"/>
    <w:qFormat/>
    <w:rsid w:val="00343CE0"/>
    <w:rPr>
      <w:i/>
    </w:rPr>
  </w:style>
  <w:style w:type="paragraph" w:styleId="Caption">
    <w:name w:val="caption"/>
    <w:basedOn w:val="BodyText"/>
    <w:next w:val="Normal"/>
    <w:qFormat/>
    <w:rsid w:val="00343CE0"/>
    <w:pPr>
      <w:framePr w:w="2268" w:hSpace="181" w:vSpace="181" w:wrap="around" w:vAnchor="text" w:hAnchor="page" w:x="1135" w:y="285" w:anchorLock="1"/>
    </w:pPr>
    <w:rPr>
      <w:i/>
    </w:rPr>
  </w:style>
  <w:style w:type="paragraph" w:customStyle="1" w:styleId="MiniTOCTitle">
    <w:name w:val="MiniTOCTitle"/>
    <w:basedOn w:val="Heading4"/>
    <w:rsid w:val="00343CE0"/>
    <w:pPr>
      <w:spacing w:before="240"/>
      <w:outlineLvl w:val="9"/>
    </w:pPr>
    <w:rPr>
      <w:noProof/>
      <w:sz w:val="24"/>
    </w:rPr>
  </w:style>
  <w:style w:type="paragraph" w:customStyle="1" w:styleId="MiniTOCItem">
    <w:name w:val="MiniTOCItem"/>
    <w:basedOn w:val="ListBullet"/>
    <w:rsid w:val="00343CE0"/>
    <w:pPr>
      <w:numPr>
        <w:numId w:val="0"/>
      </w:numPr>
      <w:tabs>
        <w:tab w:val="right" w:leader="dot" w:pos="6521"/>
      </w:tabs>
      <w:spacing w:before="0" w:after="0"/>
    </w:pPr>
  </w:style>
  <w:style w:type="paragraph" w:customStyle="1" w:styleId="TOFTitle">
    <w:name w:val="TOFTitle"/>
    <w:basedOn w:val="TOCTitle"/>
    <w:rsid w:val="00343CE0"/>
  </w:style>
  <w:style w:type="paragraph" w:styleId="TableofFigures">
    <w:name w:val="table of figures"/>
    <w:basedOn w:val="Normal"/>
    <w:next w:val="Normal"/>
    <w:semiHidden/>
    <w:rsid w:val="00343CE0"/>
    <w:pPr>
      <w:tabs>
        <w:tab w:val="right" w:leader="dot" w:pos="9072"/>
      </w:tabs>
      <w:ind w:left="970" w:hanging="403"/>
    </w:pPr>
    <w:rPr>
      <w:rFonts w:ascii="Times New Roman" w:hAnsi="Times New Roman"/>
      <w:b/>
    </w:rPr>
  </w:style>
  <w:style w:type="paragraph" w:styleId="ListNumber">
    <w:name w:val="List Number"/>
    <w:basedOn w:val="List"/>
    <w:rsid w:val="00343CE0"/>
    <w:pPr>
      <w:numPr>
        <w:numId w:val="12"/>
      </w:numPr>
    </w:pPr>
  </w:style>
  <w:style w:type="character" w:customStyle="1" w:styleId="WingdingSymbols">
    <w:name w:val="Wingding Symbols"/>
    <w:rsid w:val="00343CE0"/>
    <w:rPr>
      <w:rFonts w:ascii="Wingdings" w:hAnsi="Wingdings"/>
    </w:rPr>
  </w:style>
  <w:style w:type="paragraph" w:customStyle="1" w:styleId="TableHeading">
    <w:name w:val="Table Heading"/>
    <w:basedOn w:val="HeadingBase"/>
    <w:rsid w:val="00343CE0"/>
    <w:pPr>
      <w:keepLines/>
      <w:pBdr>
        <w:bottom w:val="single" w:sz="6" w:space="1" w:color="918585"/>
      </w:pBdr>
      <w:spacing w:before="240"/>
    </w:pPr>
  </w:style>
  <w:style w:type="character" w:customStyle="1" w:styleId="HotSpot">
    <w:name w:val="HotSpot"/>
    <w:rsid w:val="00343CE0"/>
    <w:rPr>
      <w:color w:val="0033CC"/>
      <w:u w:val="none"/>
    </w:rPr>
  </w:style>
  <w:style w:type="paragraph" w:customStyle="1" w:styleId="BodyTextRight">
    <w:name w:val="Body Text Right"/>
    <w:basedOn w:val="BodyText"/>
    <w:rsid w:val="00343CE0"/>
    <w:pPr>
      <w:spacing w:before="0" w:after="0"/>
      <w:jc w:val="right"/>
    </w:pPr>
  </w:style>
  <w:style w:type="paragraph" w:styleId="Index3">
    <w:name w:val="index 3"/>
    <w:basedOn w:val="ListNumber2"/>
    <w:next w:val="Normal"/>
    <w:semiHidden/>
    <w:rsid w:val="00343CE0"/>
    <w:pPr>
      <w:numPr>
        <w:numId w:val="0"/>
      </w:numPr>
      <w:tabs>
        <w:tab w:val="right" w:leader="dot" w:pos="4176"/>
      </w:tabs>
    </w:pPr>
  </w:style>
  <w:style w:type="paragraph" w:styleId="ListNumber2">
    <w:name w:val="List Number 2"/>
    <w:basedOn w:val="List2"/>
    <w:rsid w:val="00343CE0"/>
    <w:pPr>
      <w:numPr>
        <w:numId w:val="11"/>
      </w:numPr>
      <w:tabs>
        <w:tab w:val="clear" w:pos="1060"/>
      </w:tabs>
    </w:pPr>
  </w:style>
  <w:style w:type="paragraph" w:customStyle="1" w:styleId="MarginNote">
    <w:name w:val="Margin Note"/>
    <w:basedOn w:val="BodyText"/>
    <w:rsid w:val="00343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C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CE0"/>
    <w:rPr>
      <w:sz w:val="32"/>
    </w:rPr>
  </w:style>
  <w:style w:type="paragraph" w:customStyle="1" w:styleId="HeadingProcedure">
    <w:name w:val="Heading Procedure"/>
    <w:basedOn w:val="HeadingBase"/>
    <w:next w:val="Normal"/>
    <w:rsid w:val="00343CE0"/>
    <w:pPr>
      <w:tabs>
        <w:tab w:val="left" w:pos="0"/>
      </w:tabs>
      <w:spacing w:before="120" w:after="60"/>
    </w:pPr>
    <w:rPr>
      <w:i/>
      <w:color w:val="918585"/>
      <w:sz w:val="22"/>
    </w:rPr>
  </w:style>
  <w:style w:type="paragraph" w:customStyle="1" w:styleId="TableBodyText">
    <w:name w:val="Table Body Text"/>
    <w:basedOn w:val="BodyText"/>
    <w:rsid w:val="00343CE0"/>
    <w:pPr>
      <w:spacing w:before="60" w:after="60"/>
    </w:pPr>
  </w:style>
  <w:style w:type="paragraph" w:styleId="ListContinue">
    <w:name w:val="List Continue"/>
    <w:basedOn w:val="List"/>
    <w:rsid w:val="00343CE0"/>
    <w:pPr>
      <w:ind w:firstLine="0"/>
    </w:pPr>
  </w:style>
  <w:style w:type="paragraph" w:customStyle="1" w:styleId="ListNote">
    <w:name w:val="List Note"/>
    <w:basedOn w:val="List"/>
    <w:rsid w:val="00343CE0"/>
    <w:pPr>
      <w:pBdr>
        <w:top w:val="single" w:sz="6" w:space="2" w:color="918585"/>
        <w:bottom w:val="single" w:sz="6" w:space="2" w:color="918585"/>
      </w:pBdr>
      <w:tabs>
        <w:tab w:val="left" w:pos="1021"/>
      </w:tabs>
      <w:ind w:firstLine="0"/>
    </w:pPr>
  </w:style>
  <w:style w:type="paragraph" w:customStyle="1" w:styleId="Warning">
    <w:name w:val="Warning"/>
    <w:basedOn w:val="BodyText"/>
    <w:rsid w:val="00343CE0"/>
    <w:pPr>
      <w:shd w:val="clear" w:color="auto" w:fill="D9D9D9"/>
      <w:tabs>
        <w:tab w:val="left" w:pos="992"/>
      </w:tabs>
      <w:ind w:left="119" w:right="119"/>
    </w:pPr>
    <w:rPr>
      <w:sz w:val="20"/>
    </w:rPr>
  </w:style>
  <w:style w:type="paragraph" w:customStyle="1" w:styleId="MarginIcons">
    <w:name w:val="Margin Icons"/>
    <w:basedOn w:val="BodyText"/>
    <w:rsid w:val="00343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CE0"/>
    <w:rPr>
      <w:rFonts w:ascii="Courier New" w:hAnsi="Courier New"/>
    </w:rPr>
  </w:style>
  <w:style w:type="paragraph" w:customStyle="1" w:styleId="NoteBullet">
    <w:name w:val="Note Bullet"/>
    <w:basedOn w:val="Note"/>
    <w:rsid w:val="00343CE0"/>
    <w:pPr>
      <w:tabs>
        <w:tab w:val="clear" w:pos="680"/>
      </w:tabs>
      <w:spacing w:before="60" w:after="60"/>
    </w:pPr>
  </w:style>
  <w:style w:type="paragraph" w:customStyle="1" w:styleId="SubHeading2">
    <w:name w:val="SubHeading2"/>
    <w:basedOn w:val="HeadingBase"/>
    <w:rsid w:val="00343CE0"/>
    <w:pPr>
      <w:spacing w:before="240" w:after="60"/>
    </w:pPr>
    <w:rPr>
      <w:sz w:val="20"/>
    </w:rPr>
  </w:style>
  <w:style w:type="paragraph" w:customStyle="1" w:styleId="SubHeading1">
    <w:name w:val="SubHeading1"/>
    <w:basedOn w:val="HeadingBase"/>
    <w:rsid w:val="00343CE0"/>
    <w:pPr>
      <w:spacing w:before="240" w:after="60"/>
    </w:pPr>
    <w:rPr>
      <w:color w:val="918585"/>
      <w:sz w:val="22"/>
    </w:rPr>
  </w:style>
  <w:style w:type="paragraph" w:customStyle="1" w:styleId="SideHeading">
    <w:name w:val="Side Heading"/>
    <w:basedOn w:val="HeadingBase"/>
    <w:rsid w:val="00343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CE0"/>
    <w:pPr>
      <w:numPr>
        <w:numId w:val="13"/>
      </w:numPr>
    </w:pPr>
  </w:style>
  <w:style w:type="paragraph" w:styleId="PlainText">
    <w:name w:val="Plain Text"/>
    <w:basedOn w:val="Normal"/>
    <w:link w:val="PlainTextChar"/>
    <w:rsid w:val="00343CE0"/>
    <w:rPr>
      <w:sz w:val="20"/>
    </w:rPr>
  </w:style>
  <w:style w:type="character" w:customStyle="1" w:styleId="PlainTextChar">
    <w:name w:val="Plain Text Char"/>
    <w:basedOn w:val="DefaultParagraphFont"/>
    <w:link w:val="PlainText"/>
    <w:rsid w:val="00343CE0"/>
    <w:rPr>
      <w:rFonts w:ascii="Courier New" w:eastAsia="Times New Roman" w:hAnsi="Courier New" w:cs="Times New Roman"/>
      <w:sz w:val="20"/>
      <w:szCs w:val="20"/>
      <w:lang w:eastAsia="en-US"/>
    </w:rPr>
  </w:style>
  <w:style w:type="character" w:customStyle="1" w:styleId="MenuOption">
    <w:name w:val="Menu Option"/>
    <w:basedOn w:val="DefaultParagraphFont"/>
    <w:rsid w:val="00343CE0"/>
    <w:rPr>
      <w:b/>
      <w:smallCaps/>
    </w:rPr>
  </w:style>
  <w:style w:type="paragraph" w:customStyle="1" w:styleId="TableListNumber">
    <w:name w:val="Table List Number"/>
    <w:basedOn w:val="ListNumber"/>
    <w:rsid w:val="00343CE0"/>
    <w:pPr>
      <w:numPr>
        <w:numId w:val="0"/>
      </w:numPr>
    </w:pPr>
  </w:style>
  <w:style w:type="paragraph" w:styleId="TOC4">
    <w:name w:val="toc 4"/>
    <w:basedOn w:val="TOCBase"/>
    <w:next w:val="Normal"/>
    <w:semiHidden/>
    <w:rsid w:val="00343CE0"/>
    <w:pPr>
      <w:tabs>
        <w:tab w:val="right" w:leader="dot" w:pos="9071"/>
      </w:tabs>
      <w:ind w:left="1701"/>
    </w:pPr>
  </w:style>
  <w:style w:type="paragraph" w:customStyle="1" w:styleId="ListAlpha">
    <w:name w:val="List Alpha"/>
    <w:basedOn w:val="List"/>
    <w:rsid w:val="00343CE0"/>
    <w:pPr>
      <w:numPr>
        <w:numId w:val="10"/>
      </w:numPr>
    </w:pPr>
  </w:style>
  <w:style w:type="paragraph" w:customStyle="1" w:styleId="ListAlpha2">
    <w:name w:val="List Alpha 2"/>
    <w:basedOn w:val="List2"/>
    <w:rsid w:val="00343CE0"/>
    <w:pPr>
      <w:numPr>
        <w:numId w:val="9"/>
      </w:numPr>
    </w:pPr>
  </w:style>
  <w:style w:type="paragraph" w:styleId="List3">
    <w:name w:val="List 3"/>
    <w:basedOn w:val="BodyText"/>
    <w:rsid w:val="00343CE0"/>
    <w:pPr>
      <w:tabs>
        <w:tab w:val="left" w:pos="1021"/>
      </w:tabs>
      <w:spacing w:before="60" w:after="60"/>
      <w:ind w:left="1020" w:hanging="340"/>
    </w:pPr>
  </w:style>
  <w:style w:type="paragraph" w:styleId="List4">
    <w:name w:val="List 4"/>
    <w:basedOn w:val="BodyText"/>
    <w:rsid w:val="00343CE0"/>
    <w:pPr>
      <w:tabs>
        <w:tab w:val="left" w:pos="1361"/>
      </w:tabs>
      <w:spacing w:before="60" w:after="60"/>
      <w:ind w:left="1361" w:hanging="340"/>
    </w:pPr>
  </w:style>
  <w:style w:type="paragraph" w:styleId="List5">
    <w:name w:val="List 5"/>
    <w:basedOn w:val="BodyText"/>
    <w:rsid w:val="00343CE0"/>
    <w:pPr>
      <w:tabs>
        <w:tab w:val="left" w:pos="1701"/>
      </w:tabs>
      <w:spacing w:before="60" w:after="60"/>
      <w:ind w:left="1701" w:hanging="340"/>
    </w:pPr>
  </w:style>
  <w:style w:type="paragraph" w:styleId="ListBullet4">
    <w:name w:val="List Bullet 4"/>
    <w:basedOn w:val="List4"/>
    <w:rsid w:val="00343CE0"/>
    <w:pPr>
      <w:numPr>
        <w:numId w:val="4"/>
      </w:numPr>
    </w:pPr>
  </w:style>
  <w:style w:type="paragraph" w:styleId="ListBullet5">
    <w:name w:val="List Bullet 5"/>
    <w:basedOn w:val="List5"/>
    <w:rsid w:val="00343CE0"/>
    <w:pPr>
      <w:numPr>
        <w:numId w:val="5"/>
      </w:numPr>
    </w:pPr>
  </w:style>
  <w:style w:type="paragraph" w:styleId="ListContinue2">
    <w:name w:val="List Continue 2"/>
    <w:basedOn w:val="List2"/>
    <w:rsid w:val="00343CE0"/>
    <w:pPr>
      <w:ind w:firstLine="0"/>
    </w:pPr>
  </w:style>
  <w:style w:type="paragraph" w:styleId="ListContinue3">
    <w:name w:val="List Continue 3"/>
    <w:basedOn w:val="List3"/>
    <w:rsid w:val="00343CE0"/>
    <w:pPr>
      <w:ind w:left="1021" w:firstLine="0"/>
    </w:pPr>
  </w:style>
  <w:style w:type="paragraph" w:styleId="ListContinue4">
    <w:name w:val="List Continue 4"/>
    <w:basedOn w:val="List4"/>
    <w:rsid w:val="00343CE0"/>
    <w:pPr>
      <w:ind w:firstLine="0"/>
    </w:pPr>
  </w:style>
  <w:style w:type="paragraph" w:styleId="ListContinue5">
    <w:name w:val="List Continue 5"/>
    <w:basedOn w:val="List5"/>
    <w:rsid w:val="00343CE0"/>
    <w:pPr>
      <w:ind w:firstLine="0"/>
    </w:pPr>
  </w:style>
  <w:style w:type="paragraph" w:styleId="ListNumber3">
    <w:name w:val="List Number 3"/>
    <w:basedOn w:val="List3"/>
    <w:rsid w:val="00343CE0"/>
    <w:pPr>
      <w:numPr>
        <w:numId w:val="6"/>
      </w:numPr>
    </w:pPr>
  </w:style>
  <w:style w:type="paragraph" w:styleId="ListNumber4">
    <w:name w:val="List Number 4"/>
    <w:basedOn w:val="List4"/>
    <w:rsid w:val="00343CE0"/>
    <w:pPr>
      <w:numPr>
        <w:numId w:val="7"/>
      </w:numPr>
    </w:pPr>
  </w:style>
  <w:style w:type="paragraph" w:styleId="ListNumber5">
    <w:name w:val="List Number 5"/>
    <w:basedOn w:val="List5"/>
    <w:rsid w:val="00343CE0"/>
    <w:pPr>
      <w:numPr>
        <w:numId w:val="8"/>
      </w:numPr>
    </w:pPr>
  </w:style>
  <w:style w:type="paragraph" w:styleId="BlockText">
    <w:name w:val="Block Text"/>
    <w:basedOn w:val="Normal"/>
    <w:rsid w:val="00343CE0"/>
    <w:pPr>
      <w:spacing w:after="120"/>
      <w:ind w:left="1440" w:right="1440"/>
    </w:pPr>
  </w:style>
  <w:style w:type="character" w:customStyle="1" w:styleId="Subscript">
    <w:name w:val="Subscript"/>
    <w:basedOn w:val="DefaultParagraphFont"/>
    <w:rsid w:val="00343CE0"/>
    <w:rPr>
      <w:sz w:val="16"/>
      <w:vertAlign w:val="subscript"/>
    </w:rPr>
  </w:style>
  <w:style w:type="character" w:customStyle="1" w:styleId="Superscript">
    <w:name w:val="Superscript"/>
    <w:basedOn w:val="DefaultParagraphFont"/>
    <w:rsid w:val="00343CE0"/>
    <w:rPr>
      <w:sz w:val="16"/>
      <w:vertAlign w:val="superscript"/>
    </w:rPr>
  </w:style>
  <w:style w:type="character" w:customStyle="1" w:styleId="Symbols">
    <w:name w:val="Symbols"/>
    <w:basedOn w:val="DefaultParagraphFont"/>
    <w:rsid w:val="00343CE0"/>
    <w:rPr>
      <w:rFonts w:ascii="Symbol" w:hAnsi="Symbol"/>
    </w:rPr>
  </w:style>
  <w:style w:type="character" w:customStyle="1" w:styleId="MenuOptions">
    <w:name w:val="Menu Options"/>
    <w:basedOn w:val="DefaultParagraphFont"/>
    <w:rsid w:val="00343CE0"/>
    <w:rPr>
      <w:rFonts w:ascii="Arial Narrow" w:hAnsi="Arial Narrow"/>
      <w:smallCaps/>
    </w:rPr>
  </w:style>
  <w:style w:type="character" w:customStyle="1" w:styleId="Buttons">
    <w:name w:val="Buttons"/>
    <w:basedOn w:val="DefaultParagraphFont"/>
    <w:rsid w:val="00343CE0"/>
    <w:rPr>
      <w:b/>
    </w:rPr>
  </w:style>
  <w:style w:type="character" w:customStyle="1" w:styleId="Underlined">
    <w:name w:val="Underlined"/>
    <w:basedOn w:val="DefaultParagraphFont"/>
    <w:rsid w:val="00343CE0"/>
    <w:rPr>
      <w:u w:val="single"/>
    </w:rPr>
  </w:style>
  <w:style w:type="paragraph" w:customStyle="1" w:styleId="TableBodyTextRight">
    <w:name w:val="Table Body Text Right"/>
    <w:basedOn w:val="TableBodyText"/>
    <w:rsid w:val="00343CE0"/>
    <w:pPr>
      <w:widowControl w:val="0"/>
      <w:autoSpaceDE w:val="0"/>
      <w:autoSpaceDN w:val="0"/>
      <w:adjustRightInd w:val="0"/>
      <w:jc w:val="right"/>
    </w:pPr>
    <w:rPr>
      <w:rFonts w:cs="Arial"/>
      <w:szCs w:val="18"/>
    </w:rPr>
  </w:style>
  <w:style w:type="paragraph" w:customStyle="1" w:styleId="CopyrightText">
    <w:name w:val="Copyright Text"/>
    <w:basedOn w:val="BodyText"/>
    <w:rsid w:val="00343CE0"/>
    <w:rPr>
      <w:sz w:val="18"/>
    </w:rPr>
  </w:style>
  <w:style w:type="paragraph" w:customStyle="1" w:styleId="BodySmallRight">
    <w:name w:val="Body Small Right"/>
    <w:basedOn w:val="BodyTextRight"/>
    <w:rsid w:val="00343CE0"/>
    <w:rPr>
      <w:sz w:val="18"/>
      <w:szCs w:val="18"/>
    </w:rPr>
  </w:style>
  <w:style w:type="paragraph" w:customStyle="1" w:styleId="MarginEdition">
    <w:name w:val="Margin Edition"/>
    <w:basedOn w:val="MarginNote"/>
    <w:rsid w:val="00343CE0"/>
    <w:pPr>
      <w:spacing w:before="0" w:after="0"/>
    </w:pPr>
    <w:rPr>
      <w:rFonts w:ascii="Times New Roman" w:hAnsi="Times New Roman"/>
      <w:color w:val="999999"/>
    </w:rPr>
  </w:style>
  <w:style w:type="paragraph" w:customStyle="1" w:styleId="Spacer">
    <w:name w:val="Spacer"/>
    <w:basedOn w:val="Normal"/>
    <w:rsid w:val="00343CE0"/>
    <w:rPr>
      <w:sz w:val="2"/>
      <w:szCs w:val="2"/>
    </w:rPr>
  </w:style>
  <w:style w:type="character" w:customStyle="1" w:styleId="Small">
    <w:name w:val="Small"/>
    <w:basedOn w:val="DefaultParagraphFont"/>
    <w:rsid w:val="00343CE0"/>
    <w:rPr>
      <w:sz w:val="16"/>
    </w:rPr>
  </w:style>
  <w:style w:type="paragraph" w:customStyle="1" w:styleId="WideTable">
    <w:name w:val="Wide Table"/>
    <w:basedOn w:val="Normal"/>
    <w:rsid w:val="00343CE0"/>
    <w:pPr>
      <w:ind w:left="-1418"/>
    </w:pPr>
    <w:rPr>
      <w:sz w:val="2"/>
      <w:szCs w:val="2"/>
    </w:rPr>
  </w:style>
  <w:style w:type="character" w:styleId="PageNumber">
    <w:name w:val="page number"/>
    <w:basedOn w:val="DefaultParagraphFont"/>
    <w:rsid w:val="00343CE0"/>
  </w:style>
  <w:style w:type="paragraph" w:styleId="Quote">
    <w:name w:val="Quote"/>
    <w:basedOn w:val="Heading1"/>
    <w:link w:val="QuoteChar"/>
    <w:qFormat/>
    <w:rsid w:val="00343CE0"/>
    <w:rPr>
      <w:b w:val="0"/>
      <w:sz w:val="72"/>
      <w:szCs w:val="72"/>
      <w:lang w:val="en-NZ"/>
    </w:rPr>
  </w:style>
  <w:style w:type="character" w:customStyle="1" w:styleId="QuoteChar">
    <w:name w:val="Quote Char"/>
    <w:basedOn w:val="DefaultParagraphFont"/>
    <w:link w:val="Quote"/>
    <w:rsid w:val="00343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CE0"/>
    <w:pPr>
      <w:pageBreakBefore/>
    </w:pPr>
  </w:style>
  <w:style w:type="paragraph" w:customStyle="1" w:styleId="Border">
    <w:name w:val="Border"/>
    <w:basedOn w:val="Normal"/>
    <w:qFormat/>
    <w:rsid w:val="00343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CE0"/>
    <w:rPr>
      <w:b/>
      <w:bCs/>
      <w:i/>
      <w:iCs/>
      <w:color w:val="auto"/>
    </w:rPr>
  </w:style>
  <w:style w:type="paragraph" w:styleId="IntenseQuote">
    <w:name w:val="Intense Quote"/>
    <w:basedOn w:val="Normal"/>
    <w:next w:val="Normal"/>
    <w:link w:val="IntenseQuoteChar"/>
    <w:uiPriority w:val="30"/>
    <w:qFormat/>
    <w:rsid w:val="00343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C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CE0"/>
    <w:rPr>
      <w:smallCaps/>
      <w:color w:val="auto"/>
      <w:u w:val="single"/>
    </w:rPr>
  </w:style>
  <w:style w:type="character" w:styleId="IntenseReference">
    <w:name w:val="Intense Reference"/>
    <w:basedOn w:val="DefaultParagraphFont"/>
    <w:uiPriority w:val="32"/>
    <w:qFormat/>
    <w:rsid w:val="00343CE0"/>
    <w:rPr>
      <w:b/>
      <w:bCs/>
      <w:smallCaps/>
      <w:color w:val="auto"/>
      <w:spacing w:val="5"/>
      <w:u w:val="single"/>
    </w:rPr>
  </w:style>
  <w:style w:type="paragraph" w:customStyle="1" w:styleId="2ColumnHeading">
    <w:name w:val="2Column Heading"/>
    <w:basedOn w:val="BodyText"/>
    <w:qFormat/>
    <w:rsid w:val="00343CE0"/>
    <w:pPr>
      <w:spacing w:after="60"/>
      <w:ind w:left="-2268"/>
    </w:pPr>
    <w:rPr>
      <w:b/>
    </w:rPr>
  </w:style>
  <w:style w:type="paragraph" w:customStyle="1" w:styleId="Heading1TOC">
    <w:name w:val="Heading1 TOC"/>
    <w:basedOn w:val="Normal"/>
    <w:qFormat/>
    <w:rsid w:val="00343CE0"/>
    <w:pPr>
      <w:spacing w:before="240" w:after="120"/>
    </w:pPr>
    <w:rPr>
      <w:rFonts w:ascii="Times New Roman" w:hAnsi="Times New Roman"/>
      <w:b/>
      <w:sz w:val="32"/>
    </w:rPr>
  </w:style>
  <w:style w:type="paragraph" w:customStyle="1" w:styleId="Heading2TOC">
    <w:name w:val="Heading2 TOC"/>
    <w:basedOn w:val="Normal"/>
    <w:qFormat/>
    <w:rsid w:val="00343CE0"/>
    <w:pPr>
      <w:spacing w:before="240" w:after="60"/>
    </w:pPr>
    <w:rPr>
      <w:rFonts w:ascii="Times New Roman" w:hAnsi="Times New Roman"/>
      <w:b/>
      <w:sz w:val="28"/>
    </w:rPr>
  </w:style>
  <w:style w:type="character" w:customStyle="1" w:styleId="Underline">
    <w:name w:val="Underline"/>
    <w:basedOn w:val="DefaultParagraphFont"/>
    <w:qFormat/>
    <w:rsid w:val="00343CE0"/>
    <w:rPr>
      <w:u w:val="single"/>
    </w:rPr>
  </w:style>
  <w:style w:type="paragraph" w:styleId="BalloonText">
    <w:name w:val="Balloon Text"/>
    <w:basedOn w:val="Normal"/>
    <w:link w:val="BalloonTextChar"/>
    <w:rsid w:val="00343CE0"/>
    <w:rPr>
      <w:rFonts w:ascii="Tahoma" w:hAnsi="Tahoma" w:cs="Tahoma"/>
      <w:sz w:val="16"/>
      <w:szCs w:val="16"/>
    </w:rPr>
  </w:style>
  <w:style w:type="character" w:customStyle="1" w:styleId="BalloonTextChar">
    <w:name w:val="Balloon Text Char"/>
    <w:basedOn w:val="DefaultParagraphFont"/>
    <w:link w:val="BalloonText"/>
    <w:rsid w:val="00343C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C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3C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CE0"/>
    <w:rPr>
      <w:b/>
      <w:color w:val="660033"/>
      <w:spacing w:val="0"/>
    </w:rPr>
  </w:style>
  <w:style w:type="paragraph" w:customStyle="1" w:styleId="Nameditemlist">
    <w:name w:val="Named item list"/>
    <w:basedOn w:val="BodyText"/>
    <w:qFormat/>
    <w:rsid w:val="00343C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1521</Words>
  <Characters>9774</Characters>
  <Application>Microsoft Office Word</Application>
  <DocSecurity>0</DocSecurity>
  <Lines>402</Lines>
  <Paragraphs>232</Paragraphs>
  <ScaleCrop>false</ScaleCrop>
  <Company>Author-it Software Corporation Ltd.</Company>
  <LinksUpToDate>false</LinksUpToDate>
  <CharactersWithSpaces>11226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ICTNPL4114A Produce planning specifications for end to end service delivery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2012-10-05T13:53:00Z</dcterms:created>
  <dcterms:modified xsi:type="dcterms:W3CDTF">2012-10-05T13:53:00Z</dcterms:modified>
</cp:coreProperties>
</file>