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19C" w:rsidP="0002719C">
      <w:pPr>
        <w:pStyle w:val="Title"/>
      </w:pPr>
      <w:r>
        <w:fldChar w:fldCharType="begin"/>
      </w:r>
      <w:r>
        <w:instrText xml:space="preserve"> TITLE   \* MERGEFORMAT </w:instrText>
      </w:r>
      <w:r>
        <w:fldChar w:fldCharType="separate"/>
      </w:r>
      <w:r>
        <w:t>ICTDRE3165A Install a complex digital reception system</w:t>
      </w:r>
      <w:r>
        <w:fldChar w:fldCharType="end"/>
      </w:r>
    </w:p>
    <w:p w:rsidR="0002719C" w:rsidP="0002719C">
      <w:pPr>
        <w:pStyle w:val="Version"/>
        <w:sectPr w:rsidSect="00CF3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BB1" w:rsidP="00CF3BB1">
      <w:pPr>
        <w:pStyle w:val="SuperHeading"/>
      </w:pPr>
      <w:r w:rsidRPr="00CF3BB1">
        <w:t>ICTDRE3165A Install a complex digital reception system</w:t>
      </w:r>
    </w:p>
    <w:p w:rsidR="00000000" w:rsidRPr="00CF3BB1" w:rsidP="00CF3BB1">
      <w:pPr>
        <w:pStyle w:val="Heading1"/>
      </w:pPr>
      <w:bookmarkStart w:id="1" w:name="O_271778"/>
      <w:bookmarkEnd w:id="1"/>
      <w:r w:rsidRPr="00CF3BB1">
        <w:t>Modification History</w:t>
      </w:r>
    </w:p>
    <w:p w:rsidR="00000000" w:rsidRPr="00CF3BB1" w:rsidP="00CF3BB1">
      <w:pPr>
        <w:pStyle w:val="BodyText"/>
      </w:pPr>
      <w:r w:rsidRPr="00CF3BB1">
        <w:t>Not Applicable</w:t>
      </w:r>
    </w:p>
    <w:p w:rsidR="00000000" w:rsidRPr="00CF3BB1" w:rsidP="00CF3BB1">
      <w:pPr>
        <w:pStyle w:val="AllowPageBreak"/>
      </w:pPr>
    </w:p>
    <w:p w:rsidR="00000000" w:rsidRPr="00CF3BB1" w:rsidP="00CF3BB1">
      <w:pPr>
        <w:pStyle w:val="Heading1"/>
      </w:pPr>
      <w:bookmarkStart w:id="2" w:name="O_208885"/>
      <w:bookmarkEnd w:id="2"/>
      <w:r w:rsidRPr="00CF3BB1">
        <w:t>Unit Descriptor</w:t>
      </w:r>
    </w:p>
    <w:tbl>
      <w:tblPr>
        <w:tblW w:w="0" w:type="auto"/>
        <w:tblLayout w:type="fixed"/>
        <w:tblCellMar>
          <w:left w:w="62" w:type="dxa"/>
          <w:right w:w="62" w:type="dxa"/>
        </w:tblCellMar>
        <w:tblLook w:val="0000"/>
      </w:tblPr>
      <w:tblGrid>
        <w:gridCol w:w="2626"/>
        <w:gridCol w:w="5896"/>
      </w:tblGrid>
      <w:tr w:rsidTr="0002719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This unit describes the performance outcomes, skills and knowledge required to design, install, t</w:t>
            </w:r>
            <w:r w:rsidRPr="00CF3BB1">
              <w:t>est and commission a complex digital reception system.</w:t>
            </w:r>
          </w:p>
          <w:p w:rsidR="00000000" w:rsidRPr="00CF3BB1" w:rsidP="00CF3BB1">
            <w:pPr>
              <w:pStyle w:val="BodyText"/>
            </w:pPr>
          </w:p>
          <w:p w:rsidR="00000000" w:rsidRPr="00CF3BB1" w:rsidP="00CF3BB1">
            <w:pPr>
              <w:pStyle w:val="BodyText"/>
            </w:pPr>
            <w:r w:rsidRPr="00CF3BB1">
              <w:t>Depending on the particular installation, organisational requirements, and state or territory legislation, specific licences may be required in areas such as:</w:t>
            </w:r>
          </w:p>
          <w:p w:rsidR="00000000" w:rsidRPr="00CF3BB1" w:rsidP="00CF3BB1">
            <w:pPr>
              <w:pStyle w:val="ListBullet"/>
            </w:pPr>
            <w:r w:rsidRPr="00CF3BB1">
              <w:t>working at heights</w:t>
            </w:r>
          </w:p>
          <w:p w:rsidR="00000000" w:rsidRPr="00CF3BB1" w:rsidP="00CF3BB1">
            <w:pPr>
              <w:pStyle w:val="ListBullet"/>
            </w:pPr>
            <w:r w:rsidRPr="00CF3BB1">
              <w:t>confined spaces</w:t>
            </w:r>
          </w:p>
          <w:p w:rsidR="00000000" w:rsidRPr="00CF3BB1" w:rsidP="00CF3BB1">
            <w:pPr>
              <w:pStyle w:val="ListBullet"/>
            </w:pPr>
            <w:r w:rsidRPr="00CF3BB1">
              <w:t xml:space="preserve">working on construction worksites. </w:t>
            </w:r>
          </w:p>
          <w:p w:rsidR="00000000" w:rsidRPr="00CF3BB1" w:rsidP="00CF3BB1">
            <w:pPr>
              <w:pStyle w:val="BodyText"/>
            </w:pPr>
          </w:p>
          <w:p w:rsidR="00000000" w:rsidRPr="00CF3BB1" w:rsidP="00CF3BB1">
            <w:pPr>
              <w:pStyle w:val="BodyText"/>
            </w:pPr>
            <w:r w:rsidRPr="00CF3BB1">
              <w:t>Some cabling and installation work may fall within the definition of construction work. If so, people entering the construction site are required to complete the general induction training program specified by the Natio</w:t>
            </w:r>
            <w:r w:rsidRPr="00CF3BB1">
              <w:t>nal Code of Practice for Induction Training for Construction Work (Australian Safety Compensation Council, May 2007).</w:t>
            </w:r>
          </w:p>
          <w:p w:rsidR="00000000" w:rsidRPr="00CF3BB1" w:rsidP="00CF3BB1">
            <w:pPr>
              <w:pStyle w:val="BodyText"/>
            </w:pPr>
          </w:p>
          <w:p w:rsidR="00000000" w:rsidRPr="00CF3BB1" w:rsidP="00CF3BB1">
            <w:pPr>
              <w:pStyle w:val="BodyText"/>
            </w:pPr>
            <w:r w:rsidRPr="00CF3BB1">
              <w:t>Achievement of the unit CPCCOHS1001A Work safely in the construction industry from the CPC08 Construction and Plumbing Services Integrate</w:t>
            </w:r>
            <w:r w:rsidRPr="00CF3BB1">
              <w:t>d Framework Training Package fulfils this requirement.</w:t>
            </w:r>
          </w:p>
          <w:p w:rsidR="00000000" w:rsidRPr="00CF3BB1" w:rsidP="00CF3BB1">
            <w:pPr>
              <w:pStyle w:val="BodyText"/>
            </w:pPr>
          </w:p>
          <w:p w:rsidR="00000000" w:rsidRPr="00CF3BB1" w:rsidP="00CF3BB1">
            <w:pPr>
              <w:pStyle w:val="BodyText"/>
            </w:pPr>
            <w:r w:rsidRPr="00CF3BB1">
              <w:t>Users should confirm requirements with the relevant federal, state or territory authority.</w:t>
            </w:r>
          </w:p>
        </w:tc>
      </w:tr>
    </w:tbl>
    <w:p w:rsidR="0002719C" w:rsidP="00CF3BB1">
      <w:pPr>
        <w:pStyle w:val="BodyText"/>
      </w:pPr>
    </w:p>
    <w:p w:rsidR="0002719C" w:rsidP="00CF3BB1">
      <w:pPr>
        <w:pStyle w:val="BodyText"/>
      </w:pPr>
    </w:p>
    <w:p w:rsidR="00000000" w:rsidRPr="00CF3BB1" w:rsidP="00CF3BB1">
      <w:pPr>
        <w:pStyle w:val="Heading1"/>
      </w:pPr>
      <w:bookmarkStart w:id="3" w:name="O_208889"/>
      <w:bookmarkEnd w:id="3"/>
      <w:r w:rsidRPr="00CF3BB1">
        <w:t>Application of the Unit</w:t>
      </w:r>
    </w:p>
    <w:tbl>
      <w:tblPr>
        <w:tblW w:w="0" w:type="auto"/>
        <w:tblLayout w:type="fixed"/>
        <w:tblCellMar>
          <w:left w:w="62" w:type="dxa"/>
          <w:right w:w="62" w:type="dxa"/>
        </w:tblCellMar>
        <w:tblLook w:val="0000"/>
      </w:tblPr>
      <w:tblGrid>
        <w:gridCol w:w="2723"/>
        <w:gridCol w:w="5799"/>
      </w:tblGrid>
      <w:tr w:rsidTr="0002719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Technicians working on large scale, complex radio frequency (RF) and digital distribution systems, such as master antenna television (MATV), and satellite master antenna television (SMATV) in commercial or multi-dwelling unit (MDU) environment apply the sk</w:t>
            </w:r>
            <w:r w:rsidRPr="00CF3BB1">
              <w:t>ills and knowledge in this unit.</w:t>
            </w:r>
          </w:p>
        </w:tc>
      </w:tr>
    </w:tbl>
    <w:p w:rsidR="0002719C" w:rsidP="00CF3BB1">
      <w:pPr>
        <w:pStyle w:val="BodyText"/>
      </w:pPr>
    </w:p>
    <w:p w:rsidR="0002719C" w:rsidP="00CF3BB1">
      <w:pPr>
        <w:pStyle w:val="BodyText"/>
      </w:pPr>
    </w:p>
    <w:p w:rsidR="00000000" w:rsidRPr="00CF3BB1" w:rsidP="00CF3BB1">
      <w:pPr>
        <w:pStyle w:val="Heading1"/>
      </w:pPr>
      <w:bookmarkStart w:id="4" w:name="O_280038"/>
      <w:bookmarkEnd w:id="4"/>
      <w:r w:rsidRPr="00CF3BB1">
        <w:t>Licensing/Regulatory Information</w:t>
      </w:r>
    </w:p>
    <w:p w:rsidR="00000000" w:rsidRPr="00CF3BB1" w:rsidP="00CF3BB1">
      <w:pPr>
        <w:pStyle w:val="BodyText"/>
      </w:pPr>
      <w:r w:rsidRPr="00CF3BB1">
        <w:t>Not Applicable</w:t>
      </w:r>
    </w:p>
    <w:p w:rsidR="00000000" w:rsidRPr="00CF3BB1" w:rsidP="00CF3BB1">
      <w:pPr>
        <w:pStyle w:val="AllowPageBreak"/>
      </w:pPr>
    </w:p>
    <w:p w:rsidR="00000000" w:rsidRPr="00CF3BB1" w:rsidP="00CF3BB1">
      <w:pPr>
        <w:pStyle w:val="Heading1"/>
      </w:pPr>
      <w:bookmarkStart w:id="5" w:name="O_208887"/>
      <w:bookmarkEnd w:id="5"/>
      <w:r w:rsidRPr="00CF3BB1">
        <w:t>Pre-Requisites</w:t>
      </w:r>
    </w:p>
    <w:tbl>
      <w:tblPr>
        <w:tblW w:w="0" w:type="auto"/>
        <w:tblLayout w:type="fixed"/>
        <w:tblCellMar>
          <w:left w:w="62" w:type="dxa"/>
          <w:right w:w="62" w:type="dxa"/>
        </w:tblCellMar>
        <w:tblLook w:val="0000"/>
      </w:tblPr>
      <w:tblGrid>
        <w:gridCol w:w="2749"/>
        <w:gridCol w:w="1428"/>
        <w:gridCol w:w="4345"/>
      </w:tblGrid>
      <w:tr w:rsidTr="0002719C">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Prerequisite units</w:t>
            </w:r>
          </w:p>
        </w:tc>
        <w:tc>
          <w:tcPr>
            <w:tcW w:w="57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p>
        </w:tc>
      </w:tr>
      <w:tr w:rsidTr="0002719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p>
        </w:tc>
      </w:tr>
    </w:tbl>
    <w:p w:rsidR="0002719C" w:rsidP="00CF3BB1">
      <w:pPr>
        <w:pStyle w:val="BodyText"/>
      </w:pPr>
    </w:p>
    <w:p w:rsidR="0002719C" w:rsidP="00CF3BB1">
      <w:pPr>
        <w:pStyle w:val="BodyText"/>
      </w:pPr>
    </w:p>
    <w:p w:rsidR="00000000" w:rsidRPr="00CF3BB1" w:rsidP="00CF3BB1">
      <w:pPr>
        <w:pStyle w:val="Heading1"/>
      </w:pPr>
      <w:bookmarkStart w:id="6" w:name="O_208886"/>
      <w:bookmarkEnd w:id="6"/>
      <w:r w:rsidRPr="00CF3BB1">
        <w:t>Employability Skills Information</w:t>
      </w:r>
    </w:p>
    <w:tbl>
      <w:tblPr>
        <w:tblW w:w="0" w:type="auto"/>
        <w:tblLayout w:type="fixed"/>
        <w:tblCellMar>
          <w:left w:w="62" w:type="dxa"/>
          <w:right w:w="62" w:type="dxa"/>
        </w:tblCellMar>
        <w:tblLook w:val="0000"/>
      </w:tblPr>
      <w:tblGrid>
        <w:gridCol w:w="2777"/>
        <w:gridCol w:w="5745"/>
      </w:tblGrid>
      <w:tr w:rsidTr="0002719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This unit contains employability skills.</w:t>
            </w:r>
          </w:p>
        </w:tc>
      </w:tr>
    </w:tbl>
    <w:p w:rsidR="0002719C" w:rsidP="00CF3BB1">
      <w:pPr>
        <w:pStyle w:val="BodyText"/>
      </w:pPr>
    </w:p>
    <w:p w:rsidR="0002719C" w:rsidP="00CF3BB1">
      <w:pPr>
        <w:pStyle w:val="BodyText"/>
      </w:pPr>
    </w:p>
    <w:p w:rsidR="00000000" w:rsidRPr="00CF3BB1" w:rsidP="00CF3BB1">
      <w:pPr>
        <w:pStyle w:val="Heading1"/>
      </w:pPr>
      <w:bookmarkStart w:id="7" w:name="O_289824"/>
      <w:bookmarkEnd w:id="7"/>
      <w:r w:rsidRPr="00CF3BB1">
        <w:t>Elements and Performance Criteria Pre-Content</w:t>
      </w:r>
    </w:p>
    <w:tbl>
      <w:tblPr>
        <w:tblW w:w="0" w:type="auto"/>
        <w:tblLayout w:type="fixed"/>
        <w:tblCellMar>
          <w:left w:w="62" w:type="dxa"/>
          <w:right w:w="62" w:type="dxa"/>
        </w:tblCellMar>
        <w:tblLook w:val="0000"/>
      </w:tblPr>
      <w:tblGrid>
        <w:gridCol w:w="2574"/>
        <w:gridCol w:w="5948"/>
      </w:tblGrid>
      <w:tr w:rsidTr="0002719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Performance criteria describe the performance needed to demonstrate achievement of the element. Where bold italicised text is used, further information is detailed in the required skills and knowledge section and the range statement. Assessment of performa</w:t>
            </w:r>
            <w:r w:rsidRPr="00CF3BB1">
              <w:t>nce is to be consistent with the evidence guide.</w:t>
            </w:r>
          </w:p>
        </w:tc>
      </w:tr>
    </w:tbl>
    <w:p w:rsidR="00000000" w:rsidRPr="00CF3BB1" w:rsidP="00CF3BB1">
      <w:pPr>
        <w:pStyle w:val="BodyText"/>
      </w:pPr>
    </w:p>
    <w:p w:rsidR="00000000" w:rsidRPr="00CF3BB1" w:rsidP="00CF3BB1">
      <w:pPr>
        <w:pStyle w:val="AllowPageBreak"/>
      </w:pPr>
    </w:p>
    <w:p w:rsidR="00000000" w:rsidRPr="00CF3BB1" w:rsidP="00CF3BB1">
      <w:pPr>
        <w:pStyle w:val="Heading1"/>
      </w:pPr>
      <w:bookmarkStart w:id="8" w:name="O_236491"/>
      <w:bookmarkEnd w:id="8"/>
      <w:r w:rsidRPr="00CF3BB1">
        <w:t>Elements and Performance Criteria</w:t>
      </w:r>
    </w:p>
    <w:tbl>
      <w:tblPr>
        <w:tblW w:w="0" w:type="auto"/>
        <w:tblLayout w:type="fixed"/>
        <w:tblCellMar>
          <w:left w:w="62" w:type="dxa"/>
          <w:right w:w="62" w:type="dxa"/>
        </w:tblCellMar>
        <w:tblLook w:val="0000"/>
      </w:tblPr>
      <w:tblGrid>
        <w:gridCol w:w="2574"/>
        <w:gridCol w:w="5948"/>
      </w:tblGrid>
      <w:tr w:rsidTr="0002719C">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PERFORMANCE CRITERIA</w:t>
            </w:r>
          </w:p>
        </w:tc>
      </w:tr>
      <w:tr w:rsidTr="0002719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List"/>
              <w:rPr>
                <w:lang w:val="en-NZ"/>
              </w:rPr>
            </w:pPr>
            <w:r w:rsidRPr="00CF3BB1">
              <w:t>1.</w:t>
            </w:r>
            <w:r w:rsidRPr="00CF3BB1">
              <w:tab/>
              <w:t>Plan the installation of a complex digital reception system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2"/>
            </w:pPr>
            <w:r w:rsidRPr="00CF3BB1">
              <w:t>1.1.</w:t>
            </w:r>
            <w:r w:rsidRPr="00CF3BB1">
              <w:tab/>
              <w:t xml:space="preserve">Notify </w:t>
            </w:r>
            <w:r w:rsidRPr="00CF3BB1">
              <w:rPr>
                <w:rStyle w:val="BoldandItalics"/>
              </w:rPr>
              <w:t>customer</w:t>
            </w:r>
            <w:r w:rsidRPr="00CF3BB1">
              <w:t xml:space="preserve"> to arrange access to site and identify </w:t>
            </w:r>
            <w:r w:rsidRPr="00CF3BB1">
              <w:rPr>
                <w:rStyle w:val="BoldandItalics"/>
              </w:rPr>
              <w:t>customer equipment</w:t>
            </w:r>
          </w:p>
          <w:p w:rsidR="00000000" w:rsidRPr="00CF3BB1" w:rsidP="00CF3BB1">
            <w:pPr>
              <w:pStyle w:val="List2"/>
            </w:pPr>
            <w:r w:rsidRPr="00CF3BB1">
              <w:t>1.2.</w:t>
            </w:r>
            <w:r w:rsidRPr="00CF3BB1">
              <w:tab/>
              <w:t xml:space="preserve">Select type of </w:t>
            </w:r>
            <w:r w:rsidRPr="00CF3BB1">
              <w:rPr>
                <w:rStyle w:val="BoldandItalics"/>
              </w:rPr>
              <w:t>complex digital systems</w:t>
            </w:r>
            <w:r w:rsidRPr="00CF3BB1">
              <w:t xml:space="preserve"> and consequent constraints on installation according to client specifications</w:t>
            </w:r>
          </w:p>
          <w:p w:rsidR="00000000" w:rsidRPr="00CF3BB1" w:rsidP="00CF3BB1">
            <w:pPr>
              <w:pStyle w:val="List2"/>
            </w:pPr>
            <w:r w:rsidRPr="00CF3BB1">
              <w:t>1.3.</w:t>
            </w:r>
            <w:r w:rsidRPr="00CF3BB1">
              <w:tab/>
              <w:t>Complete a job safety analysis (JSA) identifying occupational health and safety (OHS) issues</w:t>
            </w:r>
          </w:p>
          <w:p w:rsidR="00000000" w:rsidRPr="00CF3BB1" w:rsidP="00CF3BB1">
            <w:pPr>
              <w:pStyle w:val="List2"/>
            </w:pPr>
            <w:r w:rsidRPr="00CF3BB1">
              <w:t>1.4.</w:t>
            </w:r>
            <w:r w:rsidRPr="00CF3BB1">
              <w:tab/>
              <w:t xml:space="preserve">Prepare for </w:t>
            </w:r>
            <w:r w:rsidRPr="00CF3BB1">
              <w:t xml:space="preserve">installation according to </w:t>
            </w:r>
            <w:r w:rsidRPr="00CF3BB1">
              <w:rPr>
                <w:rStyle w:val="BoldandItalics"/>
              </w:rPr>
              <w:t>relevant legislation</w:t>
            </w:r>
            <w:r w:rsidRPr="00CF3BB1">
              <w:t xml:space="preserve">, </w:t>
            </w:r>
            <w:r w:rsidRPr="00CF3BB1">
              <w:rPr>
                <w:rStyle w:val="BoldandItalics"/>
              </w:rPr>
              <w:t>codes</w:t>
            </w:r>
            <w:r w:rsidRPr="00CF3BB1">
              <w:t xml:space="preserve">, </w:t>
            </w:r>
            <w:r w:rsidRPr="00CF3BB1">
              <w:rPr>
                <w:rStyle w:val="BoldandItalics"/>
              </w:rPr>
              <w:t>regulations and standards</w:t>
            </w:r>
            <w:r w:rsidRPr="00CF3BB1">
              <w:t xml:space="preserve"> </w:t>
            </w:r>
          </w:p>
          <w:p w:rsidR="00000000" w:rsidP="00CF3BB1">
            <w:pPr>
              <w:pStyle w:val="List2"/>
              <w:rPr>
                <w:lang w:val="en-NZ"/>
              </w:rPr>
            </w:pPr>
            <w:r w:rsidRPr="00CF3BB1">
              <w:t>1.5.</w:t>
            </w:r>
            <w:r w:rsidRPr="00CF3BB1">
              <w:tab/>
              <w:t xml:space="preserve">Verify </w:t>
            </w:r>
            <w:r w:rsidRPr="00CF3BB1">
              <w:rPr>
                <w:rStyle w:val="BoldandItalics"/>
              </w:rPr>
              <w:t>design requirements</w:t>
            </w:r>
            <w:r w:rsidRPr="00CF3BB1">
              <w:t xml:space="preserve"> are suitable for site application and required system performance</w:t>
            </w:r>
          </w:p>
        </w:tc>
      </w:tr>
      <w:tr w:rsidTr="0002719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List"/>
              <w:rPr>
                <w:lang w:val="en-NZ"/>
              </w:rPr>
            </w:pPr>
            <w:r w:rsidRPr="00CF3BB1">
              <w:t>2.</w:t>
            </w:r>
            <w:r w:rsidRPr="00CF3BB1">
              <w:tab/>
              <w:t xml:space="preserve">Assemble complex digital reception system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2"/>
            </w:pPr>
            <w:r w:rsidRPr="00CF3BB1">
              <w:t>2.1.</w:t>
            </w:r>
            <w:r w:rsidRPr="00CF3BB1">
              <w:tab/>
              <w:t>Select and obtain materi</w:t>
            </w:r>
            <w:r w:rsidRPr="00CF3BB1">
              <w:t xml:space="preserve">als, </w:t>
            </w:r>
            <w:r w:rsidRPr="00CF3BB1">
              <w:rPr>
                <w:rStyle w:val="BoldandItalics"/>
              </w:rPr>
              <w:t>tools and equipment</w:t>
            </w:r>
            <w:r w:rsidRPr="00CF3BB1">
              <w:t xml:space="preserve"> for installation</w:t>
            </w:r>
          </w:p>
          <w:p w:rsidR="00000000" w:rsidRPr="00CF3BB1" w:rsidP="00CF3BB1">
            <w:pPr>
              <w:pStyle w:val="List2"/>
            </w:pPr>
            <w:r w:rsidRPr="00CF3BB1">
              <w:t>2.2.</w:t>
            </w:r>
            <w:r w:rsidRPr="00CF3BB1">
              <w:tab/>
              <w:t xml:space="preserve">Select suitable </w:t>
            </w:r>
            <w:r w:rsidRPr="00CF3BB1">
              <w:rPr>
                <w:rStyle w:val="BoldandItalics"/>
              </w:rPr>
              <w:t>headend</w:t>
            </w:r>
            <w:r w:rsidRPr="00CF3BB1">
              <w:t xml:space="preserve"> location and cable access</w:t>
            </w:r>
          </w:p>
          <w:p w:rsidR="00000000" w:rsidRPr="00CF3BB1" w:rsidP="00CF3BB1">
            <w:pPr>
              <w:pStyle w:val="List2"/>
            </w:pPr>
            <w:r w:rsidRPr="00CF3BB1">
              <w:t>2.3.</w:t>
            </w:r>
            <w:r w:rsidRPr="00CF3BB1">
              <w:tab/>
              <w:t>Build headend according to design requirements and manufacturer's specifications</w:t>
            </w:r>
          </w:p>
          <w:p w:rsidR="00000000" w:rsidRPr="00CF3BB1" w:rsidP="00CF3BB1">
            <w:pPr>
              <w:pStyle w:val="List2"/>
            </w:pPr>
            <w:r w:rsidRPr="00CF3BB1">
              <w:t>2.4.</w:t>
            </w:r>
            <w:r w:rsidRPr="00CF3BB1">
              <w:tab/>
              <w:t>Configure headend and distribution devices to operate according to d</w:t>
            </w:r>
            <w:r w:rsidRPr="00CF3BB1">
              <w:t>esign and manufacturer's specifications</w:t>
            </w:r>
          </w:p>
          <w:p w:rsidR="00000000" w:rsidRPr="00CF3BB1" w:rsidP="00CF3BB1">
            <w:pPr>
              <w:pStyle w:val="List2"/>
            </w:pPr>
            <w:r w:rsidRPr="00CF3BB1">
              <w:t>2.5.</w:t>
            </w:r>
            <w:r w:rsidRPr="00CF3BB1">
              <w:tab/>
              <w:t xml:space="preserve">Run </w:t>
            </w:r>
            <w:r w:rsidRPr="00CF3BB1">
              <w:rPr>
                <w:rStyle w:val="BoldandItalics"/>
              </w:rPr>
              <w:t>cables</w:t>
            </w:r>
            <w:r w:rsidRPr="00CF3BB1">
              <w:t xml:space="preserve"> along identified runs </w:t>
            </w:r>
          </w:p>
          <w:p w:rsidR="00000000" w:rsidP="00CF3BB1">
            <w:pPr>
              <w:pStyle w:val="List2"/>
              <w:rPr>
                <w:lang w:val="en-NZ"/>
              </w:rPr>
            </w:pPr>
            <w:r w:rsidRPr="00CF3BB1">
              <w:t>2.6.</w:t>
            </w:r>
            <w:r w:rsidRPr="00CF3BB1">
              <w:tab/>
              <w:t xml:space="preserve">Terminate cables according to both design and manufacturer's specifications </w:t>
            </w:r>
          </w:p>
        </w:tc>
      </w:tr>
      <w:tr w:rsidTr="0002719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List"/>
              <w:rPr>
                <w:lang w:val="en-NZ"/>
              </w:rPr>
            </w:pPr>
            <w:r w:rsidRPr="00CF3BB1">
              <w:t>3.</w:t>
            </w:r>
            <w:r w:rsidRPr="00CF3BB1">
              <w:tab/>
              <w:t>Test and commission system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2"/>
            </w:pPr>
            <w:r w:rsidRPr="00CF3BB1">
              <w:t>3.1.</w:t>
            </w:r>
            <w:r w:rsidRPr="00CF3BB1">
              <w:tab/>
              <w:t xml:space="preserve">Conduct </w:t>
            </w:r>
            <w:r w:rsidRPr="00CF3BB1">
              <w:rPr>
                <w:rStyle w:val="BoldandItalics"/>
              </w:rPr>
              <w:t>performance test</w:t>
            </w:r>
            <w:r w:rsidRPr="00CF3BB1">
              <w:t xml:space="preserve"> operation of headend </w:t>
            </w:r>
            <w:r w:rsidRPr="00CF3BB1">
              <w:t xml:space="preserve">and distribution </w:t>
            </w:r>
            <w:r w:rsidRPr="00CF3BB1">
              <w:rPr>
                <w:rStyle w:val="BoldandItalics"/>
              </w:rPr>
              <w:t>devices</w:t>
            </w:r>
          </w:p>
          <w:p w:rsidR="00000000" w:rsidRPr="00CF3BB1" w:rsidP="00CF3BB1">
            <w:pPr>
              <w:pStyle w:val="List2"/>
            </w:pPr>
            <w:r w:rsidRPr="00CF3BB1">
              <w:t>3.2.</w:t>
            </w:r>
            <w:r w:rsidRPr="00CF3BB1">
              <w:tab/>
              <w:t xml:space="preserve">Activate system and conduct signal measurement using test equipment </w:t>
            </w:r>
          </w:p>
          <w:p w:rsidR="00000000" w:rsidRPr="00CF3BB1" w:rsidP="00CF3BB1">
            <w:pPr>
              <w:pStyle w:val="List2"/>
            </w:pPr>
            <w:r w:rsidRPr="00CF3BB1">
              <w:t>3.3.</w:t>
            </w:r>
            <w:r w:rsidRPr="00CF3BB1">
              <w:tab/>
              <w:t>Record and analyse initial test results for quality of service according to design specifications</w:t>
            </w:r>
          </w:p>
          <w:p w:rsidR="00000000" w:rsidRPr="00CF3BB1" w:rsidP="00CF3BB1">
            <w:pPr>
              <w:pStyle w:val="List2"/>
            </w:pPr>
            <w:r w:rsidRPr="00CF3BB1">
              <w:t>3.4.</w:t>
            </w:r>
            <w:r w:rsidRPr="00CF3BB1">
              <w:tab/>
              <w:t>Rectify identified faults and adjust system to op</w:t>
            </w:r>
            <w:r w:rsidRPr="00CF3BB1">
              <w:t>timal operation</w:t>
            </w:r>
          </w:p>
          <w:p w:rsidR="00000000" w:rsidRPr="00CF3BB1" w:rsidP="00CF3BB1">
            <w:pPr>
              <w:pStyle w:val="List2"/>
            </w:pPr>
            <w:r w:rsidRPr="00CF3BB1">
              <w:t>3.5.</w:t>
            </w:r>
            <w:r w:rsidRPr="00CF3BB1">
              <w:tab/>
              <w:t xml:space="preserve">Conduct final signal measurement using test equipment to </w:t>
            </w:r>
            <w:r w:rsidRPr="00CF3BB1">
              <w:rPr>
                <w:rStyle w:val="BoldandItalics"/>
              </w:rPr>
              <w:t>optimise performance</w:t>
            </w:r>
          </w:p>
          <w:p w:rsidR="00000000" w:rsidP="00CF3BB1">
            <w:pPr>
              <w:pStyle w:val="List2"/>
              <w:rPr>
                <w:lang w:val="en-NZ"/>
              </w:rPr>
            </w:pPr>
            <w:r w:rsidRPr="00CF3BB1">
              <w:t>3.6.</w:t>
            </w:r>
            <w:r w:rsidRPr="00CF3BB1">
              <w:tab/>
              <w:t>Update design plans to 'as built' status</w:t>
            </w:r>
          </w:p>
        </w:tc>
      </w:tr>
      <w:tr w:rsidTr="0002719C">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List"/>
              <w:rPr>
                <w:lang w:val="en-NZ"/>
              </w:rPr>
            </w:pPr>
            <w:r w:rsidRPr="00CF3BB1">
              <w:t>4.</w:t>
            </w:r>
            <w:r w:rsidRPr="00CF3BB1">
              <w:tab/>
              <w:t>Complete administrative tasks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2"/>
            </w:pPr>
            <w:r w:rsidRPr="00CF3BB1">
              <w:t>4.1.</w:t>
            </w:r>
            <w:r w:rsidRPr="00CF3BB1">
              <w:tab/>
              <w:t>Record final commissioning test results and settings in line with client</w:t>
            </w:r>
            <w:r w:rsidRPr="00CF3BB1">
              <w:t xml:space="preserve"> requirements</w:t>
            </w:r>
          </w:p>
          <w:p w:rsidR="00000000" w:rsidRPr="00CF3BB1" w:rsidP="00CF3BB1">
            <w:pPr>
              <w:pStyle w:val="List2"/>
            </w:pPr>
            <w:r w:rsidRPr="00CF3BB1">
              <w:t>4.2.</w:t>
            </w:r>
            <w:r w:rsidRPr="00CF3BB1">
              <w:tab/>
              <w:t>Complete appropriate records and test results, and store according to policy</w:t>
            </w:r>
          </w:p>
          <w:p w:rsidR="00000000" w:rsidRPr="00CF3BB1" w:rsidP="00CF3BB1">
            <w:pPr>
              <w:pStyle w:val="List2"/>
            </w:pPr>
            <w:r w:rsidRPr="00CF3BB1">
              <w:t>4.3.</w:t>
            </w:r>
            <w:r w:rsidRPr="00CF3BB1">
              <w:tab/>
              <w:t xml:space="preserve">Completion of all financial and other documentation </w:t>
            </w:r>
          </w:p>
          <w:p w:rsidR="00000000" w:rsidRPr="00CF3BB1" w:rsidP="00CF3BB1">
            <w:pPr>
              <w:pStyle w:val="List2"/>
            </w:pPr>
            <w:r w:rsidRPr="00CF3BB1">
              <w:t>4.4.</w:t>
            </w:r>
            <w:r w:rsidRPr="00CF3BB1">
              <w:tab/>
            </w:r>
            <w:r w:rsidRPr="00CF3BB1">
              <w:rPr>
                <w:rStyle w:val="BoldandItalics"/>
              </w:rPr>
              <w:t>Handover to customer</w:t>
            </w:r>
            <w:r w:rsidRPr="00CF3BB1">
              <w:t xml:space="preserve"> and obtain sign off</w:t>
            </w:r>
          </w:p>
        </w:tc>
      </w:tr>
    </w:tbl>
    <w:p w:rsidR="0002719C" w:rsidP="00CF3BB1">
      <w:pPr>
        <w:pStyle w:val="BodyText"/>
      </w:pPr>
    </w:p>
    <w:p w:rsidR="0002719C" w:rsidP="00CF3BB1">
      <w:pPr>
        <w:pStyle w:val="BodyText"/>
      </w:pPr>
    </w:p>
    <w:p w:rsidR="00000000" w:rsidRPr="00CF3BB1" w:rsidP="00CF3BB1">
      <w:pPr>
        <w:pStyle w:val="Heading1"/>
      </w:pPr>
      <w:bookmarkStart w:id="9" w:name="O_260441"/>
      <w:bookmarkEnd w:id="9"/>
      <w:r w:rsidRPr="00CF3BB1">
        <w:t>Required Skills and Knowledge</w:t>
      </w:r>
    </w:p>
    <w:tbl>
      <w:tblPr>
        <w:tblW w:w="0" w:type="auto"/>
        <w:tblLayout w:type="fixed"/>
        <w:tblCellMar>
          <w:left w:w="62" w:type="dxa"/>
          <w:right w:w="62" w:type="dxa"/>
        </w:tblCellMar>
        <w:tblLook w:val="0000"/>
      </w:tblPr>
      <w:tblGrid>
        <w:gridCol w:w="8522"/>
      </w:tblGrid>
      <w:tr w:rsidTr="000271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REQUIRED SKILLS AND KNOWLEDGE</w:t>
            </w:r>
          </w:p>
        </w:tc>
      </w:tr>
      <w:tr w:rsidTr="000271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t>This section describes the skills and knowledge required for this unit.</w:t>
            </w:r>
          </w:p>
        </w:tc>
      </w:tr>
      <w:tr w:rsidTr="00027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Required skills</w:t>
            </w:r>
          </w:p>
        </w:tc>
      </w:tr>
      <w:tr w:rsidTr="00027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communication skills to:</w:t>
            </w:r>
          </w:p>
          <w:p w:rsidR="00000000" w:rsidRPr="00CF3BB1" w:rsidP="00CF3BB1">
            <w:pPr>
              <w:pStyle w:val="ListBullet2"/>
            </w:pPr>
            <w:r w:rsidRPr="00CF3BB1">
              <w:t>negotiate with site owner and organisations or individuals who may be affected by an outage</w:t>
            </w:r>
          </w:p>
          <w:p w:rsidR="00000000" w:rsidRPr="00CF3BB1" w:rsidP="00CF3BB1">
            <w:pPr>
              <w:pStyle w:val="ListBullet2"/>
            </w:pPr>
            <w:r w:rsidRPr="00CF3BB1">
              <w:t>provide advice and guidance to others or to seek assistance</w:t>
            </w:r>
          </w:p>
          <w:p w:rsidR="00000000" w:rsidRPr="00CF3BB1" w:rsidP="00CF3BB1">
            <w:pPr>
              <w:pStyle w:val="ListBullet"/>
            </w:pPr>
            <w:r w:rsidRPr="00CF3BB1">
              <w:t>literacy skills to interpret technical documentation, specifications and service orders</w:t>
            </w:r>
          </w:p>
          <w:p w:rsidR="00000000" w:rsidRPr="00CF3BB1" w:rsidP="00CF3BB1">
            <w:pPr>
              <w:pStyle w:val="ListBullet"/>
            </w:pPr>
            <w:r w:rsidRPr="00CF3BB1">
              <w:t>numeracy skills to:</w:t>
            </w:r>
          </w:p>
          <w:p w:rsidR="00000000" w:rsidRPr="00CF3BB1" w:rsidP="00CF3BB1">
            <w:pPr>
              <w:pStyle w:val="ListBullet2"/>
            </w:pPr>
            <w:r w:rsidRPr="00CF3BB1">
              <w:t>set up</w:t>
            </w:r>
          </w:p>
          <w:p w:rsidR="00000000" w:rsidRPr="00CF3BB1" w:rsidP="00CF3BB1">
            <w:pPr>
              <w:pStyle w:val="ListBullet2"/>
            </w:pPr>
            <w:r w:rsidRPr="00CF3BB1">
              <w:t>check that equipment is calibrated</w:t>
            </w:r>
          </w:p>
          <w:p w:rsidR="00000000" w:rsidRPr="00CF3BB1" w:rsidP="00CF3BB1">
            <w:pPr>
              <w:pStyle w:val="ListBullet2"/>
            </w:pPr>
            <w:r w:rsidRPr="00CF3BB1">
              <w:t>take RF measurements</w:t>
            </w:r>
          </w:p>
          <w:p w:rsidR="00000000" w:rsidRPr="00CF3BB1" w:rsidP="00CF3BB1">
            <w:pPr>
              <w:pStyle w:val="ListBullet2"/>
            </w:pPr>
            <w:r w:rsidRPr="00CF3BB1">
              <w:t xml:space="preserve">interpret results </w:t>
            </w:r>
          </w:p>
          <w:p w:rsidR="00000000" w:rsidRPr="00CF3BB1" w:rsidP="00CF3BB1">
            <w:pPr>
              <w:pStyle w:val="ListBullet2"/>
            </w:pPr>
            <w:r w:rsidRPr="00CF3BB1">
              <w:t xml:space="preserve">evaluate different types of technical data </w:t>
            </w:r>
          </w:p>
          <w:p w:rsidR="00000000" w:rsidRPr="00CF3BB1" w:rsidP="00CF3BB1">
            <w:pPr>
              <w:pStyle w:val="ListBullet"/>
            </w:pPr>
            <w:r w:rsidRPr="00CF3BB1">
              <w:t>planning and organisational skills to organise and prepare installation resources</w:t>
            </w:r>
          </w:p>
          <w:p w:rsidR="00000000" w:rsidRPr="00CF3BB1" w:rsidP="00CF3BB1">
            <w:pPr>
              <w:pStyle w:val="ListBullet"/>
            </w:pPr>
            <w:r w:rsidRPr="00CF3BB1">
              <w:t xml:space="preserve">problem solving skills to </w:t>
            </w:r>
            <w:r w:rsidRPr="00CF3BB1">
              <w:t xml:space="preserve">respond to typical antenna installation challenges </w:t>
            </w:r>
          </w:p>
          <w:p w:rsidR="00000000" w:rsidRPr="00CF3BB1" w:rsidP="00CF3BB1">
            <w:pPr>
              <w:pStyle w:val="ListBullet"/>
            </w:pPr>
            <w:r w:rsidRPr="00CF3BB1">
              <w:t>task management skills to:</w:t>
            </w:r>
          </w:p>
          <w:p w:rsidR="00000000" w:rsidRPr="00CF3BB1" w:rsidP="00CF3BB1">
            <w:pPr>
              <w:pStyle w:val="ListBullet2"/>
            </w:pPr>
            <w:r w:rsidRPr="00CF3BB1">
              <w:t xml:space="preserve">work systematically with required attention to detail </w:t>
            </w:r>
          </w:p>
          <w:p w:rsidR="00000000" w:rsidRPr="00CF3BB1" w:rsidP="00CF3BB1">
            <w:pPr>
              <w:pStyle w:val="ListBullet2"/>
            </w:pPr>
            <w:r w:rsidRPr="00CF3BB1">
              <w:t>adhere to all safety requirements</w:t>
            </w:r>
          </w:p>
          <w:p w:rsidR="00000000" w:rsidRPr="00CF3BB1" w:rsidP="00CF3BB1">
            <w:pPr>
              <w:pStyle w:val="ListBullet"/>
            </w:pPr>
            <w:r w:rsidRPr="00CF3BB1">
              <w:t>technical skills to:</w:t>
            </w:r>
          </w:p>
          <w:p w:rsidR="00000000" w:rsidRPr="00CF3BB1" w:rsidP="00CF3BB1">
            <w:pPr>
              <w:pStyle w:val="ListBullet2"/>
            </w:pPr>
            <w:r w:rsidRPr="00CF3BB1">
              <w:t>use hand and power tools</w:t>
            </w:r>
          </w:p>
          <w:p w:rsidR="00000000" w:rsidRPr="00CF3BB1" w:rsidP="00CF3BB1">
            <w:pPr>
              <w:pStyle w:val="ListBullet2"/>
            </w:pPr>
            <w:r w:rsidRPr="00CF3BB1">
              <w:t xml:space="preserve">operate a range of specialised radio communications equipment </w:t>
            </w:r>
          </w:p>
          <w:p w:rsidR="00000000" w:rsidP="00CF3BB1">
            <w:pPr>
              <w:pStyle w:val="ListBullet2"/>
              <w:rPr>
                <w:lang w:val="en-NZ"/>
              </w:rPr>
            </w:pPr>
            <w:r w:rsidRPr="00CF3BB1">
              <w:t>perform diagnostic procedures.</w:t>
            </w:r>
          </w:p>
        </w:tc>
      </w:tr>
      <w:tr w:rsidTr="00027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Required knowledge</w:t>
            </w:r>
          </w:p>
        </w:tc>
      </w:tr>
      <w:tr w:rsidTr="00027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detailed knowledge of procedures and equipment required for measurement of:</w:t>
            </w:r>
          </w:p>
          <w:p w:rsidR="00000000" w:rsidRPr="00CF3BB1" w:rsidP="00CF3BB1">
            <w:pPr>
              <w:pStyle w:val="ListBullet2"/>
            </w:pPr>
            <w:r w:rsidRPr="00CF3BB1">
              <w:t>forward and reflected RF power</w:t>
            </w:r>
          </w:p>
          <w:p w:rsidR="00000000" w:rsidRPr="00CF3BB1" w:rsidP="00CF3BB1">
            <w:pPr>
              <w:pStyle w:val="ListBullet2"/>
            </w:pPr>
            <w:r w:rsidRPr="00CF3BB1">
              <w:t xml:space="preserve">feedline insertion loss </w:t>
            </w:r>
          </w:p>
          <w:p w:rsidR="00000000" w:rsidRPr="00CF3BB1" w:rsidP="00CF3BB1">
            <w:pPr>
              <w:pStyle w:val="ListBullet2"/>
            </w:pPr>
            <w:r w:rsidRPr="00CF3BB1">
              <w:t>distance to fault</w:t>
            </w:r>
          </w:p>
          <w:p w:rsidR="00000000" w:rsidRPr="00CF3BB1" w:rsidP="00CF3BB1">
            <w:pPr>
              <w:pStyle w:val="ListBullet2"/>
            </w:pPr>
            <w:r w:rsidRPr="00CF3BB1">
              <w:t xml:space="preserve">modulation error rate (MER) and bit error rate (BER) for the purpose of signal integrity </w:t>
            </w:r>
          </w:p>
          <w:p w:rsidR="00000000" w:rsidRPr="00CF3BB1" w:rsidP="00CF3BB1">
            <w:pPr>
              <w:pStyle w:val="ListBullet"/>
            </w:pPr>
            <w:r w:rsidRPr="00CF3BB1">
              <w:t>features of instruments, test equipment and performance requirements</w:t>
            </w:r>
          </w:p>
          <w:p w:rsidR="00000000" w:rsidRPr="00CF3BB1" w:rsidP="00CF3BB1">
            <w:pPr>
              <w:pStyle w:val="ListBullet"/>
            </w:pPr>
            <w:r w:rsidRPr="00CF3BB1">
              <w:t>performance of adjustments (tuning, balancing and replacing components)</w:t>
            </w:r>
          </w:p>
          <w:p w:rsidR="00000000" w:rsidRPr="00CF3BB1" w:rsidP="00CF3BB1">
            <w:pPr>
              <w:pStyle w:val="ListBullet"/>
            </w:pPr>
            <w:r w:rsidRPr="00CF3BB1">
              <w:t>legisl</w:t>
            </w:r>
            <w:r w:rsidRPr="00CF3BB1">
              <w:t>ation, codes of practice and other formal agreements that directly impact on operation and testing of radio communications antennas and equipment</w:t>
            </w:r>
          </w:p>
          <w:p w:rsidR="00000000" w:rsidRPr="00CF3BB1" w:rsidP="00CF3BB1">
            <w:pPr>
              <w:pStyle w:val="ListBullet"/>
            </w:pPr>
            <w:r w:rsidRPr="00CF3BB1">
              <w:t>MATV and SMATV</w:t>
            </w:r>
          </w:p>
          <w:p w:rsidR="00000000" w:rsidRPr="00CF3BB1" w:rsidP="00CF3BB1">
            <w:pPr>
              <w:pStyle w:val="ListBullet"/>
            </w:pPr>
            <w:r w:rsidRPr="00CF3BB1">
              <w:t>overview knowledge of RF spectrum</w:t>
            </w:r>
          </w:p>
          <w:p w:rsidR="00000000" w:rsidRPr="00CF3BB1" w:rsidP="00CF3BB1">
            <w:pPr>
              <w:pStyle w:val="ListBullet"/>
            </w:pPr>
            <w:r w:rsidRPr="00CF3BB1">
              <w:t xml:space="preserve">RF awareness, electromagnetic radiation (EMR) standards and specific OHS requirements that impact on the use and testing of radio communications instruments and equipment </w:t>
            </w:r>
          </w:p>
          <w:p w:rsidR="00000000" w:rsidRPr="00CF3BB1" w:rsidP="00CF3BB1">
            <w:pPr>
              <w:pStyle w:val="ListBullet"/>
            </w:pPr>
            <w:r w:rsidRPr="00CF3BB1">
              <w:t>typical issues and challenges that occur in telecommunications antenna installations</w:t>
            </w:r>
            <w:r w:rsidRPr="00CF3BB1">
              <w:t xml:space="preserve"> </w:t>
            </w:r>
          </w:p>
        </w:tc>
      </w:tr>
    </w:tbl>
    <w:p w:rsidR="0002719C" w:rsidP="00CF3BB1">
      <w:pPr>
        <w:pStyle w:val="BodyText"/>
      </w:pPr>
    </w:p>
    <w:p w:rsidR="0002719C" w:rsidP="00CF3BB1">
      <w:pPr>
        <w:pStyle w:val="BodyText"/>
      </w:pPr>
    </w:p>
    <w:p w:rsidR="00000000" w:rsidRPr="00CF3BB1" w:rsidP="00CF3BB1">
      <w:pPr>
        <w:pStyle w:val="AllowPageBreak"/>
      </w:pPr>
    </w:p>
    <w:p w:rsidR="00000000" w:rsidRPr="00CF3BB1" w:rsidP="00CF3BB1">
      <w:pPr>
        <w:pStyle w:val="Heading1"/>
      </w:pPr>
      <w:bookmarkStart w:id="10" w:name="O_244475"/>
      <w:bookmarkEnd w:id="10"/>
      <w:r w:rsidRPr="00CF3BB1">
        <w:t>Evidence Guide</w:t>
      </w:r>
    </w:p>
    <w:tbl>
      <w:tblPr>
        <w:tblW w:w="9570" w:type="dxa"/>
        <w:tblLayout w:type="fixed"/>
        <w:tblCellMar>
          <w:left w:w="62" w:type="dxa"/>
          <w:right w:w="62" w:type="dxa"/>
        </w:tblCellMar>
        <w:tblLook w:val="0000"/>
      </w:tblPr>
      <w:tblGrid>
        <w:gridCol w:w="3908"/>
        <w:gridCol w:w="5662"/>
      </w:tblGrid>
      <w:tr w:rsidTr="000271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EVIDENCE GUIDE</w:t>
            </w:r>
          </w:p>
        </w:tc>
      </w:tr>
      <w:tr w:rsidTr="000271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t xml:space="preserve">The evidence guide provides advice on assessment and must be read in conjunction with the performance criteria, required skills and knowledge, </w:t>
            </w:r>
            <w:r w:rsidRPr="00CF3BB1">
              <w:t>range statement and the Assessment Guidelines for the Training Package.</w:t>
            </w:r>
          </w:p>
        </w:tc>
      </w:tr>
      <w:tr w:rsidTr="00027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p>
        </w:tc>
      </w:tr>
      <w:tr w:rsidTr="00027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Evidence of the ability to:</w:t>
            </w:r>
          </w:p>
          <w:p w:rsidR="00000000" w:rsidRPr="00CF3BB1" w:rsidP="00CF3BB1">
            <w:pPr>
              <w:pStyle w:val="ListBullet"/>
            </w:pPr>
            <w:r w:rsidRPr="00CF3BB1">
              <w:t xml:space="preserve">plan, assemble and install a complex digital reception system </w:t>
            </w:r>
          </w:p>
          <w:p w:rsidR="00000000" w:rsidRPr="00CF3BB1" w:rsidP="00CF3BB1">
            <w:pPr>
              <w:pStyle w:val="ListBullet"/>
            </w:pPr>
            <w:r w:rsidRPr="00CF3BB1">
              <w:t>conduct functionality tests and interpret results</w:t>
            </w:r>
          </w:p>
          <w:p w:rsidR="00000000" w:rsidRPr="00CF3BB1" w:rsidP="00CF3BB1">
            <w:pPr>
              <w:pStyle w:val="ListBullet"/>
            </w:pPr>
            <w:r w:rsidRPr="00CF3BB1">
              <w:t>perform handover to customer</w:t>
            </w:r>
          </w:p>
          <w:p w:rsidR="00000000" w:rsidP="00CF3BB1">
            <w:pPr>
              <w:pStyle w:val="ListBullet"/>
              <w:rPr>
                <w:lang w:val="en-NZ"/>
              </w:rPr>
            </w:pPr>
            <w:r w:rsidRPr="00CF3BB1">
              <w:t>apply related OHS requirements and work practices.</w:t>
            </w:r>
          </w:p>
        </w:tc>
      </w:tr>
      <w:tr w:rsidTr="00027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Context of</w:t>
            </w:r>
            <w:r w:rsidRPr="00CF3BB1">
              <w:t xml:space="preserve">, </w:t>
            </w:r>
            <w:r w:rsidRPr="00CF3BB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 xml:space="preserve">Assessment must ensure: </w:t>
            </w:r>
          </w:p>
          <w:p w:rsidR="00000000" w:rsidRPr="00CF3BB1" w:rsidP="00CF3BB1">
            <w:pPr>
              <w:pStyle w:val="ListBullet"/>
            </w:pPr>
            <w:r w:rsidRPr="00CF3BB1">
              <w:t>site for complex digital reception system installation</w:t>
            </w:r>
          </w:p>
          <w:p w:rsidR="00000000" w:rsidRPr="00CF3BB1" w:rsidP="00CF3BB1">
            <w:pPr>
              <w:pStyle w:val="ListBullet"/>
            </w:pPr>
            <w:r w:rsidRPr="00CF3BB1">
              <w:t>range of complex digital reception systems currently used in industry</w:t>
            </w:r>
          </w:p>
          <w:p w:rsidR="00000000" w:rsidP="00CF3BB1">
            <w:pPr>
              <w:pStyle w:val="ListBullet"/>
              <w:rPr>
                <w:lang w:val="en-NZ"/>
              </w:rPr>
            </w:pPr>
            <w:r w:rsidRPr="00CF3BB1">
              <w:t>range of test equipment required for digital reception system installation and testing.</w:t>
            </w:r>
          </w:p>
        </w:tc>
      </w:tr>
      <w:tr w:rsidTr="00027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Methods of asses</w:t>
            </w:r>
            <w:r w:rsidRPr="00CF3BB1">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A range of assessment methods should be used to assess practical skills and knowledge. The following examples are appropriate for this unit:</w:t>
            </w:r>
          </w:p>
          <w:p w:rsidR="00000000" w:rsidRPr="00CF3BB1" w:rsidP="00CF3BB1">
            <w:pPr>
              <w:pStyle w:val="ListBullet"/>
            </w:pPr>
            <w:r w:rsidRPr="00CF3BB1">
              <w:t>direct observation of the candidate installing a complex digital reception system</w:t>
            </w:r>
          </w:p>
          <w:p w:rsidR="00000000" w:rsidRPr="00CF3BB1" w:rsidP="00CF3BB1">
            <w:pPr>
              <w:pStyle w:val="ListBullet"/>
            </w:pPr>
            <w:r w:rsidRPr="00CF3BB1">
              <w:t xml:space="preserve">direct observation of the </w:t>
            </w:r>
            <w:r w:rsidRPr="00CF3BB1">
              <w:t>candidate conducting signal measurement and adjusting for optimal performance</w:t>
            </w:r>
          </w:p>
          <w:p w:rsidR="00000000" w:rsidRPr="00CF3BB1" w:rsidP="00CF3BB1">
            <w:pPr>
              <w:pStyle w:val="ListBullet"/>
            </w:pPr>
            <w:r w:rsidRPr="00CF3BB1">
              <w:t>oral or written questioning of the candidate to assess knowledge of complex digital reception systems</w:t>
            </w:r>
          </w:p>
          <w:p w:rsidR="00000000" w:rsidP="00CF3BB1">
            <w:pPr>
              <w:pStyle w:val="ListBullet"/>
              <w:rPr>
                <w:lang w:val="en-NZ"/>
              </w:rPr>
            </w:pPr>
            <w:r w:rsidRPr="00CF3BB1">
              <w:t>oral or written questioning of the candidate to assess knowledge of test met</w:t>
            </w:r>
            <w:r w:rsidRPr="00CF3BB1">
              <w:t>hods and performance requirements.</w:t>
            </w:r>
          </w:p>
        </w:tc>
      </w:tr>
      <w:tr w:rsidTr="00027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Guidance information for assessment</w:t>
            </w:r>
            <w:r w:rsidRPr="00CF3BB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Holistic assessment with other units relevant to the industry sector, workplace and job role is recommended, for example:</w:t>
            </w:r>
          </w:p>
          <w:p w:rsidR="00000000" w:rsidRPr="00CF3BB1" w:rsidP="00CF3BB1">
            <w:pPr>
              <w:pStyle w:val="ListBullet"/>
            </w:pPr>
            <w:r w:rsidRPr="00CF3BB1">
              <w:t>ICTDRE4166A Integrate customer digital reception equipment.</w:t>
            </w:r>
          </w:p>
          <w:p w:rsidR="00000000" w:rsidRPr="00CF3BB1" w:rsidP="00CF3BB1">
            <w:pPr>
              <w:pStyle w:val="BodyText"/>
            </w:pPr>
          </w:p>
          <w:p w:rsidR="00000000" w:rsidRPr="00CF3BB1" w:rsidP="00CF3BB1">
            <w:pPr>
              <w:pStyle w:val="BodyText"/>
            </w:pPr>
            <w:r w:rsidRPr="00CF3BB1">
              <w:t>Aboriginal people and other people from a non-English speaking background may have second language issues.</w:t>
            </w:r>
          </w:p>
          <w:p w:rsidR="00000000" w:rsidRPr="00CF3BB1" w:rsidP="00CF3BB1">
            <w:pPr>
              <w:pStyle w:val="BodyText"/>
            </w:pPr>
          </w:p>
          <w:p w:rsidR="00000000" w:rsidRPr="00CF3BB1" w:rsidP="00CF3BB1">
            <w:pPr>
              <w:pStyle w:val="BodyText"/>
            </w:pPr>
            <w:r w:rsidRPr="00CF3BB1">
              <w:t xml:space="preserve">Access must be provided to appropriate learning and assessment support when required. </w:t>
            </w:r>
          </w:p>
          <w:p w:rsidR="00000000" w:rsidRPr="00CF3BB1" w:rsidP="00CF3BB1">
            <w:pPr>
              <w:pStyle w:val="BodyText"/>
            </w:pPr>
          </w:p>
          <w:p w:rsidR="00000000" w:rsidRPr="00CF3BB1" w:rsidP="00CF3BB1">
            <w:pPr>
              <w:pStyle w:val="BodyText"/>
            </w:pPr>
            <w:r w:rsidRPr="00CF3BB1">
              <w:t>Assessment processes and techniques must be culturally appr</w:t>
            </w:r>
            <w:r w:rsidRPr="00CF3BB1">
              <w:t>opriate, and appropriate to the oral communication skill level, and language and literacy capacity of the candidate and the work being performed.</w:t>
            </w:r>
          </w:p>
          <w:p w:rsidR="00000000" w:rsidRPr="00CF3BB1" w:rsidP="00CF3BB1">
            <w:pPr>
              <w:pStyle w:val="BodyText"/>
            </w:pPr>
          </w:p>
          <w:p w:rsidR="00000000" w:rsidRPr="00CF3BB1" w:rsidP="00CF3BB1">
            <w:pPr>
              <w:pStyle w:val="BodyText"/>
            </w:pPr>
            <w:r w:rsidRPr="00CF3BB1">
              <w:t>In all cases where practical assessment is used it will be combined with targeted questioning to assess requi</w:t>
            </w:r>
            <w:r w:rsidRPr="00CF3BB1">
              <w:t xml:space="preserve">red knowledge. Questioning techniques should not require language, literacy and numeracy skills beyond those required in this unit of competency. </w:t>
            </w:r>
          </w:p>
          <w:p w:rsidR="00000000" w:rsidRPr="00CF3BB1" w:rsidP="00CF3BB1">
            <w:pPr>
              <w:pStyle w:val="BodyText"/>
            </w:pPr>
          </w:p>
          <w:p w:rsidR="00000000" w:rsidRPr="00CF3BB1" w:rsidP="00CF3BB1">
            <w:pPr>
              <w:pStyle w:val="BodyText"/>
            </w:pPr>
            <w:r w:rsidRPr="00CF3BB1">
              <w:t>Where applicable, physical resources should include equipment modified for people with special needs.</w:t>
            </w:r>
          </w:p>
        </w:tc>
      </w:tr>
    </w:tbl>
    <w:p w:rsidR="0002719C" w:rsidP="00CF3BB1">
      <w:pPr>
        <w:pStyle w:val="BodyText"/>
      </w:pPr>
    </w:p>
    <w:p w:rsidR="0002719C" w:rsidP="00CF3BB1">
      <w:pPr>
        <w:pStyle w:val="BodyText"/>
      </w:pPr>
    </w:p>
    <w:p w:rsidR="00000000" w:rsidRPr="00CF3BB1" w:rsidP="00CF3BB1">
      <w:pPr>
        <w:pStyle w:val="Heading1"/>
      </w:pPr>
      <w:bookmarkStart w:id="11" w:name="O_252458"/>
      <w:bookmarkEnd w:id="11"/>
      <w:r w:rsidRPr="00CF3BB1">
        <w:t>Range Statement</w:t>
      </w:r>
    </w:p>
    <w:tbl>
      <w:tblPr>
        <w:tblW w:w="0" w:type="auto"/>
        <w:tblLayout w:type="fixed"/>
        <w:tblCellMar>
          <w:left w:w="62" w:type="dxa"/>
          <w:right w:w="62" w:type="dxa"/>
        </w:tblCellMar>
        <w:tblLook w:val="0000"/>
      </w:tblPr>
      <w:tblGrid>
        <w:gridCol w:w="3475"/>
        <w:gridCol w:w="5047"/>
      </w:tblGrid>
      <w:tr w:rsidTr="000271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RANGE STATEMENT</w:t>
            </w:r>
          </w:p>
        </w:tc>
      </w:tr>
      <w:tr w:rsidTr="000271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t>The range statement relates to the unit of competency as a whole. It allows for different work environments and situations that may affect performance. Bold italicised wording, if used in the performance cr</w:t>
            </w:r>
            <w:r w:rsidRPr="00CF3BB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Customer</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consultant</w:t>
            </w:r>
          </w:p>
          <w:p w:rsidR="00000000" w:rsidRPr="00CF3BB1" w:rsidP="00CF3BB1">
            <w:pPr>
              <w:pStyle w:val="ListBullet"/>
            </w:pPr>
            <w:r w:rsidRPr="00CF3BB1">
              <w:t>individual client</w:t>
            </w:r>
          </w:p>
          <w:p w:rsidR="00000000" w:rsidRPr="00CF3BB1" w:rsidP="00CF3BB1">
            <w:pPr>
              <w:pStyle w:val="ListBullet"/>
            </w:pPr>
            <w:r w:rsidRPr="00CF3BB1">
              <w:t>project manager</w:t>
            </w:r>
          </w:p>
          <w:p w:rsidR="00000000" w:rsidRPr="00CF3BB1" w:rsidP="00CF3BB1">
            <w:pPr>
              <w:pStyle w:val="ListBullet"/>
            </w:pPr>
            <w:r w:rsidRPr="00CF3BB1">
              <w:t>site manager</w:t>
            </w:r>
          </w:p>
          <w:p w:rsidR="00000000" w:rsidP="00CF3BB1">
            <w:pPr>
              <w:pStyle w:val="ListBullet"/>
              <w:rPr>
                <w:lang w:val="en-NZ"/>
              </w:rPr>
            </w:pPr>
            <w:r w:rsidRPr="00CF3BB1">
              <w:t>site supervisor.</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Customer equipment</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digital free to air (FTA)</w:t>
            </w:r>
          </w:p>
          <w:p w:rsidR="00000000" w:rsidRPr="00CF3BB1" w:rsidP="00CF3BB1">
            <w:pPr>
              <w:pStyle w:val="ListBullet"/>
            </w:pPr>
            <w:r w:rsidRPr="00CF3BB1">
              <w:t>hard disk recorder</w:t>
            </w:r>
          </w:p>
          <w:p w:rsidR="00000000" w:rsidRPr="00CF3BB1" w:rsidP="00CF3BB1">
            <w:pPr>
              <w:pStyle w:val="ListBullet"/>
            </w:pPr>
            <w:r w:rsidRPr="00CF3BB1">
              <w:t>high definition (HD) TV</w:t>
            </w:r>
          </w:p>
          <w:p w:rsidR="00000000" w:rsidRPr="00CF3BB1" w:rsidP="00CF3BB1">
            <w:pPr>
              <w:pStyle w:val="ListBullet"/>
            </w:pPr>
            <w:r w:rsidRPr="00CF3BB1">
              <w:t>home automation</w:t>
            </w:r>
          </w:p>
          <w:p w:rsidR="00000000" w:rsidRPr="00CF3BB1" w:rsidP="00CF3BB1">
            <w:pPr>
              <w:pStyle w:val="ListBullet"/>
            </w:pPr>
            <w:r w:rsidRPr="00CF3BB1">
              <w:t>MATV</w:t>
            </w:r>
          </w:p>
          <w:p w:rsidR="00000000" w:rsidRPr="00CF3BB1" w:rsidP="00CF3BB1">
            <w:pPr>
              <w:pStyle w:val="ListBullet"/>
            </w:pPr>
            <w:r w:rsidRPr="00CF3BB1">
              <w:t>media centre</w:t>
            </w:r>
          </w:p>
          <w:p w:rsidR="00000000" w:rsidRPr="00CF3BB1" w:rsidP="00CF3BB1">
            <w:pPr>
              <w:pStyle w:val="ListBullet"/>
            </w:pPr>
            <w:r w:rsidRPr="00CF3BB1">
              <w:t>SMATV</w:t>
            </w:r>
          </w:p>
          <w:p w:rsidR="00000000" w:rsidRPr="00CF3BB1" w:rsidP="00CF3BB1">
            <w:pPr>
              <w:pStyle w:val="ListBullet"/>
            </w:pPr>
            <w:r w:rsidRPr="00CF3BB1">
              <w:t>video player</w:t>
            </w:r>
          </w:p>
          <w:p w:rsidR="00000000" w:rsidP="00CF3BB1">
            <w:pPr>
              <w:pStyle w:val="ListBullet"/>
              <w:rPr>
                <w:lang w:val="en-NZ"/>
              </w:rPr>
            </w:pPr>
            <w:r w:rsidRPr="00CF3BB1">
              <w:t>video and audio distribution systems.</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Complex digital systems</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MATV</w:t>
            </w:r>
          </w:p>
          <w:p w:rsidR="00000000" w:rsidP="00CF3BB1">
            <w:pPr>
              <w:pStyle w:val="ListBullet"/>
              <w:rPr>
                <w:lang w:val="en-NZ"/>
              </w:rPr>
            </w:pPr>
            <w:r w:rsidRPr="00CF3BB1">
              <w:t>SMATV.</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Relevant legislation</w:t>
            </w:r>
            <w:r w:rsidRPr="00CF3BB1">
              <w:t xml:space="preserve">, </w:t>
            </w:r>
            <w:r w:rsidRPr="00CF3BB1">
              <w:rPr>
                <w:rStyle w:val="BoldandItalics"/>
              </w:rPr>
              <w:t>codes</w:t>
            </w:r>
            <w:r w:rsidRPr="00CF3BB1">
              <w:t xml:space="preserve">, </w:t>
            </w:r>
            <w:r w:rsidRPr="00CF3BB1">
              <w:rPr>
                <w:rStyle w:val="BoldandItalics"/>
              </w:rPr>
              <w:t>regulations and standards</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Australian Communications Industry Forum (ACIF) standards and codes</w:t>
            </w:r>
          </w:p>
          <w:p w:rsidR="00000000" w:rsidRPr="00CF3BB1" w:rsidP="00CF3BB1">
            <w:pPr>
              <w:pStyle w:val="ListBullet"/>
            </w:pPr>
            <w:r w:rsidRPr="00CF3BB1">
              <w:t>Australian Communications and Media Authoruty (ACMA) technical standards</w:t>
            </w:r>
          </w:p>
          <w:p w:rsidR="00000000" w:rsidRPr="00CF3BB1" w:rsidP="00CF3BB1">
            <w:pPr>
              <w:pStyle w:val="ListBullet"/>
            </w:pPr>
            <w:r w:rsidRPr="00CF3BB1">
              <w:t>ARPANSA EMR standard</w:t>
            </w:r>
          </w:p>
          <w:p w:rsidR="00000000" w:rsidRPr="00CF3BB1" w:rsidP="00CF3BB1">
            <w:pPr>
              <w:pStyle w:val="ListBullet"/>
            </w:pPr>
            <w:r w:rsidRPr="00CF3BB1">
              <w:t>Australian building codes and regulations</w:t>
            </w:r>
          </w:p>
          <w:p w:rsidR="00000000" w:rsidRPr="00CF3BB1" w:rsidP="00CF3BB1">
            <w:pPr>
              <w:pStyle w:val="ListBullet"/>
            </w:pPr>
            <w:r w:rsidRPr="00CF3BB1">
              <w:t>Australian standards</w:t>
            </w:r>
          </w:p>
          <w:p w:rsidR="00000000" w:rsidRPr="00CF3BB1" w:rsidP="00CF3BB1">
            <w:pPr>
              <w:pStyle w:val="ListBullet"/>
            </w:pPr>
            <w:r w:rsidRPr="00CF3BB1">
              <w:t>enterprise standards</w:t>
            </w:r>
          </w:p>
          <w:p w:rsidR="00000000" w:rsidRPr="00CF3BB1" w:rsidP="00CF3BB1">
            <w:pPr>
              <w:pStyle w:val="ListBullet"/>
            </w:pPr>
            <w:r w:rsidRPr="00CF3BB1">
              <w:t>environmental protection</w:t>
            </w:r>
          </w:p>
          <w:p w:rsidR="00000000" w:rsidRPr="00CF3BB1" w:rsidP="00CF3BB1">
            <w:pPr>
              <w:pStyle w:val="ListBullet"/>
            </w:pPr>
            <w:r w:rsidRPr="00CF3BB1">
              <w:t>equipment standards, intrinsically safe lightning pro</w:t>
            </w:r>
            <w:r w:rsidRPr="00CF3BB1">
              <w:t>tection, site engineering standard</w:t>
            </w:r>
          </w:p>
          <w:p w:rsidR="00000000" w:rsidRPr="00CF3BB1" w:rsidP="00CF3BB1">
            <w:pPr>
              <w:pStyle w:val="ListBullet"/>
            </w:pPr>
            <w:r w:rsidRPr="00CF3BB1">
              <w:t>fire regulations</w:t>
            </w:r>
          </w:p>
          <w:p w:rsidR="00000000" w:rsidRPr="00CF3BB1" w:rsidP="00CF3BB1">
            <w:pPr>
              <w:pStyle w:val="ListBullet"/>
            </w:pPr>
            <w:r w:rsidRPr="00CF3BB1">
              <w:t>heritage legislation</w:t>
            </w:r>
          </w:p>
          <w:p w:rsidR="00000000" w:rsidRPr="00CF3BB1" w:rsidP="00CF3BB1">
            <w:pPr>
              <w:pStyle w:val="ListBullet"/>
            </w:pPr>
            <w:r w:rsidRPr="00CF3BB1">
              <w:t>international standards</w:t>
            </w:r>
          </w:p>
          <w:p w:rsidR="00000000" w:rsidRPr="00CF3BB1" w:rsidP="00CF3BB1">
            <w:pPr>
              <w:pStyle w:val="ListBullet"/>
            </w:pPr>
            <w:r w:rsidRPr="00CF3BB1">
              <w:t>local government</w:t>
            </w:r>
          </w:p>
          <w:p w:rsidR="00000000" w:rsidRPr="00CF3BB1" w:rsidP="00CF3BB1">
            <w:pPr>
              <w:pStyle w:val="ListBullet"/>
            </w:pPr>
            <w:r w:rsidRPr="00CF3BB1">
              <w:t>OHS</w:t>
            </w:r>
          </w:p>
          <w:p w:rsidR="00000000" w:rsidRPr="00CF3BB1" w:rsidP="00CF3BB1">
            <w:pPr>
              <w:pStyle w:val="ListBullet"/>
            </w:pPr>
            <w:r w:rsidRPr="00CF3BB1">
              <w:t>Radcoms Act</w:t>
            </w:r>
          </w:p>
          <w:p w:rsidR="00000000" w:rsidP="00CF3BB1">
            <w:pPr>
              <w:pStyle w:val="ListBullet"/>
              <w:rPr>
                <w:lang w:val="en-NZ"/>
              </w:rPr>
            </w:pPr>
            <w:r w:rsidRPr="00CF3BB1">
              <w:t>Telecoms Act.</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Design requirements</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 xml:space="preserve">equipment performance </w:t>
            </w:r>
          </w:p>
          <w:p w:rsidR="00000000" w:rsidRPr="00CF3BB1" w:rsidP="00CF3BB1">
            <w:pPr>
              <w:pStyle w:val="ListBullet"/>
            </w:pPr>
            <w:r w:rsidRPr="00CF3BB1">
              <w:t>symbols:</w:t>
            </w:r>
          </w:p>
          <w:p w:rsidR="00000000" w:rsidRPr="00CF3BB1" w:rsidP="00CF3BB1">
            <w:pPr>
              <w:pStyle w:val="ListBullet2"/>
            </w:pPr>
            <w:r w:rsidRPr="00CF3BB1">
              <w:t xml:space="preserve">audiovisual (AV) system features </w:t>
            </w:r>
          </w:p>
          <w:p w:rsidR="00000000" w:rsidP="00CF3BB1">
            <w:pPr>
              <w:pStyle w:val="ListBullet2"/>
              <w:rPr>
                <w:lang w:val="en-NZ"/>
              </w:rPr>
            </w:pPr>
            <w:r w:rsidRPr="00CF3BB1">
              <w:t>common electrical circuit features.</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Tools and equipment</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 xml:space="preserve">hand and power tools </w:t>
            </w:r>
          </w:p>
          <w:p w:rsidR="00000000" w:rsidRPr="00CF3BB1" w:rsidP="00CF3BB1">
            <w:pPr>
              <w:pStyle w:val="ListBullet"/>
            </w:pPr>
            <w:r w:rsidRPr="00CF3BB1">
              <w:t>test equipment:</w:t>
            </w:r>
          </w:p>
          <w:p w:rsidR="00000000" w:rsidRPr="00CF3BB1" w:rsidP="00CF3BB1">
            <w:pPr>
              <w:pStyle w:val="ListBullet2"/>
            </w:pPr>
            <w:r w:rsidRPr="00CF3BB1">
              <w:t>antenna analyser</w:t>
            </w:r>
          </w:p>
          <w:p w:rsidR="00000000" w:rsidRPr="00CF3BB1" w:rsidP="00CF3BB1">
            <w:pPr>
              <w:pStyle w:val="ListBullet2"/>
            </w:pPr>
            <w:r w:rsidRPr="00CF3BB1">
              <w:t>directional RF power meter</w:t>
            </w:r>
          </w:p>
          <w:p w:rsidR="00000000" w:rsidRPr="00CF3BB1" w:rsidP="00CF3BB1">
            <w:pPr>
              <w:pStyle w:val="ListBullet2"/>
            </w:pPr>
            <w:r w:rsidRPr="00CF3BB1">
              <w:t>multimeter</w:t>
            </w:r>
          </w:p>
          <w:p w:rsidR="00000000" w:rsidRPr="00CF3BB1" w:rsidP="00CF3BB1">
            <w:pPr>
              <w:pStyle w:val="ListBullet2"/>
            </w:pPr>
            <w:r w:rsidRPr="00CF3BB1">
              <w:t>return loss measuring equipment</w:t>
            </w:r>
          </w:p>
          <w:p w:rsidR="00000000" w:rsidRPr="00CF3BB1" w:rsidP="00CF3BB1">
            <w:pPr>
              <w:pStyle w:val="ListBullet2"/>
            </w:pPr>
            <w:r w:rsidRPr="00CF3BB1">
              <w:t>RF termination</w:t>
            </w:r>
          </w:p>
          <w:p w:rsidR="00000000" w:rsidP="00CF3BB1">
            <w:pPr>
              <w:pStyle w:val="ListBullet2"/>
              <w:rPr>
                <w:lang w:val="en-NZ"/>
              </w:rPr>
            </w:pPr>
            <w:r w:rsidRPr="00CF3BB1">
              <w:t>spectrum analyser.</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Headend</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RF</w:t>
            </w:r>
          </w:p>
          <w:p w:rsidR="00000000" w:rsidP="00CF3BB1">
            <w:pPr>
              <w:pStyle w:val="ListBullet"/>
              <w:rPr>
                <w:lang w:val="en-NZ"/>
              </w:rPr>
            </w:pPr>
            <w:r w:rsidRPr="00CF3BB1">
              <w:t>optical.</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Cables</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 xml:space="preserve">flexible coaxial </w:t>
            </w:r>
          </w:p>
          <w:p w:rsidR="00000000" w:rsidRPr="00CF3BB1" w:rsidP="00CF3BB1">
            <w:pPr>
              <w:pStyle w:val="ListBullet"/>
            </w:pPr>
            <w:r w:rsidRPr="00CF3BB1">
              <w:t>interconnected cable harness</w:t>
            </w:r>
          </w:p>
          <w:p w:rsidR="00000000" w:rsidRPr="00CF3BB1" w:rsidP="00CF3BB1">
            <w:pPr>
              <w:pStyle w:val="ListBullet"/>
            </w:pPr>
            <w:r w:rsidRPr="00CF3BB1">
              <w:t xml:space="preserve">optical </w:t>
            </w:r>
          </w:p>
          <w:p w:rsidR="00000000" w:rsidP="00CF3BB1">
            <w:pPr>
              <w:pStyle w:val="ListBullet"/>
              <w:rPr>
                <w:lang w:val="en-NZ"/>
              </w:rPr>
            </w:pPr>
            <w:r w:rsidRPr="00CF3BB1">
              <w:t>rigid or semi-rigid coaxial line.</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Performance test</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antenna sweep:</w:t>
            </w:r>
          </w:p>
          <w:p w:rsidR="00000000" w:rsidRPr="00CF3BB1" w:rsidP="00CF3BB1">
            <w:pPr>
              <w:pStyle w:val="ListBullet2"/>
            </w:pPr>
            <w:r w:rsidRPr="00CF3BB1">
              <w:t>antenna analyser</w:t>
            </w:r>
          </w:p>
          <w:p w:rsidR="00000000" w:rsidRPr="00CF3BB1" w:rsidP="00CF3BB1">
            <w:pPr>
              <w:pStyle w:val="ListBullet2"/>
            </w:pPr>
            <w:r w:rsidRPr="00CF3BB1">
              <w:t>return loss bridge and RF sweep generator</w:t>
            </w:r>
          </w:p>
          <w:p w:rsidR="00000000" w:rsidRPr="00CF3BB1" w:rsidP="00CF3BB1">
            <w:pPr>
              <w:pStyle w:val="ListBullet2"/>
            </w:pPr>
            <w:r w:rsidRPr="00CF3BB1">
              <w:t>scalar network analyser</w:t>
            </w:r>
          </w:p>
          <w:p w:rsidR="00000000" w:rsidRPr="00CF3BB1" w:rsidP="00CF3BB1">
            <w:pPr>
              <w:pStyle w:val="ListBullet2"/>
            </w:pPr>
            <w:r w:rsidRPr="00CF3BB1">
              <w:t>vector network analyser</w:t>
            </w:r>
          </w:p>
          <w:p w:rsidR="00000000" w:rsidRPr="00CF3BB1" w:rsidP="00CF3BB1">
            <w:pPr>
              <w:pStyle w:val="ListBullet"/>
            </w:pPr>
            <w:r w:rsidRPr="00CF3BB1">
              <w:t>distance to fault</w:t>
            </w:r>
          </w:p>
          <w:p w:rsidR="00000000" w:rsidRPr="00CF3BB1" w:rsidP="00CF3BB1">
            <w:pPr>
              <w:pStyle w:val="ListBullet"/>
            </w:pPr>
            <w:r w:rsidRPr="00CF3BB1">
              <w:t>insertion loss</w:t>
            </w:r>
          </w:p>
          <w:p w:rsidR="00000000" w:rsidRPr="00CF3BB1" w:rsidP="00CF3BB1">
            <w:pPr>
              <w:pStyle w:val="ListBullet"/>
            </w:pPr>
            <w:r w:rsidRPr="00CF3BB1">
              <w:t>reflected power:</w:t>
            </w:r>
          </w:p>
          <w:p w:rsidR="00000000" w:rsidRPr="00CF3BB1" w:rsidP="00CF3BB1">
            <w:pPr>
              <w:pStyle w:val="ListBullet2"/>
            </w:pPr>
            <w:r w:rsidRPr="00CF3BB1">
              <w:t>antenna analyser</w:t>
            </w:r>
          </w:p>
          <w:p w:rsidR="00000000" w:rsidRPr="00CF3BB1" w:rsidP="00CF3BB1">
            <w:pPr>
              <w:pStyle w:val="ListBullet2"/>
            </w:pPr>
            <w:r w:rsidRPr="00CF3BB1">
              <w:t>directional power meter at a single frequency only</w:t>
            </w:r>
          </w:p>
          <w:p w:rsidR="00000000" w:rsidRPr="00CF3BB1" w:rsidP="00CF3BB1">
            <w:pPr>
              <w:pStyle w:val="ListBullet2"/>
            </w:pPr>
            <w:r w:rsidRPr="00CF3BB1">
              <w:t>return loss bridge and RF sweep generator</w:t>
            </w:r>
          </w:p>
          <w:p w:rsidR="00000000" w:rsidRPr="00CF3BB1" w:rsidP="00CF3BB1">
            <w:pPr>
              <w:pStyle w:val="ListBullet2"/>
            </w:pPr>
            <w:r w:rsidRPr="00CF3BB1">
              <w:t>scalar network analyser</w:t>
            </w:r>
          </w:p>
          <w:p w:rsidR="00000000" w:rsidRPr="00CF3BB1" w:rsidP="00CF3BB1">
            <w:pPr>
              <w:pStyle w:val="ListBullet2"/>
            </w:pPr>
            <w:r w:rsidRPr="00CF3BB1">
              <w:t>vector network analyser</w:t>
            </w:r>
          </w:p>
          <w:p w:rsidR="00000000" w:rsidP="00CF3BB1">
            <w:pPr>
              <w:pStyle w:val="ListBullet"/>
              <w:rPr>
                <w:lang w:val="en-NZ"/>
              </w:rPr>
            </w:pPr>
            <w:r w:rsidRPr="00CF3BB1">
              <w:t>return loss.</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Devices</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active:</w:t>
            </w:r>
          </w:p>
          <w:p w:rsidR="00000000" w:rsidRPr="00CF3BB1" w:rsidP="00CF3BB1">
            <w:pPr>
              <w:pStyle w:val="ListBullet2"/>
            </w:pPr>
            <w:r w:rsidRPr="00CF3BB1">
              <w:t>amplifiers</w:t>
            </w:r>
          </w:p>
          <w:p w:rsidR="00000000" w:rsidRPr="00CF3BB1" w:rsidP="00CF3BB1">
            <w:pPr>
              <w:pStyle w:val="ListBullet2"/>
            </w:pPr>
            <w:r w:rsidRPr="00CF3BB1">
              <w:t>modulators</w:t>
            </w:r>
          </w:p>
          <w:p w:rsidR="00000000" w:rsidRPr="00CF3BB1" w:rsidP="00CF3BB1">
            <w:pPr>
              <w:pStyle w:val="ListBullet"/>
            </w:pPr>
            <w:r w:rsidRPr="00CF3BB1">
              <w:t xml:space="preserve">passive: </w:t>
            </w:r>
          </w:p>
          <w:p w:rsidR="00000000" w:rsidRPr="00CF3BB1" w:rsidP="00CF3BB1">
            <w:pPr>
              <w:pStyle w:val="ListBullet2"/>
            </w:pPr>
            <w:r w:rsidRPr="00CF3BB1">
              <w:t>couplers</w:t>
            </w:r>
          </w:p>
          <w:p w:rsidR="00000000" w:rsidRPr="00CF3BB1" w:rsidP="00CF3BB1">
            <w:pPr>
              <w:pStyle w:val="ListBullet2"/>
            </w:pPr>
            <w:r w:rsidRPr="00CF3BB1">
              <w:t>multi-switches</w:t>
            </w:r>
          </w:p>
          <w:p w:rsidR="00000000" w:rsidRPr="00CF3BB1" w:rsidP="00CF3BB1">
            <w:pPr>
              <w:pStyle w:val="ListBullet2"/>
            </w:pPr>
            <w:r w:rsidRPr="00CF3BB1">
              <w:t>splitters</w:t>
            </w:r>
          </w:p>
          <w:p w:rsidR="00000000" w:rsidP="00CF3BB1">
            <w:pPr>
              <w:pStyle w:val="ListBullet2"/>
              <w:rPr>
                <w:lang w:val="en-NZ"/>
              </w:rPr>
            </w:pPr>
            <w:r w:rsidRPr="00CF3BB1">
              <w:t>taps.</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Optimise performance</w:t>
            </w:r>
            <w:r w:rsidRPr="00CF3BB1">
              <w:t xml:space="preserve"> may relate to:</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antenna orientation</w:t>
            </w:r>
          </w:p>
          <w:p w:rsidR="00000000" w:rsidRPr="00CF3BB1" w:rsidP="00CF3BB1">
            <w:pPr>
              <w:pStyle w:val="ListBullet"/>
            </w:pPr>
            <w:r w:rsidRPr="00CF3BB1">
              <w:t>aspect ratio</w:t>
            </w:r>
          </w:p>
          <w:p w:rsidR="00000000" w:rsidRPr="00CF3BB1" w:rsidP="00CF3BB1">
            <w:pPr>
              <w:pStyle w:val="ListBullet"/>
            </w:pPr>
            <w:r w:rsidRPr="00CF3BB1">
              <w:t>contrast</w:t>
            </w:r>
          </w:p>
          <w:p w:rsidR="00000000" w:rsidRPr="00CF3BB1" w:rsidP="00CF3BB1">
            <w:pPr>
              <w:pStyle w:val="ListBullet"/>
            </w:pPr>
            <w:r w:rsidRPr="00CF3BB1">
              <w:t>picture quality</w:t>
            </w:r>
          </w:p>
          <w:p w:rsidR="00000000" w:rsidP="00CF3BB1">
            <w:pPr>
              <w:pStyle w:val="ListBullet"/>
              <w:rPr>
                <w:lang w:val="en-NZ"/>
              </w:rPr>
            </w:pPr>
            <w:r w:rsidRPr="00CF3BB1">
              <w:t>signal amplification adjustment.</w:t>
            </w:r>
          </w:p>
        </w:tc>
      </w:tr>
      <w:tr w:rsidTr="0002719C">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BoldandItalics"/>
              </w:rPr>
              <w:t>Handover to customer</w:t>
            </w:r>
            <w:r w:rsidRPr="00CF3BB1">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ListBullet"/>
            </w:pPr>
            <w:r w:rsidRPr="00CF3BB1">
              <w:t>functionality demonstration</w:t>
            </w:r>
          </w:p>
          <w:p w:rsidR="00000000" w:rsidRPr="00CF3BB1" w:rsidP="00CF3BB1">
            <w:pPr>
              <w:pStyle w:val="ListBullet"/>
            </w:pPr>
            <w:r w:rsidRPr="00CF3BB1">
              <w:t>provision of appropriate literature</w:t>
            </w:r>
          </w:p>
          <w:p w:rsidR="00000000" w:rsidRPr="00CF3BB1" w:rsidP="00CF3BB1">
            <w:pPr>
              <w:pStyle w:val="ListBullet"/>
            </w:pPr>
            <w:r w:rsidRPr="00CF3BB1">
              <w:t>training customers on equipment use.</w:t>
            </w:r>
          </w:p>
        </w:tc>
      </w:tr>
    </w:tbl>
    <w:p w:rsidR="0002719C" w:rsidP="00CF3BB1">
      <w:pPr>
        <w:pStyle w:val="BodyText"/>
      </w:pPr>
    </w:p>
    <w:p w:rsidR="0002719C" w:rsidP="00CF3BB1">
      <w:pPr>
        <w:pStyle w:val="BodyText"/>
      </w:pPr>
    </w:p>
    <w:p w:rsidR="00000000" w:rsidRPr="00CF3BB1" w:rsidP="00CF3BB1">
      <w:pPr>
        <w:pStyle w:val="Heading1"/>
      </w:pPr>
      <w:bookmarkStart w:id="12" w:name="O_208891"/>
      <w:bookmarkEnd w:id="12"/>
      <w:r w:rsidRPr="00CF3BB1">
        <w:t>Unit Sector(s)</w:t>
      </w:r>
    </w:p>
    <w:tbl>
      <w:tblPr>
        <w:tblW w:w="0" w:type="auto"/>
        <w:tblLayout w:type="fixed"/>
        <w:tblCellMar>
          <w:left w:w="62" w:type="dxa"/>
          <w:right w:w="62" w:type="dxa"/>
        </w:tblCellMar>
        <w:tblLook w:val="0000"/>
      </w:tblPr>
      <w:tblGrid>
        <w:gridCol w:w="2545"/>
        <w:gridCol w:w="5977"/>
      </w:tblGrid>
      <w:tr w:rsidTr="0002719C">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Unit sector</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Telecommunications</w:t>
            </w:r>
          </w:p>
        </w:tc>
      </w:tr>
    </w:tbl>
    <w:p w:rsidR="0002719C" w:rsidP="00CF3BB1">
      <w:pPr>
        <w:pStyle w:val="BodyText"/>
      </w:pPr>
    </w:p>
    <w:p w:rsidR="0002719C" w:rsidP="00CF3BB1">
      <w:pPr>
        <w:pStyle w:val="BodyText"/>
      </w:pPr>
    </w:p>
    <w:p w:rsidR="00000000" w:rsidRPr="00CF3BB1" w:rsidP="00CF3BB1">
      <w:pPr>
        <w:pStyle w:val="Heading1"/>
      </w:pPr>
      <w:bookmarkStart w:id="13" w:name="O_208888"/>
      <w:bookmarkEnd w:id="13"/>
      <w:r w:rsidRPr="00CF3BB1">
        <w:t>Co-requisite units</w:t>
      </w:r>
    </w:p>
    <w:tbl>
      <w:tblPr>
        <w:tblW w:w="0" w:type="auto"/>
        <w:tblLayout w:type="fixed"/>
        <w:tblCellMar>
          <w:left w:w="62" w:type="dxa"/>
          <w:right w:w="62" w:type="dxa"/>
        </w:tblCellMar>
        <w:tblLook w:val="0000"/>
      </w:tblPr>
      <w:tblGrid>
        <w:gridCol w:w="2616"/>
        <w:gridCol w:w="1458"/>
        <w:gridCol w:w="4448"/>
      </w:tblGrid>
      <w:tr w:rsidTr="0002719C">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Co-requisite units</w:t>
            </w:r>
          </w:p>
        </w:tc>
        <w:tc>
          <w:tcPr>
            <w:tcW w:w="59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p>
        </w:tc>
      </w:tr>
      <w:tr w:rsidTr="0002719C">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p>
        </w:tc>
      </w:tr>
      <w:tr w:rsidTr="0002719C">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p>
        </w:tc>
      </w:tr>
    </w:tbl>
    <w:p w:rsidR="0002719C" w:rsidP="00CF3BB1">
      <w:pPr>
        <w:pStyle w:val="BodyText"/>
      </w:pPr>
    </w:p>
    <w:p w:rsidR="0002719C" w:rsidP="00CF3BB1">
      <w:pPr>
        <w:pStyle w:val="BodyText"/>
      </w:pPr>
    </w:p>
    <w:p w:rsidR="00000000" w:rsidRPr="00CF3BB1" w:rsidP="00CF3BB1">
      <w:pPr>
        <w:pStyle w:val="Heading1"/>
      </w:pPr>
      <w:bookmarkStart w:id="14" w:name="O_208890"/>
      <w:bookmarkEnd w:id="14"/>
      <w:r w:rsidRPr="00CF3BB1">
        <w:t>Competency field</w:t>
      </w:r>
    </w:p>
    <w:tbl>
      <w:tblPr>
        <w:tblW w:w="0" w:type="auto"/>
        <w:tblLayout w:type="fixed"/>
        <w:tblCellMar>
          <w:left w:w="62" w:type="dxa"/>
          <w:right w:w="62" w:type="dxa"/>
        </w:tblCellMar>
        <w:tblLook w:val="0000"/>
      </w:tblPr>
      <w:tblGrid>
        <w:gridCol w:w="2754"/>
        <w:gridCol w:w="5768"/>
      </w:tblGrid>
      <w:tr w:rsidTr="0002719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BB1">
            <w:pPr>
              <w:pStyle w:val="BodyText"/>
              <w:rPr>
                <w:lang w:val="en-NZ"/>
              </w:rPr>
            </w:pPr>
            <w:r w:rsidRPr="00CF3BB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BB1" w:rsidP="00CF3BB1">
            <w:pPr>
              <w:pStyle w:val="BodyText"/>
            </w:pPr>
            <w:r w:rsidRPr="00CF3BB1">
              <w:t>Digital reception technology</w:t>
            </w:r>
          </w:p>
        </w:tc>
      </w:tr>
    </w:tbl>
    <w:p w:rsidR="0002719C" w:rsidP="00CF3BB1">
      <w:pPr>
        <w:pStyle w:val="BodyText"/>
      </w:pPr>
    </w:p>
    <w:p w:rsidR="0002719C" w:rsidP="00CF3BB1">
      <w:pPr>
        <w:pStyle w:val="BodyText"/>
      </w:pPr>
    </w:p>
    <w:p w:rsidR="00000000" w:rsidRPr="00CF3BB1" w:rsidP="00CF3BB1"/>
    <w:sectPr w:rsidSect="00CF3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19C" w:rsidP="00027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9C" w:rsidP="00CF3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719C" w:rsidP="00CF3B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719C" w:rsidP="00CF3B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19C" w:rsidP="000271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9C" w:rsidP="00CF3BB1">
    <w:pPr>
      <w:pStyle w:val="Header"/>
      <w:framePr w:wrap="around"/>
    </w:pPr>
    <w:r>
      <w:fldChar w:fldCharType="begin"/>
    </w:r>
    <w:r>
      <w:instrText xml:space="preserve"> TITLE   \* MERGEFORMAT </w:instrText>
    </w:r>
    <w:r>
      <w:fldChar w:fldCharType="separate"/>
    </w:r>
    <w:r>
      <w:t>ICTDRE3165A Install a complex digital reception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719C" w:rsidP="00CF3B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C6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0C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A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B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BB1"/>
    <w:pPr>
      <w:spacing w:before="360" w:after="60"/>
      <w:outlineLvl w:val="0"/>
    </w:pPr>
    <w:rPr>
      <w:sz w:val="32"/>
    </w:rPr>
  </w:style>
  <w:style w:type="paragraph" w:styleId="Heading2">
    <w:name w:val="heading 2"/>
    <w:basedOn w:val="HeadingBase"/>
    <w:next w:val="BodyText"/>
    <w:link w:val="Heading2Char"/>
    <w:qFormat/>
    <w:rsid w:val="00CF3BB1"/>
    <w:pPr>
      <w:keepLines/>
      <w:spacing w:before="240" w:after="120"/>
      <w:outlineLvl w:val="1"/>
    </w:pPr>
    <w:rPr>
      <w:sz w:val="28"/>
      <w:szCs w:val="40"/>
    </w:rPr>
  </w:style>
  <w:style w:type="paragraph" w:styleId="Heading3">
    <w:name w:val="heading 3"/>
    <w:basedOn w:val="HeadingBase"/>
    <w:next w:val="BodyText"/>
    <w:link w:val="Heading3Char"/>
    <w:qFormat/>
    <w:rsid w:val="00CF3BB1"/>
    <w:pPr>
      <w:spacing w:before="180" w:after="120"/>
      <w:outlineLvl w:val="2"/>
    </w:pPr>
    <w:rPr>
      <w:spacing w:val="-10"/>
      <w:kern w:val="32"/>
    </w:rPr>
  </w:style>
  <w:style w:type="paragraph" w:styleId="Heading4">
    <w:name w:val="heading 4"/>
    <w:basedOn w:val="HeadingBase"/>
    <w:next w:val="BodyText"/>
    <w:link w:val="Heading4Char"/>
    <w:qFormat/>
    <w:rsid w:val="00CF3BB1"/>
    <w:pPr>
      <w:spacing w:before="160" w:after="120"/>
      <w:outlineLvl w:val="3"/>
    </w:pPr>
    <w:rPr>
      <w:sz w:val="22"/>
    </w:rPr>
  </w:style>
  <w:style w:type="paragraph" w:styleId="Heading5">
    <w:name w:val="heading 5"/>
    <w:basedOn w:val="HeadingBase"/>
    <w:next w:val="Normal"/>
    <w:link w:val="Heading5Char"/>
    <w:qFormat/>
    <w:rsid w:val="00CF3BB1"/>
    <w:pPr>
      <w:spacing w:before="80"/>
      <w:outlineLvl w:val="4"/>
    </w:pPr>
    <w:rPr>
      <w:color w:val="918585"/>
      <w:sz w:val="20"/>
    </w:rPr>
  </w:style>
  <w:style w:type="paragraph" w:styleId="Heading6">
    <w:name w:val="heading 6"/>
    <w:basedOn w:val="HeadingBase"/>
    <w:next w:val="Normal"/>
    <w:link w:val="Heading6Char"/>
    <w:qFormat/>
    <w:rsid w:val="00CF3BB1"/>
    <w:pPr>
      <w:spacing w:before="60"/>
      <w:outlineLvl w:val="5"/>
    </w:pPr>
    <w:rPr>
      <w:color w:val="918585"/>
      <w:sz w:val="20"/>
    </w:rPr>
  </w:style>
  <w:style w:type="paragraph" w:styleId="Heading7">
    <w:name w:val="heading 7"/>
    <w:basedOn w:val="Normal"/>
    <w:next w:val="Normal"/>
    <w:link w:val="Heading7Char"/>
    <w:qFormat/>
    <w:rsid w:val="00CF3BB1"/>
    <w:pPr>
      <w:ind w:left="720"/>
      <w:outlineLvl w:val="6"/>
    </w:pPr>
    <w:rPr>
      <w:i/>
    </w:rPr>
  </w:style>
  <w:style w:type="paragraph" w:styleId="Heading8">
    <w:name w:val="heading 8"/>
    <w:basedOn w:val="Normal"/>
    <w:next w:val="Normal"/>
    <w:link w:val="Heading8Char"/>
    <w:qFormat/>
    <w:rsid w:val="00CF3BB1"/>
    <w:pPr>
      <w:ind w:left="720"/>
      <w:outlineLvl w:val="7"/>
    </w:pPr>
    <w:rPr>
      <w:i/>
    </w:rPr>
  </w:style>
  <w:style w:type="paragraph" w:styleId="Heading9">
    <w:name w:val="heading 9"/>
    <w:basedOn w:val="Normal"/>
    <w:next w:val="Normal"/>
    <w:link w:val="Heading9Char"/>
    <w:qFormat/>
    <w:rsid w:val="00CF3BB1"/>
    <w:pPr>
      <w:ind w:left="720"/>
      <w:outlineLvl w:val="8"/>
    </w:pPr>
    <w:rPr>
      <w:i/>
    </w:rPr>
  </w:style>
  <w:style w:type="character" w:default="1" w:styleId="DefaultParagraphFont">
    <w:name w:val="Default Paragraph Font"/>
    <w:uiPriority w:val="1"/>
    <w:unhideWhenUsed/>
    <w:rsid w:val="00CF3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BB1"/>
  </w:style>
  <w:style w:type="character" w:customStyle="1" w:styleId="Heading1Char">
    <w:name w:val="Heading 1 Char"/>
    <w:basedOn w:val="DefaultParagraphFont"/>
    <w:link w:val="Heading1"/>
    <w:rsid w:val="00CF3BB1"/>
    <w:rPr>
      <w:rFonts w:ascii="Times New Roman" w:eastAsia="Times New Roman" w:hAnsi="Times New Roman" w:cs="Times New Roman"/>
      <w:b/>
      <w:sz w:val="32"/>
      <w:szCs w:val="20"/>
      <w:lang w:eastAsia="en-US"/>
    </w:rPr>
  </w:style>
  <w:style w:type="paragraph" w:styleId="BodyText">
    <w:name w:val="Body Text"/>
    <w:basedOn w:val="Normal"/>
    <w:link w:val="BodyTextChar"/>
    <w:rsid w:val="00CF3B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BB1"/>
    <w:rPr>
      <w:rFonts w:ascii="Times New Roman" w:eastAsia="Times New Roman" w:hAnsi="Times New Roman" w:cs="Times New Roman"/>
      <w:sz w:val="24"/>
      <w:lang w:val="en-US" w:eastAsia="en-US"/>
    </w:rPr>
  </w:style>
  <w:style w:type="paragraph" w:styleId="Footer">
    <w:name w:val="footer"/>
    <w:basedOn w:val="Normal"/>
    <w:link w:val="FooterChar"/>
    <w:rsid w:val="00CF3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BB1"/>
    <w:rPr>
      <w:rFonts w:ascii="Times New Roman" w:eastAsia="Times New Roman" w:hAnsi="Times New Roman" w:cs="Times New Roman"/>
      <w:sz w:val="16"/>
      <w:lang w:val="en-US" w:eastAsia="en-US"/>
    </w:rPr>
  </w:style>
  <w:style w:type="paragraph" w:styleId="List">
    <w:name w:val="List"/>
    <w:basedOn w:val="BodyText"/>
    <w:next w:val="BodyText"/>
    <w:rsid w:val="00CF3BB1"/>
    <w:pPr>
      <w:tabs>
        <w:tab w:val="left" w:pos="340"/>
      </w:tabs>
      <w:spacing w:before="60" w:after="60"/>
      <w:ind w:left="340" w:hanging="340"/>
    </w:pPr>
  </w:style>
  <w:style w:type="paragraph" w:styleId="ListBullet">
    <w:name w:val="List Bullet"/>
    <w:basedOn w:val="List"/>
    <w:rsid w:val="00CF3BB1"/>
    <w:pPr>
      <w:numPr>
        <w:numId w:val="13"/>
      </w:numPr>
      <w:tabs>
        <w:tab w:val="clear" w:pos="340"/>
      </w:tabs>
      <w:spacing w:before="40" w:after="40"/>
    </w:pPr>
  </w:style>
  <w:style w:type="character" w:customStyle="1" w:styleId="SpecialBold">
    <w:name w:val="Special Bold"/>
    <w:basedOn w:val="DefaultParagraphFont"/>
    <w:rsid w:val="00CF3BB1"/>
    <w:rPr>
      <w:b/>
      <w:spacing w:val="0"/>
    </w:rPr>
  </w:style>
  <w:style w:type="paragraph" w:styleId="ListBullet2">
    <w:name w:val="List Bullet 2"/>
    <w:basedOn w:val="List2"/>
    <w:rsid w:val="00CF3BB1"/>
    <w:pPr>
      <w:numPr>
        <w:numId w:val="14"/>
      </w:numPr>
      <w:tabs>
        <w:tab w:val="clear" w:pos="680"/>
      </w:tabs>
    </w:pPr>
  </w:style>
  <w:style w:type="paragraph" w:styleId="Header">
    <w:name w:val="header"/>
    <w:basedOn w:val="Normal"/>
    <w:link w:val="HeaderChar"/>
    <w:rsid w:val="00CF3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B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3BB1"/>
    <w:pPr>
      <w:spacing w:before="240" w:after="120"/>
      <w:outlineLvl w:val="0"/>
    </w:pPr>
    <w:rPr>
      <w:rFonts w:ascii="Times New Roman" w:hAnsi="Times New Roman"/>
      <w:b/>
      <w:sz w:val="28"/>
    </w:rPr>
  </w:style>
  <w:style w:type="paragraph" w:customStyle="1" w:styleId="AllowPageBreak">
    <w:name w:val="AllowPageBreak"/>
    <w:rsid w:val="00CF3B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BB1"/>
    <w:pPr>
      <w:tabs>
        <w:tab w:val="left" w:pos="680"/>
      </w:tabs>
      <w:spacing w:before="60" w:after="60"/>
      <w:ind w:left="680" w:hanging="340"/>
    </w:pPr>
  </w:style>
  <w:style w:type="character" w:customStyle="1" w:styleId="BoldandItalics">
    <w:name w:val="Bold and Italics"/>
    <w:qFormat/>
    <w:rsid w:val="00CF3BB1"/>
    <w:rPr>
      <w:b/>
      <w:i/>
      <w:u w:val="none"/>
    </w:rPr>
  </w:style>
  <w:style w:type="character" w:customStyle="1" w:styleId="Heading2Char">
    <w:name w:val="Heading 2 Char"/>
    <w:basedOn w:val="DefaultParagraphFont"/>
    <w:link w:val="Heading2"/>
    <w:rsid w:val="00CF3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B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B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BB1"/>
    <w:rPr>
      <w:rFonts w:ascii="Courier New" w:eastAsia="Times New Roman" w:hAnsi="Courier New" w:cs="Times New Roman"/>
      <w:i/>
      <w:szCs w:val="20"/>
      <w:lang w:val="en-US" w:eastAsia="en-US"/>
    </w:rPr>
  </w:style>
  <w:style w:type="paragraph" w:customStyle="1" w:styleId="HeadingBase">
    <w:name w:val="Heading Base"/>
    <w:rsid w:val="00CF3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BB1"/>
    <w:pPr>
      <w:tabs>
        <w:tab w:val="right" w:leader="dot" w:pos="9072"/>
      </w:tabs>
      <w:ind w:left="567"/>
    </w:pPr>
    <w:rPr>
      <w:szCs w:val="22"/>
    </w:rPr>
  </w:style>
  <w:style w:type="paragraph" w:customStyle="1" w:styleId="TOCBase">
    <w:name w:val="TOC Base"/>
    <w:rsid w:val="00CF3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BB1"/>
    <w:pPr>
      <w:tabs>
        <w:tab w:val="right" w:leader="dot" w:pos="9072"/>
      </w:tabs>
      <w:spacing w:before="40" w:after="40"/>
      <w:ind w:left="284"/>
    </w:pPr>
    <w:rPr>
      <w:rFonts w:ascii="Times New Roman" w:hAnsi="Times New Roman"/>
    </w:rPr>
  </w:style>
  <w:style w:type="paragraph" w:styleId="TOC1">
    <w:name w:val="toc 1"/>
    <w:basedOn w:val="TOCBase"/>
    <w:next w:val="Normal"/>
    <w:rsid w:val="00CF3B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BB1"/>
    <w:pPr>
      <w:spacing w:before="5040"/>
      <w:jc w:val="center"/>
    </w:pPr>
    <w:rPr>
      <w:sz w:val="48"/>
      <w:szCs w:val="72"/>
      <w:lang w:val="en-US"/>
    </w:rPr>
  </w:style>
  <w:style w:type="character" w:customStyle="1" w:styleId="TitleChar">
    <w:name w:val="Title Char"/>
    <w:basedOn w:val="DefaultParagraphFont"/>
    <w:link w:val="Title"/>
    <w:rsid w:val="00CF3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BB1"/>
    <w:pPr>
      <w:tabs>
        <w:tab w:val="left" w:pos="3600"/>
        <w:tab w:val="left" w:pos="3958"/>
      </w:tabs>
    </w:pPr>
  </w:style>
  <w:style w:type="paragraph" w:customStyle="1" w:styleId="Note">
    <w:name w:val="Note"/>
    <w:basedOn w:val="BodyText"/>
    <w:rsid w:val="00CF3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BB1"/>
    <w:pPr>
      <w:framePr w:wrap="auto" w:hAnchor="text" w:y="6049"/>
    </w:pPr>
    <w:rPr>
      <w:color w:val="000000"/>
      <w:sz w:val="40"/>
    </w:rPr>
  </w:style>
  <w:style w:type="paragraph" w:customStyle="1" w:styleId="TOCTitle">
    <w:name w:val="TOCTitle"/>
    <w:basedOn w:val="Heading1"/>
    <w:rsid w:val="00CF3BB1"/>
    <w:pPr>
      <w:spacing w:after="240"/>
      <w:jc w:val="center"/>
      <w:outlineLvl w:val="9"/>
    </w:pPr>
    <w:rPr>
      <w:caps/>
    </w:rPr>
  </w:style>
  <w:style w:type="paragraph" w:customStyle="1" w:styleId="Version">
    <w:name w:val="Version"/>
    <w:rsid w:val="00CF3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BB1"/>
    <w:pPr>
      <w:keepNext w:val="0"/>
      <w:tabs>
        <w:tab w:val="right" w:pos="4176"/>
      </w:tabs>
      <w:ind w:left="198" w:hanging="198"/>
    </w:pPr>
    <w:rPr>
      <w:rFonts w:ascii="Garamond" w:hAnsi="Garamond"/>
    </w:rPr>
  </w:style>
  <w:style w:type="paragraph" w:styleId="IndexHeading">
    <w:name w:val="index heading"/>
    <w:basedOn w:val="Normal"/>
    <w:next w:val="Index1"/>
    <w:semiHidden/>
    <w:rsid w:val="00CF3BB1"/>
    <w:pPr>
      <w:spacing w:before="120" w:after="120"/>
    </w:pPr>
    <w:rPr>
      <w:rFonts w:ascii="Arial" w:hAnsi="Arial"/>
      <w:b/>
      <w:color w:val="918585"/>
      <w:sz w:val="24"/>
    </w:rPr>
  </w:style>
  <w:style w:type="paragraph" w:customStyle="1" w:styleId="Chapter">
    <w:name w:val="Chapter"/>
    <w:basedOn w:val="Normal"/>
    <w:rsid w:val="00CF3BB1"/>
    <w:pPr>
      <w:spacing w:before="240"/>
    </w:pPr>
    <w:rPr>
      <w:rFonts w:ascii="Times New Roman" w:hAnsi="Times New Roman"/>
      <w:smallCaps/>
      <w:spacing w:val="80"/>
      <w:sz w:val="28"/>
    </w:rPr>
  </w:style>
  <w:style w:type="paragraph" w:customStyle="1" w:styleId="InChapter">
    <w:name w:val="InChapter"/>
    <w:basedOn w:val="Heading3"/>
    <w:rsid w:val="00CF3BB1"/>
    <w:pPr>
      <w:spacing w:after="240"/>
      <w:outlineLvl w:val="9"/>
    </w:pPr>
    <w:rPr>
      <w:noProof/>
    </w:rPr>
  </w:style>
  <w:style w:type="paragraph" w:styleId="Index2">
    <w:name w:val="index 2"/>
    <w:basedOn w:val="Normal"/>
    <w:next w:val="Normal"/>
    <w:semiHidden/>
    <w:rsid w:val="00CF3BB1"/>
    <w:pPr>
      <w:tabs>
        <w:tab w:val="right" w:pos="4176"/>
      </w:tabs>
      <w:ind w:left="568" w:hanging="284"/>
    </w:pPr>
    <w:rPr>
      <w:rFonts w:ascii="Garamond" w:hAnsi="Garamond"/>
    </w:rPr>
  </w:style>
  <w:style w:type="paragraph" w:customStyle="1" w:styleId="Byline">
    <w:name w:val="Byline"/>
    <w:rsid w:val="00CF3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BB1"/>
    <w:pPr>
      <w:tabs>
        <w:tab w:val="clear" w:pos="3600"/>
        <w:tab w:val="clear" w:pos="3958"/>
      </w:tabs>
      <w:jc w:val="right"/>
    </w:pPr>
  </w:style>
  <w:style w:type="character" w:styleId="Emphasis">
    <w:name w:val="Emphasis"/>
    <w:basedOn w:val="DefaultParagraphFont"/>
    <w:qFormat/>
    <w:rsid w:val="00CF3BB1"/>
    <w:rPr>
      <w:i/>
    </w:rPr>
  </w:style>
  <w:style w:type="paragraph" w:styleId="Caption">
    <w:name w:val="caption"/>
    <w:basedOn w:val="BodyText"/>
    <w:next w:val="Normal"/>
    <w:qFormat/>
    <w:rsid w:val="00CF3BB1"/>
    <w:pPr>
      <w:framePr w:w="2268" w:hSpace="181" w:vSpace="181" w:wrap="around" w:vAnchor="text" w:hAnchor="page" w:x="1135" w:y="285" w:anchorLock="1"/>
    </w:pPr>
    <w:rPr>
      <w:i/>
    </w:rPr>
  </w:style>
  <w:style w:type="paragraph" w:customStyle="1" w:styleId="MiniTOCTitle">
    <w:name w:val="MiniTOCTitle"/>
    <w:basedOn w:val="Heading4"/>
    <w:rsid w:val="00CF3BB1"/>
    <w:pPr>
      <w:spacing w:before="240"/>
      <w:outlineLvl w:val="9"/>
    </w:pPr>
    <w:rPr>
      <w:noProof/>
      <w:sz w:val="24"/>
    </w:rPr>
  </w:style>
  <w:style w:type="paragraph" w:customStyle="1" w:styleId="MiniTOCItem">
    <w:name w:val="MiniTOCItem"/>
    <w:basedOn w:val="ListBullet"/>
    <w:rsid w:val="00CF3BB1"/>
    <w:pPr>
      <w:numPr>
        <w:numId w:val="0"/>
      </w:numPr>
      <w:tabs>
        <w:tab w:val="right" w:leader="dot" w:pos="6521"/>
      </w:tabs>
      <w:spacing w:before="0" w:after="0"/>
    </w:pPr>
  </w:style>
  <w:style w:type="paragraph" w:customStyle="1" w:styleId="TOFTitle">
    <w:name w:val="TOFTitle"/>
    <w:basedOn w:val="TOCTitle"/>
    <w:rsid w:val="00CF3BB1"/>
  </w:style>
  <w:style w:type="paragraph" w:styleId="TableofFigures">
    <w:name w:val="table of figures"/>
    <w:basedOn w:val="Normal"/>
    <w:next w:val="Normal"/>
    <w:semiHidden/>
    <w:rsid w:val="00CF3BB1"/>
    <w:pPr>
      <w:tabs>
        <w:tab w:val="right" w:leader="dot" w:pos="9072"/>
      </w:tabs>
      <w:ind w:left="970" w:hanging="403"/>
    </w:pPr>
    <w:rPr>
      <w:rFonts w:ascii="Times New Roman" w:hAnsi="Times New Roman"/>
      <w:b/>
    </w:rPr>
  </w:style>
  <w:style w:type="paragraph" w:styleId="ListNumber">
    <w:name w:val="List Number"/>
    <w:basedOn w:val="List"/>
    <w:rsid w:val="00CF3BB1"/>
    <w:pPr>
      <w:numPr>
        <w:numId w:val="11"/>
      </w:numPr>
    </w:pPr>
  </w:style>
  <w:style w:type="character" w:customStyle="1" w:styleId="WingdingSymbols">
    <w:name w:val="Wingding Symbols"/>
    <w:rsid w:val="00CF3BB1"/>
    <w:rPr>
      <w:rFonts w:ascii="Wingdings" w:hAnsi="Wingdings"/>
    </w:rPr>
  </w:style>
  <w:style w:type="paragraph" w:customStyle="1" w:styleId="TableHeading">
    <w:name w:val="Table Heading"/>
    <w:basedOn w:val="HeadingBase"/>
    <w:rsid w:val="00CF3BB1"/>
    <w:pPr>
      <w:keepLines/>
      <w:pBdr>
        <w:bottom w:val="single" w:sz="6" w:space="1" w:color="918585"/>
      </w:pBdr>
      <w:spacing w:before="240"/>
    </w:pPr>
  </w:style>
  <w:style w:type="character" w:customStyle="1" w:styleId="HotSpot">
    <w:name w:val="HotSpot"/>
    <w:rsid w:val="00CF3BB1"/>
    <w:rPr>
      <w:color w:val="0033CC"/>
      <w:u w:val="none"/>
    </w:rPr>
  </w:style>
  <w:style w:type="paragraph" w:customStyle="1" w:styleId="BodyTextRight">
    <w:name w:val="Body Text Right"/>
    <w:basedOn w:val="BodyText"/>
    <w:rsid w:val="00CF3BB1"/>
    <w:pPr>
      <w:spacing w:before="0" w:after="0"/>
      <w:jc w:val="right"/>
    </w:pPr>
  </w:style>
  <w:style w:type="paragraph" w:styleId="Index3">
    <w:name w:val="index 3"/>
    <w:basedOn w:val="ListNumber2"/>
    <w:next w:val="Normal"/>
    <w:semiHidden/>
    <w:rsid w:val="00CF3BB1"/>
    <w:pPr>
      <w:numPr>
        <w:numId w:val="0"/>
      </w:numPr>
      <w:tabs>
        <w:tab w:val="right" w:leader="dot" w:pos="4176"/>
      </w:tabs>
    </w:pPr>
  </w:style>
  <w:style w:type="paragraph" w:styleId="ListNumber2">
    <w:name w:val="List Number 2"/>
    <w:basedOn w:val="List2"/>
    <w:rsid w:val="00CF3BB1"/>
    <w:pPr>
      <w:numPr>
        <w:numId w:val="10"/>
      </w:numPr>
      <w:tabs>
        <w:tab w:val="clear" w:pos="1060"/>
      </w:tabs>
    </w:pPr>
  </w:style>
  <w:style w:type="paragraph" w:customStyle="1" w:styleId="MarginNote">
    <w:name w:val="Margin Note"/>
    <w:basedOn w:val="BodyText"/>
    <w:rsid w:val="00CF3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B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BB1"/>
    <w:rPr>
      <w:sz w:val="32"/>
    </w:rPr>
  </w:style>
  <w:style w:type="paragraph" w:customStyle="1" w:styleId="HeadingProcedure">
    <w:name w:val="Heading Procedure"/>
    <w:basedOn w:val="HeadingBase"/>
    <w:next w:val="Normal"/>
    <w:rsid w:val="00CF3BB1"/>
    <w:pPr>
      <w:tabs>
        <w:tab w:val="left" w:pos="0"/>
      </w:tabs>
      <w:spacing w:before="120" w:after="60"/>
    </w:pPr>
    <w:rPr>
      <w:i/>
      <w:color w:val="918585"/>
      <w:sz w:val="22"/>
    </w:rPr>
  </w:style>
  <w:style w:type="paragraph" w:customStyle="1" w:styleId="TableBodyText">
    <w:name w:val="Table Body Text"/>
    <w:basedOn w:val="BodyText"/>
    <w:rsid w:val="00CF3BB1"/>
    <w:pPr>
      <w:spacing w:before="60" w:after="60"/>
    </w:pPr>
  </w:style>
  <w:style w:type="paragraph" w:styleId="ListContinue">
    <w:name w:val="List Continue"/>
    <w:basedOn w:val="List"/>
    <w:rsid w:val="00CF3BB1"/>
    <w:pPr>
      <w:ind w:firstLine="0"/>
    </w:pPr>
  </w:style>
  <w:style w:type="paragraph" w:customStyle="1" w:styleId="ListNote">
    <w:name w:val="List Note"/>
    <w:basedOn w:val="List"/>
    <w:rsid w:val="00CF3BB1"/>
    <w:pPr>
      <w:pBdr>
        <w:top w:val="single" w:sz="6" w:space="2" w:color="918585"/>
        <w:bottom w:val="single" w:sz="6" w:space="2" w:color="918585"/>
      </w:pBdr>
      <w:tabs>
        <w:tab w:val="left" w:pos="1021"/>
      </w:tabs>
      <w:ind w:firstLine="0"/>
    </w:pPr>
  </w:style>
  <w:style w:type="paragraph" w:customStyle="1" w:styleId="Warning">
    <w:name w:val="Warning"/>
    <w:basedOn w:val="BodyText"/>
    <w:rsid w:val="00CF3BB1"/>
    <w:pPr>
      <w:shd w:val="clear" w:color="auto" w:fill="D9D9D9"/>
      <w:tabs>
        <w:tab w:val="left" w:pos="992"/>
      </w:tabs>
      <w:ind w:left="119" w:right="119"/>
    </w:pPr>
    <w:rPr>
      <w:sz w:val="20"/>
    </w:rPr>
  </w:style>
  <w:style w:type="paragraph" w:customStyle="1" w:styleId="MarginIcons">
    <w:name w:val="Margin Icons"/>
    <w:basedOn w:val="BodyText"/>
    <w:rsid w:val="00CF3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BB1"/>
    <w:rPr>
      <w:rFonts w:ascii="Courier New" w:hAnsi="Courier New"/>
    </w:rPr>
  </w:style>
  <w:style w:type="paragraph" w:customStyle="1" w:styleId="NoteBullet">
    <w:name w:val="Note Bullet"/>
    <w:basedOn w:val="Note"/>
    <w:rsid w:val="00CF3BB1"/>
    <w:pPr>
      <w:tabs>
        <w:tab w:val="clear" w:pos="680"/>
      </w:tabs>
      <w:spacing w:before="60" w:after="60"/>
    </w:pPr>
  </w:style>
  <w:style w:type="paragraph" w:customStyle="1" w:styleId="SubHeading2">
    <w:name w:val="SubHeading2"/>
    <w:basedOn w:val="HeadingBase"/>
    <w:rsid w:val="00CF3BB1"/>
    <w:pPr>
      <w:spacing w:before="240" w:after="60"/>
    </w:pPr>
    <w:rPr>
      <w:sz w:val="20"/>
    </w:rPr>
  </w:style>
  <w:style w:type="paragraph" w:customStyle="1" w:styleId="SubHeading1">
    <w:name w:val="SubHeading1"/>
    <w:basedOn w:val="HeadingBase"/>
    <w:rsid w:val="00CF3BB1"/>
    <w:pPr>
      <w:spacing w:before="240" w:after="60"/>
    </w:pPr>
    <w:rPr>
      <w:color w:val="918585"/>
      <w:sz w:val="22"/>
    </w:rPr>
  </w:style>
  <w:style w:type="paragraph" w:customStyle="1" w:styleId="SideHeading">
    <w:name w:val="Side Heading"/>
    <w:basedOn w:val="HeadingBase"/>
    <w:rsid w:val="00CF3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BB1"/>
    <w:pPr>
      <w:numPr>
        <w:numId w:val="12"/>
      </w:numPr>
    </w:pPr>
  </w:style>
  <w:style w:type="paragraph" w:styleId="PlainText">
    <w:name w:val="Plain Text"/>
    <w:basedOn w:val="Normal"/>
    <w:link w:val="PlainTextChar"/>
    <w:rsid w:val="00CF3BB1"/>
    <w:rPr>
      <w:sz w:val="20"/>
    </w:rPr>
  </w:style>
  <w:style w:type="character" w:customStyle="1" w:styleId="PlainTextChar">
    <w:name w:val="Plain Text Char"/>
    <w:basedOn w:val="DefaultParagraphFont"/>
    <w:link w:val="PlainText"/>
    <w:rsid w:val="00CF3B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3BB1"/>
    <w:rPr>
      <w:b/>
      <w:smallCaps/>
    </w:rPr>
  </w:style>
  <w:style w:type="paragraph" w:customStyle="1" w:styleId="TableListNumber">
    <w:name w:val="Table List Number"/>
    <w:basedOn w:val="ListNumber"/>
    <w:rsid w:val="00CF3BB1"/>
    <w:pPr>
      <w:numPr>
        <w:numId w:val="0"/>
      </w:numPr>
    </w:pPr>
  </w:style>
  <w:style w:type="paragraph" w:styleId="TOC4">
    <w:name w:val="toc 4"/>
    <w:basedOn w:val="TOCBase"/>
    <w:next w:val="Normal"/>
    <w:semiHidden/>
    <w:rsid w:val="00CF3BB1"/>
    <w:pPr>
      <w:tabs>
        <w:tab w:val="right" w:leader="dot" w:pos="9071"/>
      </w:tabs>
      <w:ind w:left="1701"/>
    </w:pPr>
  </w:style>
  <w:style w:type="paragraph" w:customStyle="1" w:styleId="ListAlpha">
    <w:name w:val="List Alpha"/>
    <w:basedOn w:val="List"/>
    <w:rsid w:val="00CF3BB1"/>
    <w:pPr>
      <w:numPr>
        <w:numId w:val="9"/>
      </w:numPr>
    </w:pPr>
  </w:style>
  <w:style w:type="paragraph" w:customStyle="1" w:styleId="ListAlpha2">
    <w:name w:val="List Alpha 2"/>
    <w:basedOn w:val="List2"/>
    <w:rsid w:val="00CF3BB1"/>
    <w:pPr>
      <w:numPr>
        <w:numId w:val="8"/>
      </w:numPr>
    </w:pPr>
  </w:style>
  <w:style w:type="paragraph" w:styleId="List3">
    <w:name w:val="List 3"/>
    <w:basedOn w:val="BodyText"/>
    <w:rsid w:val="00CF3BB1"/>
    <w:pPr>
      <w:tabs>
        <w:tab w:val="left" w:pos="1021"/>
      </w:tabs>
      <w:spacing w:before="60" w:after="60"/>
      <w:ind w:left="1020" w:hanging="340"/>
    </w:pPr>
  </w:style>
  <w:style w:type="paragraph" w:styleId="List4">
    <w:name w:val="List 4"/>
    <w:basedOn w:val="BodyText"/>
    <w:rsid w:val="00CF3BB1"/>
    <w:pPr>
      <w:tabs>
        <w:tab w:val="left" w:pos="1361"/>
      </w:tabs>
      <w:spacing w:before="60" w:after="60"/>
      <w:ind w:left="1361" w:hanging="340"/>
    </w:pPr>
  </w:style>
  <w:style w:type="paragraph" w:styleId="List5">
    <w:name w:val="List 5"/>
    <w:basedOn w:val="BodyText"/>
    <w:rsid w:val="00CF3BB1"/>
    <w:pPr>
      <w:tabs>
        <w:tab w:val="left" w:pos="1701"/>
      </w:tabs>
      <w:spacing w:before="60" w:after="60"/>
      <w:ind w:left="1701" w:hanging="340"/>
    </w:pPr>
  </w:style>
  <w:style w:type="paragraph" w:styleId="ListBullet3">
    <w:name w:val="List Bullet 3"/>
    <w:basedOn w:val="List3"/>
    <w:rsid w:val="00CF3BB1"/>
    <w:pPr>
      <w:numPr>
        <w:numId w:val="15"/>
      </w:numPr>
      <w:tabs>
        <w:tab w:val="clear" w:pos="1021"/>
      </w:tabs>
      <w:ind w:left="1037" w:hanging="357"/>
    </w:pPr>
  </w:style>
  <w:style w:type="paragraph" w:styleId="ListBullet4">
    <w:name w:val="List Bullet 4"/>
    <w:basedOn w:val="List4"/>
    <w:rsid w:val="00CF3BB1"/>
    <w:pPr>
      <w:numPr>
        <w:numId w:val="3"/>
      </w:numPr>
    </w:pPr>
  </w:style>
  <w:style w:type="paragraph" w:styleId="ListBullet5">
    <w:name w:val="List Bullet 5"/>
    <w:basedOn w:val="List5"/>
    <w:rsid w:val="00CF3BB1"/>
    <w:pPr>
      <w:numPr>
        <w:numId w:val="4"/>
      </w:numPr>
    </w:pPr>
  </w:style>
  <w:style w:type="paragraph" w:styleId="ListContinue2">
    <w:name w:val="List Continue 2"/>
    <w:basedOn w:val="List2"/>
    <w:rsid w:val="00CF3BB1"/>
    <w:pPr>
      <w:ind w:firstLine="0"/>
    </w:pPr>
  </w:style>
  <w:style w:type="paragraph" w:styleId="ListContinue3">
    <w:name w:val="List Continue 3"/>
    <w:basedOn w:val="List3"/>
    <w:rsid w:val="00CF3BB1"/>
    <w:pPr>
      <w:ind w:left="1021" w:firstLine="0"/>
    </w:pPr>
  </w:style>
  <w:style w:type="paragraph" w:styleId="ListContinue4">
    <w:name w:val="List Continue 4"/>
    <w:basedOn w:val="List4"/>
    <w:rsid w:val="00CF3BB1"/>
    <w:pPr>
      <w:ind w:firstLine="0"/>
    </w:pPr>
  </w:style>
  <w:style w:type="paragraph" w:styleId="ListContinue5">
    <w:name w:val="List Continue 5"/>
    <w:basedOn w:val="List5"/>
    <w:rsid w:val="00CF3BB1"/>
    <w:pPr>
      <w:ind w:firstLine="0"/>
    </w:pPr>
  </w:style>
  <w:style w:type="paragraph" w:styleId="ListNumber3">
    <w:name w:val="List Number 3"/>
    <w:basedOn w:val="List3"/>
    <w:rsid w:val="00CF3BB1"/>
    <w:pPr>
      <w:numPr>
        <w:numId w:val="5"/>
      </w:numPr>
    </w:pPr>
  </w:style>
  <w:style w:type="paragraph" w:styleId="ListNumber4">
    <w:name w:val="List Number 4"/>
    <w:basedOn w:val="List4"/>
    <w:rsid w:val="00CF3BB1"/>
    <w:pPr>
      <w:numPr>
        <w:numId w:val="6"/>
      </w:numPr>
    </w:pPr>
  </w:style>
  <w:style w:type="paragraph" w:styleId="ListNumber5">
    <w:name w:val="List Number 5"/>
    <w:basedOn w:val="List5"/>
    <w:rsid w:val="00CF3BB1"/>
    <w:pPr>
      <w:numPr>
        <w:numId w:val="7"/>
      </w:numPr>
    </w:pPr>
  </w:style>
  <w:style w:type="paragraph" w:styleId="BlockText">
    <w:name w:val="Block Text"/>
    <w:basedOn w:val="Normal"/>
    <w:rsid w:val="00CF3BB1"/>
    <w:pPr>
      <w:spacing w:after="120"/>
      <w:ind w:left="1440" w:right="1440"/>
    </w:pPr>
  </w:style>
  <w:style w:type="character" w:customStyle="1" w:styleId="Subscript">
    <w:name w:val="Subscript"/>
    <w:basedOn w:val="DefaultParagraphFont"/>
    <w:rsid w:val="00CF3BB1"/>
    <w:rPr>
      <w:sz w:val="16"/>
      <w:vertAlign w:val="subscript"/>
    </w:rPr>
  </w:style>
  <w:style w:type="character" w:customStyle="1" w:styleId="Superscript">
    <w:name w:val="Superscript"/>
    <w:basedOn w:val="DefaultParagraphFont"/>
    <w:rsid w:val="00CF3BB1"/>
    <w:rPr>
      <w:sz w:val="16"/>
      <w:vertAlign w:val="superscript"/>
    </w:rPr>
  </w:style>
  <w:style w:type="character" w:customStyle="1" w:styleId="Symbols">
    <w:name w:val="Symbols"/>
    <w:basedOn w:val="DefaultParagraphFont"/>
    <w:rsid w:val="00CF3BB1"/>
    <w:rPr>
      <w:rFonts w:ascii="Symbol" w:hAnsi="Symbol"/>
    </w:rPr>
  </w:style>
  <w:style w:type="character" w:customStyle="1" w:styleId="MenuOptions">
    <w:name w:val="Menu Options"/>
    <w:basedOn w:val="DefaultParagraphFont"/>
    <w:rsid w:val="00CF3BB1"/>
    <w:rPr>
      <w:rFonts w:ascii="Arial Narrow" w:hAnsi="Arial Narrow"/>
      <w:smallCaps/>
    </w:rPr>
  </w:style>
  <w:style w:type="character" w:customStyle="1" w:styleId="Buttons">
    <w:name w:val="Buttons"/>
    <w:basedOn w:val="DefaultParagraphFont"/>
    <w:rsid w:val="00CF3BB1"/>
    <w:rPr>
      <w:b/>
    </w:rPr>
  </w:style>
  <w:style w:type="character" w:customStyle="1" w:styleId="Underlined">
    <w:name w:val="Underlined"/>
    <w:basedOn w:val="DefaultParagraphFont"/>
    <w:rsid w:val="00CF3BB1"/>
    <w:rPr>
      <w:u w:val="single"/>
    </w:rPr>
  </w:style>
  <w:style w:type="paragraph" w:customStyle="1" w:styleId="TableBodyTextRight">
    <w:name w:val="Table Body Text Right"/>
    <w:basedOn w:val="TableBodyText"/>
    <w:rsid w:val="00CF3BB1"/>
    <w:pPr>
      <w:widowControl w:val="0"/>
      <w:autoSpaceDE w:val="0"/>
      <w:autoSpaceDN w:val="0"/>
      <w:adjustRightInd w:val="0"/>
      <w:jc w:val="right"/>
    </w:pPr>
    <w:rPr>
      <w:rFonts w:cs="Arial"/>
      <w:szCs w:val="18"/>
    </w:rPr>
  </w:style>
  <w:style w:type="paragraph" w:customStyle="1" w:styleId="CopyrightText">
    <w:name w:val="Copyright Text"/>
    <w:basedOn w:val="BodyText"/>
    <w:rsid w:val="00CF3BB1"/>
    <w:rPr>
      <w:sz w:val="18"/>
    </w:rPr>
  </w:style>
  <w:style w:type="paragraph" w:customStyle="1" w:styleId="BodySmallRight">
    <w:name w:val="Body Small Right"/>
    <w:basedOn w:val="BodyTextRight"/>
    <w:rsid w:val="00CF3BB1"/>
    <w:rPr>
      <w:sz w:val="18"/>
      <w:szCs w:val="18"/>
    </w:rPr>
  </w:style>
  <w:style w:type="paragraph" w:customStyle="1" w:styleId="MarginEdition">
    <w:name w:val="Margin Edition"/>
    <w:basedOn w:val="MarginNote"/>
    <w:rsid w:val="00CF3BB1"/>
    <w:pPr>
      <w:spacing w:before="0" w:after="0"/>
    </w:pPr>
    <w:rPr>
      <w:rFonts w:ascii="Times New Roman" w:hAnsi="Times New Roman"/>
      <w:color w:val="999999"/>
    </w:rPr>
  </w:style>
  <w:style w:type="paragraph" w:customStyle="1" w:styleId="Spacer">
    <w:name w:val="Spacer"/>
    <w:basedOn w:val="Normal"/>
    <w:rsid w:val="00CF3BB1"/>
    <w:rPr>
      <w:sz w:val="2"/>
      <w:szCs w:val="2"/>
    </w:rPr>
  </w:style>
  <w:style w:type="character" w:customStyle="1" w:styleId="Small">
    <w:name w:val="Small"/>
    <w:basedOn w:val="DefaultParagraphFont"/>
    <w:rsid w:val="00CF3BB1"/>
    <w:rPr>
      <w:sz w:val="16"/>
    </w:rPr>
  </w:style>
  <w:style w:type="paragraph" w:customStyle="1" w:styleId="WideTable">
    <w:name w:val="Wide Table"/>
    <w:basedOn w:val="Normal"/>
    <w:rsid w:val="00CF3BB1"/>
    <w:pPr>
      <w:ind w:left="-1418"/>
    </w:pPr>
    <w:rPr>
      <w:sz w:val="2"/>
      <w:szCs w:val="2"/>
    </w:rPr>
  </w:style>
  <w:style w:type="character" w:styleId="PageNumber">
    <w:name w:val="page number"/>
    <w:basedOn w:val="DefaultParagraphFont"/>
    <w:rsid w:val="00CF3BB1"/>
  </w:style>
  <w:style w:type="paragraph" w:styleId="Quote">
    <w:name w:val="Quote"/>
    <w:basedOn w:val="Heading1"/>
    <w:link w:val="QuoteChar"/>
    <w:qFormat/>
    <w:rsid w:val="00CF3BB1"/>
    <w:rPr>
      <w:b w:val="0"/>
      <w:sz w:val="72"/>
      <w:szCs w:val="72"/>
      <w:lang w:val="en-NZ"/>
    </w:rPr>
  </w:style>
  <w:style w:type="character" w:customStyle="1" w:styleId="QuoteChar">
    <w:name w:val="Quote Char"/>
    <w:basedOn w:val="DefaultParagraphFont"/>
    <w:link w:val="Quote"/>
    <w:rsid w:val="00CF3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BB1"/>
    <w:pPr>
      <w:pageBreakBefore/>
    </w:pPr>
  </w:style>
  <w:style w:type="paragraph" w:customStyle="1" w:styleId="Border">
    <w:name w:val="Border"/>
    <w:basedOn w:val="Normal"/>
    <w:qFormat/>
    <w:rsid w:val="00CF3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BB1"/>
    <w:rPr>
      <w:b/>
      <w:bCs/>
      <w:i/>
      <w:iCs/>
      <w:color w:val="auto"/>
    </w:rPr>
  </w:style>
  <w:style w:type="paragraph" w:styleId="IntenseQuote">
    <w:name w:val="Intense Quote"/>
    <w:basedOn w:val="Normal"/>
    <w:next w:val="Normal"/>
    <w:link w:val="IntenseQuoteChar"/>
    <w:uiPriority w:val="30"/>
    <w:qFormat/>
    <w:rsid w:val="00CF3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B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3BB1"/>
    <w:rPr>
      <w:smallCaps/>
      <w:color w:val="auto"/>
      <w:u w:val="single"/>
    </w:rPr>
  </w:style>
  <w:style w:type="character" w:styleId="IntenseReference">
    <w:name w:val="Intense Reference"/>
    <w:basedOn w:val="DefaultParagraphFont"/>
    <w:uiPriority w:val="32"/>
    <w:qFormat/>
    <w:rsid w:val="00CF3BB1"/>
    <w:rPr>
      <w:b/>
      <w:bCs/>
      <w:smallCaps/>
      <w:color w:val="auto"/>
      <w:spacing w:val="5"/>
      <w:u w:val="single"/>
    </w:rPr>
  </w:style>
  <w:style w:type="paragraph" w:customStyle="1" w:styleId="2ColumnHeading">
    <w:name w:val="2Column Heading"/>
    <w:basedOn w:val="BodyText"/>
    <w:qFormat/>
    <w:rsid w:val="00CF3BB1"/>
    <w:pPr>
      <w:spacing w:after="60"/>
      <w:ind w:left="-2268"/>
    </w:pPr>
    <w:rPr>
      <w:b/>
    </w:rPr>
  </w:style>
  <w:style w:type="paragraph" w:customStyle="1" w:styleId="Heading1TOC">
    <w:name w:val="Heading1 TOC"/>
    <w:basedOn w:val="Normal"/>
    <w:qFormat/>
    <w:rsid w:val="00CF3BB1"/>
    <w:pPr>
      <w:spacing w:before="240" w:after="120"/>
    </w:pPr>
    <w:rPr>
      <w:rFonts w:ascii="Times New Roman" w:hAnsi="Times New Roman"/>
      <w:b/>
      <w:sz w:val="32"/>
    </w:rPr>
  </w:style>
  <w:style w:type="paragraph" w:customStyle="1" w:styleId="Heading2TOC">
    <w:name w:val="Heading2 TOC"/>
    <w:basedOn w:val="Normal"/>
    <w:qFormat/>
    <w:rsid w:val="00CF3BB1"/>
    <w:pPr>
      <w:spacing w:before="240" w:after="60"/>
    </w:pPr>
    <w:rPr>
      <w:rFonts w:ascii="Times New Roman" w:hAnsi="Times New Roman"/>
      <w:b/>
      <w:sz w:val="28"/>
    </w:rPr>
  </w:style>
  <w:style w:type="character" w:customStyle="1" w:styleId="Underline">
    <w:name w:val="Underline"/>
    <w:basedOn w:val="DefaultParagraphFont"/>
    <w:qFormat/>
    <w:rsid w:val="00CF3BB1"/>
    <w:rPr>
      <w:u w:val="single"/>
    </w:rPr>
  </w:style>
  <w:style w:type="paragraph" w:styleId="BalloonText">
    <w:name w:val="Balloon Text"/>
    <w:basedOn w:val="Normal"/>
    <w:link w:val="BalloonTextChar"/>
    <w:rsid w:val="00CF3BB1"/>
    <w:rPr>
      <w:rFonts w:ascii="Tahoma" w:hAnsi="Tahoma" w:cs="Tahoma"/>
      <w:sz w:val="16"/>
      <w:szCs w:val="16"/>
    </w:rPr>
  </w:style>
  <w:style w:type="character" w:customStyle="1" w:styleId="BalloonTextChar">
    <w:name w:val="Balloon Text Char"/>
    <w:basedOn w:val="DefaultParagraphFont"/>
    <w:link w:val="BalloonText"/>
    <w:rsid w:val="00CF3B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B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B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1485</Words>
  <Characters>9604</Characters>
  <Application>Microsoft Office Word</Application>
  <DocSecurity>0</DocSecurity>
  <Lines>375</Lines>
  <Paragraphs>223</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ICTDRE3165A Install a complex digital reception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