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003E" w:rsidP="0045003E">
      <w:pPr>
        <w:pStyle w:val="Title"/>
      </w:pPr>
      <w:bookmarkStart w:id="0" w:name="_GoBack"/>
      <w:bookmarkEnd w:id="0"/>
      <w:r>
        <w:fldChar w:fldCharType="begin"/>
      </w:r>
      <w:r>
        <w:instrText xml:space="preserve"> TITLE   \* MERGEFORMAT </w:instrText>
      </w:r>
      <w:r>
        <w:fldChar w:fldCharType="separate"/>
      </w:r>
      <w:r>
        <w:t>ICTCMP2022A Organise and monitor cabling to ensure compliance with regulatory and industry standards</w:t>
      </w:r>
      <w:r>
        <w:fldChar w:fldCharType="end"/>
      </w:r>
    </w:p>
    <w:p w:rsidR="0045003E" w:rsidP="0045003E">
      <w:pPr>
        <w:pStyle w:val="Version"/>
        <w:sectPr w:rsidSect="00E977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7762" w:rsidP="00E97762">
      <w:pPr>
        <w:pStyle w:val="SuperHeading"/>
      </w:pPr>
      <w:r w:rsidRPr="00E97762">
        <w:t>ICTCMP2022A Organise and monitor cabling to ensure compliance with regulatory and industry standards</w:t>
      </w:r>
    </w:p>
    <w:p w:rsidR="00000000" w:rsidRPr="00E97762" w:rsidP="00E97762">
      <w:pPr>
        <w:pStyle w:val="Heading1"/>
      </w:pPr>
      <w:bookmarkStart w:id="1" w:name="O_271774"/>
      <w:bookmarkEnd w:id="1"/>
      <w:r w:rsidRPr="00E97762">
        <w:t>Modification History</w:t>
      </w:r>
    </w:p>
    <w:p w:rsidR="00000000" w:rsidRPr="00E97762" w:rsidP="00E97762">
      <w:pPr>
        <w:pStyle w:val="BodyText"/>
      </w:pPr>
      <w:r w:rsidRPr="00E97762">
        <w:t>Not Applicable</w:t>
      </w:r>
    </w:p>
    <w:p w:rsidR="00000000" w:rsidRPr="00E97762" w:rsidP="00E97762">
      <w:pPr>
        <w:pStyle w:val="AllowPageBreak"/>
      </w:pPr>
    </w:p>
    <w:p w:rsidR="00000000" w:rsidRPr="00E97762" w:rsidP="00E97762">
      <w:pPr>
        <w:pStyle w:val="Heading1"/>
      </w:pPr>
      <w:bookmarkStart w:id="2" w:name="O_208857"/>
      <w:bookmarkEnd w:id="2"/>
      <w:r w:rsidRPr="00E97762">
        <w:t>Unit Descriptor</w:t>
      </w:r>
    </w:p>
    <w:tbl>
      <w:tblPr>
        <w:tblW w:w="0" w:type="auto"/>
        <w:tblLayout w:type="fixed"/>
        <w:tblCellMar>
          <w:left w:w="62" w:type="dxa"/>
          <w:right w:w="62" w:type="dxa"/>
        </w:tblCellMar>
        <w:tblLook w:val="0000"/>
      </w:tblPr>
      <w:tblGrid>
        <w:gridCol w:w="2650"/>
        <w:gridCol w:w="5872"/>
      </w:tblGrid>
      <w:tr w:rsidTr="0045003E">
        <w:tblPrEx>
          <w:tblW w:w="0" w:type="auto"/>
          <w:tblLayout w:type="fixed"/>
          <w:tblCellMar>
            <w:left w:w="62" w:type="dxa"/>
            <w:right w:w="62" w:type="dxa"/>
          </w:tblCellMar>
          <w:tblLook w:val="0000"/>
        </w:tblPrEx>
        <w:tc>
          <w:tcPr>
            <w:tcW w:w="2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762">
            <w:pPr>
              <w:pStyle w:val="BodyText"/>
              <w:rPr>
                <w:lang w:val="en-NZ"/>
              </w:rPr>
            </w:pPr>
            <w:r w:rsidRPr="00E97762">
              <w:rPr>
                <w:rStyle w:val="SpecialBold"/>
              </w:rPr>
              <w:t>Unit descriptor</w:t>
            </w:r>
          </w:p>
        </w:tc>
        <w:tc>
          <w:tcPr>
            <w:tcW w:w="5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762" w:rsidP="00E97762">
            <w:pPr>
              <w:pStyle w:val="BodyText"/>
            </w:pPr>
            <w:r w:rsidRPr="00E97762">
              <w:t>This unit describes the performance outcomes, skills and knowledge required to organise and monitor teams undertaking cabling work on all cable types, and to ensure compliance with regulatory and industry standards.</w:t>
            </w:r>
          </w:p>
          <w:p w:rsidR="00000000" w:rsidRPr="00E97762" w:rsidP="00E97762">
            <w:pPr>
              <w:pStyle w:val="BodyText"/>
            </w:pPr>
          </w:p>
          <w:p w:rsidR="00000000" w:rsidRPr="00E97762" w:rsidP="00E97762">
            <w:pPr>
              <w:pStyle w:val="BodyText"/>
            </w:pPr>
            <w:r w:rsidRPr="00E97762">
              <w:t>Ass</w:t>
            </w:r>
            <w:r w:rsidRPr="00E97762">
              <w:t>essment by a TITAB registered assessor is recommended.</w:t>
            </w:r>
          </w:p>
          <w:p w:rsidR="00000000" w:rsidRPr="00E97762" w:rsidP="00E97762">
            <w:pPr>
              <w:pStyle w:val="BodyText"/>
            </w:pPr>
          </w:p>
          <w:p w:rsidR="00000000" w:rsidRPr="00E97762" w:rsidP="00E97762">
            <w:pPr>
              <w:pStyle w:val="BodyText"/>
            </w:pPr>
            <w:r w:rsidRPr="00E97762">
              <w:t>The six unit competency set ICTCBL2005A, ICTCBL2006A, ICTCBL2008A, ICTCBL2012A, ICTCBL2017A and ICTCMP2022A, that meets the Australian Communications and Media Authority's (ACMA) requirements for Cabl</w:t>
            </w:r>
            <w:r w:rsidRPr="00E97762">
              <w:t xml:space="preserve">ing Provider Registration (CPR), is generally used as part of a more specialised customer cabling qualification. This set is usually regarded as more suitable for new entrants where limited industry experience has been obtained and forms the major part of </w:t>
            </w:r>
            <w:r w:rsidRPr="00E97762">
              <w:t>specialised qualifications, such as ICT20310 Certificate II in Telecommunications Cabling. When these six units are selected as a set within state and territory funding approved programs, the two benchmark CPR units (ICTCBL2136A and ICTCBL2137A) are not re</w:t>
            </w:r>
            <w:r w:rsidRPr="00E97762">
              <w:t>quired.</w:t>
            </w:r>
          </w:p>
          <w:p w:rsidR="00000000" w:rsidRPr="00E97762" w:rsidP="00E97762">
            <w:pPr>
              <w:pStyle w:val="BodyText"/>
            </w:pPr>
          </w:p>
          <w:p w:rsidR="00000000" w:rsidRPr="00E97762" w:rsidP="00E97762">
            <w:pPr>
              <w:pStyle w:val="BodyText"/>
            </w:pPr>
            <w:r w:rsidRPr="00E97762">
              <w:t>All customer cabling work in the telecommunications, fire, security and data industries must be performed by a registered cabler. All cablers are required to register with an ACMA accredited registrar.</w:t>
            </w:r>
          </w:p>
        </w:tc>
      </w:tr>
    </w:tbl>
    <w:p w:rsidR="0045003E" w:rsidP="00E97762">
      <w:pPr>
        <w:pStyle w:val="BodyText"/>
      </w:pPr>
    </w:p>
    <w:p w:rsidR="0045003E" w:rsidP="00E97762">
      <w:pPr>
        <w:pStyle w:val="BodyText"/>
      </w:pPr>
    </w:p>
    <w:p w:rsidR="00000000" w:rsidRPr="00E97762" w:rsidP="00E97762">
      <w:pPr>
        <w:pStyle w:val="Heading1"/>
      </w:pPr>
      <w:bookmarkStart w:id="3" w:name="O_208861"/>
      <w:bookmarkEnd w:id="3"/>
      <w:r w:rsidRPr="00E97762">
        <w:t>Application of the Unit</w:t>
      </w:r>
    </w:p>
    <w:tbl>
      <w:tblPr>
        <w:tblW w:w="0" w:type="auto"/>
        <w:tblLayout w:type="fixed"/>
        <w:tblCellMar>
          <w:left w:w="62" w:type="dxa"/>
          <w:right w:w="62" w:type="dxa"/>
        </w:tblCellMar>
        <w:tblLook w:val="0000"/>
      </w:tblPr>
      <w:tblGrid>
        <w:gridCol w:w="2747"/>
        <w:gridCol w:w="5775"/>
      </w:tblGrid>
      <w:tr w:rsidTr="0045003E">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762">
            <w:pPr>
              <w:pStyle w:val="BodyText"/>
              <w:rPr>
                <w:lang w:val="en-NZ"/>
              </w:rPr>
            </w:pPr>
            <w:r w:rsidRPr="00E97762">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762" w:rsidP="00E97762">
            <w:pPr>
              <w:pStyle w:val="BodyText"/>
            </w:pPr>
            <w:r w:rsidRPr="00E97762">
              <w:t>Technical staff apply the skills and knowledge in this unit for supervising teams within a customer premises and ensuring compliance with ACMA and industry standards. They may make use of formal documentation, such as accurate compl</w:t>
            </w:r>
            <w:r w:rsidRPr="00E97762">
              <w:t>etion of a telecommunications cabling advice (TCA) form (TCA1 form), test routines and databases.</w:t>
            </w:r>
          </w:p>
        </w:tc>
      </w:tr>
    </w:tbl>
    <w:p w:rsidR="0045003E" w:rsidP="00E97762">
      <w:pPr>
        <w:pStyle w:val="BodyText"/>
      </w:pPr>
    </w:p>
    <w:p w:rsidR="0045003E" w:rsidP="00E97762">
      <w:pPr>
        <w:pStyle w:val="BodyText"/>
      </w:pPr>
    </w:p>
    <w:p w:rsidR="00000000" w:rsidRPr="00E97762" w:rsidP="00E97762">
      <w:pPr>
        <w:pStyle w:val="Heading1"/>
      </w:pPr>
      <w:bookmarkStart w:id="4" w:name="O_280034"/>
      <w:bookmarkEnd w:id="4"/>
      <w:r w:rsidRPr="00E97762">
        <w:t>Licensing/Regulatory Information</w:t>
      </w:r>
    </w:p>
    <w:p w:rsidR="00000000" w:rsidRPr="00E97762" w:rsidP="00E97762">
      <w:pPr>
        <w:pStyle w:val="BodyText"/>
      </w:pPr>
      <w:r w:rsidRPr="00E97762">
        <w:t>Not Applicable</w:t>
      </w:r>
    </w:p>
    <w:p w:rsidR="00000000" w:rsidRPr="00E97762" w:rsidP="00E97762">
      <w:pPr>
        <w:pStyle w:val="AllowPageBreak"/>
      </w:pPr>
    </w:p>
    <w:p w:rsidR="00000000" w:rsidRPr="00E97762" w:rsidP="00E97762">
      <w:pPr>
        <w:pStyle w:val="Heading1"/>
      </w:pPr>
      <w:bookmarkStart w:id="5" w:name="O_208859"/>
      <w:bookmarkEnd w:id="5"/>
      <w:r w:rsidRPr="00E97762">
        <w:t>Pre-Requisites</w:t>
      </w:r>
    </w:p>
    <w:tbl>
      <w:tblPr>
        <w:tblW w:w="0" w:type="auto"/>
        <w:tblLayout w:type="fixed"/>
        <w:tblCellMar>
          <w:left w:w="62" w:type="dxa"/>
          <w:right w:w="62" w:type="dxa"/>
        </w:tblCellMar>
        <w:tblLook w:val="0000"/>
      </w:tblPr>
      <w:tblGrid>
        <w:gridCol w:w="2775"/>
        <w:gridCol w:w="1295"/>
        <w:gridCol w:w="4452"/>
      </w:tblGrid>
      <w:tr w:rsidTr="0045003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762">
            <w:pPr>
              <w:pStyle w:val="BodyText"/>
              <w:rPr>
                <w:lang w:val="en-NZ"/>
              </w:rPr>
            </w:pPr>
            <w:r w:rsidRPr="00E9776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762">
            <w:pPr>
              <w:pStyle w:val="BodyText"/>
              <w:rPr>
                <w:lang w:val="en-NZ"/>
              </w:rPr>
            </w:pPr>
          </w:p>
        </w:tc>
      </w:tr>
      <w:tr w:rsidTr="0045003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762">
            <w:pPr>
              <w:pStyle w:val="BodyText"/>
              <w:rPr>
                <w:lang w:val="en-NZ"/>
              </w:rPr>
            </w:pPr>
          </w:p>
        </w:tc>
      </w:tr>
      <w:tr w:rsidTr="0045003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762" w:rsidP="00E97762">
            <w:pPr>
              <w:pStyle w:val="BodyText"/>
            </w:pPr>
          </w:p>
        </w:tc>
      </w:tr>
    </w:tbl>
    <w:p w:rsidR="0045003E" w:rsidP="00E97762">
      <w:pPr>
        <w:pStyle w:val="BodyText"/>
      </w:pPr>
    </w:p>
    <w:p w:rsidR="0045003E" w:rsidP="00E97762">
      <w:pPr>
        <w:pStyle w:val="BodyText"/>
      </w:pPr>
    </w:p>
    <w:p w:rsidR="00000000" w:rsidRPr="00E97762" w:rsidP="00E97762">
      <w:pPr>
        <w:pStyle w:val="Heading1"/>
      </w:pPr>
      <w:bookmarkStart w:id="6" w:name="O_208858"/>
      <w:bookmarkEnd w:id="6"/>
      <w:r w:rsidRPr="00E97762">
        <w:t>Employability Skills Information</w:t>
      </w:r>
    </w:p>
    <w:tbl>
      <w:tblPr>
        <w:tblW w:w="0" w:type="auto"/>
        <w:tblLayout w:type="fixed"/>
        <w:tblCellMar>
          <w:left w:w="62" w:type="dxa"/>
          <w:right w:w="62" w:type="dxa"/>
        </w:tblCellMar>
        <w:tblLook w:val="0000"/>
      </w:tblPr>
      <w:tblGrid>
        <w:gridCol w:w="2802"/>
        <w:gridCol w:w="5720"/>
      </w:tblGrid>
      <w:tr w:rsidTr="0045003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762">
            <w:pPr>
              <w:pStyle w:val="BodyText"/>
              <w:rPr>
                <w:lang w:val="en-NZ"/>
              </w:rPr>
            </w:pPr>
            <w:r w:rsidRPr="00E9776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762" w:rsidP="00E97762">
            <w:pPr>
              <w:pStyle w:val="BodyText"/>
            </w:pPr>
            <w:r w:rsidRPr="00E97762">
              <w:t>This unit contains employability skills.</w:t>
            </w:r>
          </w:p>
        </w:tc>
      </w:tr>
    </w:tbl>
    <w:p w:rsidR="0045003E" w:rsidP="00E97762">
      <w:pPr>
        <w:pStyle w:val="BodyText"/>
      </w:pPr>
    </w:p>
    <w:p w:rsidR="0045003E" w:rsidP="00E97762">
      <w:pPr>
        <w:pStyle w:val="BodyText"/>
      </w:pPr>
    </w:p>
    <w:p w:rsidR="00000000" w:rsidRPr="00E97762" w:rsidP="00E97762">
      <w:pPr>
        <w:pStyle w:val="Heading1"/>
      </w:pPr>
      <w:bookmarkStart w:id="7" w:name="O_289820"/>
      <w:bookmarkEnd w:id="7"/>
      <w:r w:rsidRPr="00E97762">
        <w:t>Elements and Performance Criteria Pre-Content</w:t>
      </w:r>
    </w:p>
    <w:tbl>
      <w:tblPr>
        <w:tblW w:w="0" w:type="auto"/>
        <w:tblLayout w:type="fixed"/>
        <w:tblCellMar>
          <w:left w:w="62" w:type="dxa"/>
          <w:right w:w="62" w:type="dxa"/>
        </w:tblCellMar>
        <w:tblLook w:val="0000"/>
      </w:tblPr>
      <w:tblGrid>
        <w:gridCol w:w="2611"/>
        <w:gridCol w:w="5911"/>
      </w:tblGrid>
      <w:tr w:rsidTr="0045003E">
        <w:tblPrEx>
          <w:tblW w:w="0" w:type="auto"/>
          <w:tblLayout w:type="fixed"/>
          <w:tblCellMar>
            <w:left w:w="62" w:type="dxa"/>
            <w:right w:w="62" w:type="dxa"/>
          </w:tblCellMar>
          <w:tblLook w:val="0000"/>
        </w:tblPrEx>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762">
            <w:pPr>
              <w:pStyle w:val="BodyText"/>
              <w:rPr>
                <w:lang w:val="en-NZ"/>
              </w:rPr>
            </w:pPr>
            <w:r w:rsidRPr="00E97762">
              <w:t>Elements describe the essential outcomes of a unit of competency.</w:t>
            </w:r>
          </w:p>
        </w:tc>
        <w:tc>
          <w:tcPr>
            <w:tcW w:w="5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762" w:rsidP="00E97762">
            <w:pPr>
              <w:pStyle w:val="BodyText"/>
            </w:pPr>
            <w:r w:rsidRPr="00E97762">
              <w:t>Performance criteria describe the performance needed to demonstrate achievement of the element. Where bold italicised text is used, further information is detailed in the required skills and knowledge section and the range statement. Assessment of performa</w:t>
            </w:r>
            <w:r w:rsidRPr="00E97762">
              <w:t>nce is to be consistent with the evidence guide.</w:t>
            </w:r>
          </w:p>
        </w:tc>
      </w:tr>
    </w:tbl>
    <w:p w:rsidR="00000000" w:rsidRPr="00E97762" w:rsidP="00E97762">
      <w:pPr>
        <w:pStyle w:val="BodyText"/>
      </w:pPr>
    </w:p>
    <w:p w:rsidR="00000000" w:rsidRPr="00E97762" w:rsidP="00E97762">
      <w:pPr>
        <w:pStyle w:val="AllowPageBreak"/>
      </w:pPr>
    </w:p>
    <w:p w:rsidR="00000000" w:rsidRPr="00E97762" w:rsidP="00E97762">
      <w:pPr>
        <w:pStyle w:val="Heading1"/>
      </w:pPr>
      <w:bookmarkStart w:id="8" w:name="O_236487"/>
      <w:bookmarkEnd w:id="8"/>
      <w:r w:rsidRPr="00E97762">
        <w:t>Elements and Performance Criteria</w:t>
      </w:r>
    </w:p>
    <w:tbl>
      <w:tblPr>
        <w:tblW w:w="0" w:type="auto"/>
        <w:tblLayout w:type="fixed"/>
        <w:tblCellMar>
          <w:left w:w="62" w:type="dxa"/>
          <w:right w:w="62" w:type="dxa"/>
        </w:tblCellMar>
        <w:tblLook w:val="0000"/>
      </w:tblPr>
      <w:tblGrid>
        <w:gridCol w:w="2611"/>
        <w:gridCol w:w="5911"/>
      </w:tblGrid>
      <w:tr w:rsidTr="0045003E">
        <w:tblPrEx>
          <w:tblW w:w="0" w:type="auto"/>
          <w:tblLayout w:type="fixed"/>
          <w:tblCellMar>
            <w:left w:w="62" w:type="dxa"/>
            <w:right w:w="62" w:type="dxa"/>
          </w:tblCellMar>
          <w:tblLook w:val="0000"/>
        </w:tblPrEx>
        <w:trPr>
          <w:tblHeader/>
        </w:trPr>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762" w:rsidP="00E97762">
            <w:pPr>
              <w:pStyle w:val="BodyText"/>
            </w:pPr>
            <w:r w:rsidRPr="00E97762">
              <w:rPr>
                <w:rStyle w:val="SpecialBold"/>
              </w:rPr>
              <w:t>ELEMENT</w:t>
            </w:r>
          </w:p>
        </w:tc>
        <w:tc>
          <w:tcPr>
            <w:tcW w:w="5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762">
            <w:pPr>
              <w:pStyle w:val="BodyText"/>
              <w:rPr>
                <w:lang w:val="en-NZ"/>
              </w:rPr>
            </w:pPr>
            <w:r w:rsidRPr="00E97762">
              <w:rPr>
                <w:rStyle w:val="SpecialBold"/>
              </w:rPr>
              <w:t>PERFORMANCE CRITERIA</w:t>
            </w:r>
          </w:p>
        </w:tc>
      </w:tr>
      <w:tr w:rsidTr="0045003E">
        <w:tblPrEx>
          <w:tblW w:w="0" w:type="auto"/>
          <w:tblLayout w:type="fixed"/>
          <w:tblCellMar>
            <w:left w:w="62" w:type="dxa"/>
            <w:right w:w="62" w:type="dxa"/>
          </w:tblCellMar>
          <w:tblLook w:val="0000"/>
        </w:tblPrEx>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762">
            <w:pPr>
              <w:pStyle w:val="List"/>
              <w:rPr>
                <w:lang w:val="en-NZ"/>
              </w:rPr>
            </w:pPr>
            <w:r w:rsidRPr="00E97762">
              <w:t>1.</w:t>
            </w:r>
            <w:r w:rsidRPr="00E97762">
              <w:tab/>
              <w:t>Organise cabling work activity</w:t>
            </w:r>
          </w:p>
        </w:tc>
        <w:tc>
          <w:tcPr>
            <w:tcW w:w="5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762" w:rsidP="00E97762">
            <w:pPr>
              <w:pStyle w:val="List2"/>
            </w:pPr>
            <w:r w:rsidRPr="00E97762">
              <w:t>1.1.</w:t>
            </w:r>
            <w:r w:rsidRPr="00E97762">
              <w:tab/>
              <w:t xml:space="preserve">Arrange access to the site according to required procedure </w:t>
            </w:r>
          </w:p>
          <w:p w:rsidR="00000000" w:rsidRPr="00E97762" w:rsidP="00E97762">
            <w:pPr>
              <w:pStyle w:val="List2"/>
            </w:pPr>
            <w:r w:rsidRPr="00E97762">
              <w:t>1.2.</w:t>
            </w:r>
            <w:r w:rsidRPr="00E97762">
              <w:tab/>
              <w:t>Make worksite safe</w:t>
            </w:r>
            <w:r w:rsidRPr="00E97762">
              <w:t xml:space="preserve"> by identifying existing and potential </w:t>
            </w:r>
            <w:r w:rsidRPr="00E97762">
              <w:rPr>
                <w:rStyle w:val="BoldandItalics"/>
              </w:rPr>
              <w:t>hazards</w:t>
            </w:r>
          </w:p>
          <w:p w:rsidR="00000000" w:rsidRPr="00E97762" w:rsidP="00E97762">
            <w:pPr>
              <w:pStyle w:val="List2"/>
            </w:pPr>
            <w:r w:rsidRPr="00E97762">
              <w:t>1.3.</w:t>
            </w:r>
            <w:r w:rsidRPr="00E97762">
              <w:tab/>
              <w:t xml:space="preserve">Review </w:t>
            </w:r>
            <w:r w:rsidRPr="00E97762">
              <w:rPr>
                <w:rStyle w:val="BoldandItalics"/>
              </w:rPr>
              <w:t>site plans and documentation</w:t>
            </w:r>
          </w:p>
          <w:p w:rsidR="00000000" w:rsidRPr="00E97762" w:rsidP="00E97762">
            <w:pPr>
              <w:pStyle w:val="List2"/>
            </w:pPr>
            <w:r w:rsidRPr="00E97762">
              <w:t>1.4.</w:t>
            </w:r>
            <w:r w:rsidRPr="00E97762">
              <w:tab/>
              <w:t xml:space="preserve">Organise supply of </w:t>
            </w:r>
            <w:r w:rsidRPr="00E97762">
              <w:rPr>
                <w:rStyle w:val="BoldandItalics"/>
              </w:rPr>
              <w:t>cable</w:t>
            </w:r>
            <w:r w:rsidRPr="00E97762">
              <w:t>, equipment, tools and materials in line with manufacturer's specifications</w:t>
            </w:r>
          </w:p>
          <w:p w:rsidR="00000000" w:rsidRPr="00E97762" w:rsidP="00E97762">
            <w:pPr>
              <w:pStyle w:val="List2"/>
            </w:pPr>
            <w:r w:rsidRPr="00E97762">
              <w:t>1.5.</w:t>
            </w:r>
            <w:r w:rsidRPr="00E97762">
              <w:tab/>
            </w:r>
            <w:r w:rsidRPr="00E97762">
              <w:rPr>
                <w:rStyle w:val="BoldandItalics"/>
              </w:rPr>
              <w:t>Schedule and allocate work</w:t>
            </w:r>
            <w:r w:rsidRPr="00E97762">
              <w:t xml:space="preserve"> </w:t>
            </w:r>
          </w:p>
          <w:p w:rsidR="00000000" w:rsidP="00E97762">
            <w:pPr>
              <w:pStyle w:val="List2"/>
              <w:rPr>
                <w:lang w:val="en-NZ"/>
              </w:rPr>
            </w:pPr>
            <w:r w:rsidRPr="00E97762">
              <w:t>1.6.</w:t>
            </w:r>
            <w:r w:rsidRPr="00E97762">
              <w:tab/>
              <w:t>Establish communication p</w:t>
            </w:r>
            <w:r w:rsidRPr="00E97762">
              <w:t>rotocols and processes</w:t>
            </w:r>
          </w:p>
        </w:tc>
      </w:tr>
      <w:tr w:rsidTr="0045003E">
        <w:tblPrEx>
          <w:tblW w:w="0" w:type="auto"/>
          <w:tblLayout w:type="fixed"/>
          <w:tblCellMar>
            <w:left w:w="62" w:type="dxa"/>
            <w:right w:w="62" w:type="dxa"/>
          </w:tblCellMar>
          <w:tblLook w:val="0000"/>
        </w:tblPrEx>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762">
            <w:pPr>
              <w:pStyle w:val="List"/>
              <w:rPr>
                <w:lang w:val="en-NZ"/>
              </w:rPr>
            </w:pPr>
            <w:r w:rsidRPr="00E97762">
              <w:t>2.</w:t>
            </w:r>
            <w:r w:rsidRPr="00E97762">
              <w:tab/>
              <w:t xml:space="preserve">Monitor work activity </w:t>
            </w:r>
          </w:p>
        </w:tc>
        <w:tc>
          <w:tcPr>
            <w:tcW w:w="5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762" w:rsidP="00E97762">
            <w:pPr>
              <w:pStyle w:val="List2"/>
            </w:pPr>
            <w:r w:rsidRPr="00E97762">
              <w:t>2.1.</w:t>
            </w:r>
            <w:r w:rsidRPr="00E97762">
              <w:tab/>
            </w:r>
            <w:r w:rsidRPr="00E97762">
              <w:rPr>
                <w:rStyle w:val="BoldandItalics"/>
              </w:rPr>
              <w:t>Manage remote power feed</w:t>
            </w:r>
            <w:r w:rsidRPr="00E97762">
              <w:t xml:space="preserve"> following occupational health and safety (</w:t>
            </w:r>
            <w:r w:rsidRPr="00E97762">
              <w:rPr>
                <w:rStyle w:val="BoldandItalics"/>
              </w:rPr>
              <w:t>OHS</w:t>
            </w:r>
            <w:r w:rsidRPr="00E97762">
              <w:t xml:space="preserve">) </w:t>
            </w:r>
            <w:r w:rsidRPr="00E97762">
              <w:rPr>
                <w:rStyle w:val="BoldandItalics"/>
              </w:rPr>
              <w:t>and</w:t>
            </w:r>
            <w:r w:rsidRPr="00E97762">
              <w:t xml:space="preserve"> </w:t>
            </w:r>
            <w:r w:rsidRPr="00E97762">
              <w:rPr>
                <w:rStyle w:val="BoldandItalics"/>
              </w:rPr>
              <w:t>environmental requirements</w:t>
            </w:r>
          </w:p>
          <w:p w:rsidR="00000000" w:rsidRPr="00E97762" w:rsidP="00E97762">
            <w:pPr>
              <w:pStyle w:val="List2"/>
            </w:pPr>
            <w:r w:rsidRPr="00E97762">
              <w:t>2.2.</w:t>
            </w:r>
            <w:r w:rsidRPr="00E97762">
              <w:tab/>
              <w:t xml:space="preserve">Monitor work activity to ensure it meets site specifications, and </w:t>
            </w:r>
            <w:r w:rsidRPr="00E97762">
              <w:rPr>
                <w:rStyle w:val="BoldandItalics"/>
              </w:rPr>
              <w:t>enterprise requirements</w:t>
            </w:r>
            <w:r w:rsidRPr="00E97762">
              <w:t>, an</w:t>
            </w:r>
            <w:r w:rsidRPr="00E97762">
              <w:t xml:space="preserve">d </w:t>
            </w:r>
            <w:r w:rsidRPr="00E97762">
              <w:rPr>
                <w:rStyle w:val="BoldandItalics"/>
              </w:rPr>
              <w:t>relevant legislation</w:t>
            </w:r>
            <w:r w:rsidRPr="00E97762">
              <w:t xml:space="preserve">, </w:t>
            </w:r>
            <w:r w:rsidRPr="00E97762">
              <w:rPr>
                <w:rStyle w:val="BoldandItalics"/>
              </w:rPr>
              <w:t>codes</w:t>
            </w:r>
            <w:r w:rsidRPr="00E97762">
              <w:t xml:space="preserve">, </w:t>
            </w:r>
            <w:r w:rsidRPr="00E97762">
              <w:rPr>
                <w:rStyle w:val="BoldandItalics"/>
              </w:rPr>
              <w:t>regulations and standards</w:t>
            </w:r>
            <w:r w:rsidRPr="00E97762">
              <w:t xml:space="preserve"> </w:t>
            </w:r>
          </w:p>
          <w:p w:rsidR="00000000" w:rsidP="00E97762">
            <w:pPr>
              <w:pStyle w:val="List2"/>
              <w:rPr>
                <w:lang w:val="en-NZ"/>
              </w:rPr>
            </w:pPr>
            <w:r w:rsidRPr="00E97762">
              <w:t>2.3.</w:t>
            </w:r>
            <w:r w:rsidRPr="00E97762">
              <w:tab/>
              <w:t xml:space="preserve">Reallocate work as needed </w:t>
            </w:r>
          </w:p>
        </w:tc>
      </w:tr>
      <w:tr w:rsidTr="0045003E">
        <w:tblPrEx>
          <w:tblW w:w="0" w:type="auto"/>
          <w:tblLayout w:type="fixed"/>
          <w:tblCellMar>
            <w:left w:w="62" w:type="dxa"/>
            <w:right w:w="62" w:type="dxa"/>
          </w:tblCellMar>
          <w:tblLook w:val="0000"/>
        </w:tblPrEx>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762">
            <w:pPr>
              <w:pStyle w:val="List"/>
              <w:rPr>
                <w:lang w:val="en-NZ"/>
              </w:rPr>
            </w:pPr>
            <w:r w:rsidRPr="00E97762">
              <w:t>3.</w:t>
            </w:r>
            <w:r w:rsidRPr="00E97762">
              <w:tab/>
              <w:t>Complete records and obtain sign off</w:t>
            </w:r>
          </w:p>
        </w:tc>
        <w:tc>
          <w:tcPr>
            <w:tcW w:w="5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762" w:rsidP="00E97762">
            <w:pPr>
              <w:pStyle w:val="List2"/>
            </w:pPr>
            <w:r w:rsidRPr="00E97762">
              <w:t>3.1.</w:t>
            </w:r>
            <w:r w:rsidRPr="00E97762">
              <w:tab/>
              <w:t>Complete required records</w:t>
            </w:r>
          </w:p>
          <w:p w:rsidR="00000000" w:rsidRPr="00E97762" w:rsidP="00E97762">
            <w:pPr>
              <w:pStyle w:val="List2"/>
            </w:pPr>
            <w:r w:rsidRPr="00E97762">
              <w:t>3.2.</w:t>
            </w:r>
            <w:r w:rsidRPr="00E97762">
              <w:tab/>
            </w:r>
            <w:r w:rsidRPr="00E97762">
              <w:t xml:space="preserve">Ensure installation waste and debris is removed from worksite and disposed of according to environmental requirements to maintain safe worksite conditions </w:t>
            </w:r>
          </w:p>
          <w:p w:rsidR="00000000" w:rsidRPr="00E97762" w:rsidP="00E97762">
            <w:pPr>
              <w:pStyle w:val="List2"/>
            </w:pPr>
            <w:r w:rsidRPr="00E97762">
              <w:t>3.3.</w:t>
            </w:r>
            <w:r w:rsidRPr="00E97762">
              <w:tab/>
              <w:t>Ensure site is reinstated according to customer and company requirements</w:t>
            </w:r>
          </w:p>
          <w:p w:rsidR="00000000" w:rsidRPr="00E97762" w:rsidP="00E97762">
            <w:pPr>
              <w:pStyle w:val="List2"/>
            </w:pPr>
            <w:r w:rsidRPr="00E97762">
              <w:t>3.4.</w:t>
            </w:r>
            <w:r w:rsidRPr="00E97762">
              <w:tab/>
              <w:t>Notify customer a</w:t>
            </w:r>
            <w:r w:rsidRPr="00E97762">
              <w:t>nd obtain sign off</w:t>
            </w:r>
          </w:p>
        </w:tc>
      </w:tr>
    </w:tbl>
    <w:p w:rsidR="0045003E" w:rsidP="00E97762">
      <w:pPr>
        <w:pStyle w:val="BodyText"/>
      </w:pPr>
    </w:p>
    <w:p w:rsidR="0045003E" w:rsidP="00E97762">
      <w:pPr>
        <w:pStyle w:val="BodyText"/>
      </w:pPr>
    </w:p>
    <w:p w:rsidR="00000000" w:rsidRPr="00E97762" w:rsidP="00E97762">
      <w:pPr>
        <w:pStyle w:val="Heading1"/>
      </w:pPr>
      <w:bookmarkStart w:id="9" w:name="O_260437"/>
      <w:bookmarkEnd w:id="9"/>
      <w:r w:rsidRPr="00E97762">
        <w:t>Required Skills and Knowledge</w:t>
      </w:r>
    </w:p>
    <w:tbl>
      <w:tblPr>
        <w:tblW w:w="0" w:type="auto"/>
        <w:tblLayout w:type="fixed"/>
        <w:tblCellMar>
          <w:left w:w="62" w:type="dxa"/>
          <w:right w:w="62" w:type="dxa"/>
        </w:tblCellMar>
        <w:tblLook w:val="0000"/>
      </w:tblPr>
      <w:tblGrid>
        <w:gridCol w:w="8522"/>
      </w:tblGrid>
      <w:tr w:rsidTr="0045003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97762">
            <w:pPr>
              <w:pStyle w:val="BodyText"/>
              <w:rPr>
                <w:lang w:val="en-NZ"/>
              </w:rPr>
            </w:pPr>
            <w:r w:rsidRPr="00E97762">
              <w:rPr>
                <w:rStyle w:val="SpecialBold"/>
              </w:rPr>
              <w:t>REQUIRED SKILLS AND KNOWLEDGE</w:t>
            </w:r>
          </w:p>
        </w:tc>
      </w:tr>
      <w:tr w:rsidTr="0045003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97762">
            <w:pPr>
              <w:pStyle w:val="BodyText"/>
              <w:rPr>
                <w:lang w:val="en-NZ"/>
              </w:rPr>
            </w:pPr>
            <w:r w:rsidRPr="00E97762">
              <w:t>This section describes the skills and knowledge required for this unit.</w:t>
            </w:r>
          </w:p>
        </w:tc>
      </w:tr>
      <w:tr w:rsidTr="0045003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762">
            <w:pPr>
              <w:pStyle w:val="BodyText"/>
              <w:rPr>
                <w:lang w:val="en-NZ"/>
              </w:rPr>
            </w:pPr>
            <w:r w:rsidRPr="00E97762">
              <w:rPr>
                <w:rStyle w:val="SpecialBold"/>
              </w:rPr>
              <w:t>Required skills</w:t>
            </w:r>
          </w:p>
        </w:tc>
      </w:tr>
      <w:tr w:rsidTr="0045003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762" w:rsidP="00E97762">
            <w:pPr>
              <w:pStyle w:val="ListBullet"/>
            </w:pPr>
            <w:r w:rsidRPr="00E97762">
              <w:t>communication skills to l</w:t>
            </w:r>
            <w:r w:rsidRPr="00E97762">
              <w:t xml:space="preserve">iaise with internal and external personnel on technical and operational matters </w:t>
            </w:r>
          </w:p>
          <w:p w:rsidR="00000000" w:rsidRPr="00E97762" w:rsidP="00E97762">
            <w:pPr>
              <w:pStyle w:val="ListBullet"/>
            </w:pPr>
            <w:r w:rsidRPr="00E97762">
              <w:t>literacy skills to interpret technical documentation, such as:</w:t>
            </w:r>
          </w:p>
          <w:p w:rsidR="00000000" w:rsidRPr="00E97762" w:rsidP="00E97762">
            <w:pPr>
              <w:pStyle w:val="ListBullet2"/>
            </w:pPr>
            <w:r w:rsidRPr="00E97762">
              <w:t>equipment manuals and specifications</w:t>
            </w:r>
          </w:p>
          <w:p w:rsidR="00000000" w:rsidRPr="00E97762" w:rsidP="00E97762">
            <w:pPr>
              <w:pStyle w:val="ListBullet2"/>
            </w:pPr>
            <w:r w:rsidRPr="00E97762">
              <w:t>ACMA Competency Requirements for Telecommunications Cabling Provider Rules</w:t>
            </w:r>
            <w:r w:rsidRPr="00E97762">
              <w:t xml:space="preserve"> 2000</w:t>
            </w:r>
          </w:p>
          <w:p w:rsidR="00000000" w:rsidRPr="00E97762" w:rsidP="00E97762">
            <w:pPr>
              <w:pStyle w:val="ListBullet"/>
            </w:pPr>
            <w:r w:rsidRPr="00E97762">
              <w:t>numeracy skills to take and analyse measurements</w:t>
            </w:r>
          </w:p>
          <w:p w:rsidR="00000000" w:rsidRPr="00E97762" w:rsidP="00E97762">
            <w:pPr>
              <w:pStyle w:val="ListBullet"/>
            </w:pPr>
            <w:r w:rsidRPr="00E97762">
              <w:t>planning and organisational skills to organise and maintain equipment</w:t>
            </w:r>
          </w:p>
          <w:p w:rsidR="00000000" w:rsidRPr="00E97762" w:rsidP="00E97762">
            <w:pPr>
              <w:pStyle w:val="ListBullet"/>
            </w:pPr>
            <w:r w:rsidRPr="00E97762">
              <w:t>problem solving skills to solve equipment and logistics problems</w:t>
            </w:r>
          </w:p>
          <w:p w:rsidR="00000000" w:rsidRPr="00E97762" w:rsidP="00E97762">
            <w:pPr>
              <w:pStyle w:val="ListBullet"/>
            </w:pPr>
            <w:r w:rsidRPr="00E97762">
              <w:t>task management skills to work systematically with required attent</w:t>
            </w:r>
            <w:r w:rsidRPr="00E97762">
              <w:t>ion to detail and adherence to all safety requirements</w:t>
            </w:r>
          </w:p>
          <w:p w:rsidR="00000000" w:rsidRPr="00E97762" w:rsidP="00E97762">
            <w:pPr>
              <w:pStyle w:val="ListBullet"/>
            </w:pPr>
            <w:r w:rsidRPr="00E97762">
              <w:t>technical skills to:</w:t>
            </w:r>
          </w:p>
          <w:p w:rsidR="00000000" w:rsidRPr="00E97762" w:rsidP="00E97762">
            <w:pPr>
              <w:pStyle w:val="ListBullet2"/>
            </w:pPr>
            <w:r w:rsidRPr="00E97762">
              <w:t>perform fault clearance</w:t>
            </w:r>
          </w:p>
          <w:p w:rsidR="00000000" w:rsidRPr="00E97762" w:rsidP="00E97762">
            <w:pPr>
              <w:pStyle w:val="ListBullet2"/>
            </w:pPr>
            <w:r w:rsidRPr="00E97762">
              <w:t xml:space="preserve">use diagnostic equipment </w:t>
            </w:r>
          </w:p>
          <w:p w:rsidR="00000000" w:rsidP="00E97762">
            <w:pPr>
              <w:pStyle w:val="ListBullet2"/>
              <w:rPr>
                <w:lang w:val="en-NZ"/>
              </w:rPr>
            </w:pPr>
            <w:r w:rsidRPr="00E97762">
              <w:t>use hand and power tools</w:t>
            </w:r>
          </w:p>
        </w:tc>
      </w:tr>
      <w:tr w:rsidTr="0045003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762">
            <w:pPr>
              <w:pStyle w:val="BodyText"/>
              <w:rPr>
                <w:lang w:val="en-NZ"/>
              </w:rPr>
            </w:pPr>
            <w:r w:rsidRPr="00E97762">
              <w:rPr>
                <w:rStyle w:val="SpecialBold"/>
              </w:rPr>
              <w:t>Required knowledge</w:t>
            </w:r>
          </w:p>
        </w:tc>
      </w:tr>
      <w:tr w:rsidTr="0045003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762" w:rsidP="00E97762">
            <w:pPr>
              <w:pStyle w:val="ListBullet"/>
            </w:pPr>
            <w:r w:rsidRPr="00E97762">
              <w:t>ACMA Competency Requir</w:t>
            </w:r>
            <w:r w:rsidRPr="00E97762">
              <w:t>ements for Telecommunications Cabling Provider Rules 2000, legislation, codes of practice and other formal agreements that impact on the work activity</w:t>
            </w:r>
          </w:p>
          <w:p w:rsidR="00000000" w:rsidRPr="00E97762" w:rsidP="00E97762">
            <w:pPr>
              <w:pStyle w:val="ListBullet"/>
            </w:pPr>
            <w:r w:rsidRPr="00E97762">
              <w:t xml:space="preserve">basic telephony </w:t>
            </w:r>
          </w:p>
          <w:p w:rsidR="00000000" w:rsidRPr="00E97762" w:rsidP="00E97762">
            <w:pPr>
              <w:pStyle w:val="ListBullet"/>
            </w:pPr>
            <w:r w:rsidRPr="00E97762">
              <w:t>cable installations</w:t>
            </w:r>
          </w:p>
          <w:p w:rsidR="00000000" w:rsidRPr="00E97762" w:rsidP="00E97762">
            <w:pPr>
              <w:pStyle w:val="ListBullet"/>
            </w:pPr>
            <w:r w:rsidRPr="00E97762">
              <w:t>features and operating requirements of test equipment</w:t>
            </w:r>
          </w:p>
          <w:p w:rsidR="00000000" w:rsidRPr="00E97762" w:rsidP="00E97762">
            <w:pPr>
              <w:pStyle w:val="ListBullet"/>
            </w:pPr>
            <w:r w:rsidRPr="00E97762">
              <w:t>information re</w:t>
            </w:r>
            <w:r w:rsidRPr="00E97762">
              <w:t>quired to operate equipment according to a test specification</w:t>
            </w:r>
          </w:p>
          <w:p w:rsidR="00000000" w:rsidRPr="00E97762" w:rsidP="00E97762">
            <w:pPr>
              <w:pStyle w:val="ListBullet"/>
            </w:pPr>
            <w:r w:rsidRPr="00E97762">
              <w:t>manufacturer's requirements for safe operation of equipment</w:t>
            </w:r>
          </w:p>
          <w:p w:rsidR="00000000" w:rsidRPr="00E97762" w:rsidP="00E97762">
            <w:pPr>
              <w:pStyle w:val="ListBullet"/>
            </w:pPr>
            <w:r w:rsidRPr="00E97762">
              <w:t>specific OHS requirements relating to the activity and site conditions</w:t>
            </w:r>
          </w:p>
          <w:p w:rsidR="00000000" w:rsidRPr="00E97762" w:rsidP="00E97762">
            <w:pPr>
              <w:pStyle w:val="ListBullet"/>
            </w:pPr>
            <w:r w:rsidRPr="00E97762">
              <w:t>test methods and performance requirements</w:t>
            </w:r>
          </w:p>
          <w:p w:rsidR="00000000" w:rsidRPr="00E97762" w:rsidP="00E97762">
            <w:pPr>
              <w:pStyle w:val="ListBullet"/>
            </w:pPr>
            <w:r w:rsidRPr="00E97762">
              <w:t>typical issues and ch</w:t>
            </w:r>
            <w:r w:rsidRPr="00E97762">
              <w:t>allenges that occur on site</w:t>
            </w:r>
          </w:p>
        </w:tc>
      </w:tr>
    </w:tbl>
    <w:p w:rsidR="0045003E" w:rsidP="00E97762">
      <w:pPr>
        <w:pStyle w:val="BodyText"/>
      </w:pPr>
    </w:p>
    <w:p w:rsidR="0045003E" w:rsidP="00E97762">
      <w:pPr>
        <w:pStyle w:val="BodyText"/>
      </w:pPr>
    </w:p>
    <w:p w:rsidR="00000000" w:rsidRPr="00E97762" w:rsidP="00E97762">
      <w:pPr>
        <w:pStyle w:val="AllowPageBreak"/>
      </w:pPr>
    </w:p>
    <w:p w:rsidR="00000000" w:rsidRPr="00E97762" w:rsidP="00E97762">
      <w:pPr>
        <w:pStyle w:val="Heading1"/>
      </w:pPr>
      <w:bookmarkStart w:id="10" w:name="O_244471"/>
      <w:bookmarkEnd w:id="10"/>
      <w:r w:rsidRPr="00E97762">
        <w:t>Evidence Guide</w:t>
      </w:r>
    </w:p>
    <w:tbl>
      <w:tblPr>
        <w:tblW w:w="9570" w:type="dxa"/>
        <w:tblLayout w:type="fixed"/>
        <w:tblCellMar>
          <w:left w:w="62" w:type="dxa"/>
          <w:right w:w="62" w:type="dxa"/>
        </w:tblCellMar>
        <w:tblLook w:val="0000"/>
      </w:tblPr>
      <w:tblGrid>
        <w:gridCol w:w="3908"/>
        <w:gridCol w:w="5662"/>
      </w:tblGrid>
      <w:tr w:rsidTr="0045003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762">
            <w:pPr>
              <w:pStyle w:val="BodyText"/>
              <w:rPr>
                <w:lang w:val="en-NZ"/>
              </w:rPr>
            </w:pPr>
            <w:r w:rsidRPr="00E97762">
              <w:rPr>
                <w:rStyle w:val="SpecialBold"/>
              </w:rPr>
              <w:t>EVIDENCE GUIDE</w:t>
            </w:r>
          </w:p>
        </w:tc>
      </w:tr>
      <w:tr w:rsidTr="0045003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762">
            <w:pPr>
              <w:pStyle w:val="BodyText"/>
              <w:rPr>
                <w:lang w:val="en-NZ"/>
              </w:rPr>
            </w:pPr>
            <w:r w:rsidRPr="00E97762">
              <w:t xml:space="preserve">The evidence guide provides advice on assessment and must be read in conjunction with the performance criteria, required skills and knowledge, </w:t>
            </w:r>
            <w:r w:rsidRPr="00E97762">
              <w:t>range statement and the Assessment Guidelines for the Training Package.</w:t>
            </w:r>
          </w:p>
        </w:tc>
      </w:tr>
      <w:tr w:rsidTr="0045003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762">
            <w:pPr>
              <w:pStyle w:val="BodyText"/>
              <w:rPr>
                <w:lang w:val="en-NZ"/>
              </w:rPr>
            </w:pPr>
            <w:r w:rsidRPr="00E9776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762">
            <w:pPr>
              <w:pStyle w:val="BodyText"/>
              <w:rPr>
                <w:lang w:val="en-NZ"/>
              </w:rPr>
            </w:pPr>
          </w:p>
        </w:tc>
      </w:tr>
      <w:tr w:rsidTr="0045003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762">
            <w:pPr>
              <w:pStyle w:val="BodyText"/>
              <w:rPr>
                <w:lang w:val="en-NZ"/>
              </w:rPr>
            </w:pPr>
            <w:r w:rsidRPr="00E9776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762" w:rsidP="00E97762">
            <w:pPr>
              <w:pStyle w:val="BodyText"/>
            </w:pPr>
            <w:r w:rsidRPr="00E97762">
              <w:t>Evidence of the ability to:</w:t>
            </w:r>
          </w:p>
          <w:p w:rsidR="00000000" w:rsidRPr="00E97762" w:rsidP="00E97762">
            <w:pPr>
              <w:pStyle w:val="ListBullet"/>
            </w:pPr>
            <w:r w:rsidRPr="00E97762">
              <w:t>organise, schedule and communicate work</w:t>
            </w:r>
          </w:p>
          <w:p w:rsidR="00000000" w:rsidP="00E97762">
            <w:pPr>
              <w:pStyle w:val="ListBullet"/>
              <w:rPr>
                <w:lang w:val="en-NZ"/>
              </w:rPr>
            </w:pPr>
            <w:r w:rsidRPr="00E97762">
              <w:t>monitor work activity and reallocate as required to meet specifications, OHS and ensure compliance with relevant regulations and standards.</w:t>
            </w:r>
          </w:p>
        </w:tc>
      </w:tr>
      <w:tr w:rsidTr="0045003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762">
            <w:pPr>
              <w:pStyle w:val="BodyText"/>
              <w:rPr>
                <w:lang w:val="en-NZ"/>
              </w:rPr>
            </w:pPr>
            <w:r w:rsidRPr="00E97762">
              <w:rPr>
                <w:rStyle w:val="SpecialBold"/>
              </w:rPr>
              <w:t>Context of</w:t>
            </w:r>
            <w:r w:rsidRPr="00E97762">
              <w:t xml:space="preserve">, </w:t>
            </w:r>
            <w:r w:rsidRPr="00E97762">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762" w:rsidP="00E97762">
            <w:pPr>
              <w:pStyle w:val="BodyText"/>
            </w:pPr>
            <w:r w:rsidRPr="00E97762">
              <w:t>Assessment must ensure:</w:t>
            </w:r>
          </w:p>
          <w:p w:rsidR="00000000" w:rsidRPr="00E97762" w:rsidP="00E97762">
            <w:pPr>
              <w:pStyle w:val="ListBullet"/>
            </w:pPr>
            <w:r w:rsidRPr="00E97762">
              <w:t>s</w:t>
            </w:r>
            <w:r w:rsidRPr="00E97762">
              <w:t>ites where monitoring may be conducted</w:t>
            </w:r>
          </w:p>
          <w:p w:rsidR="00000000" w:rsidRPr="00E97762" w:rsidP="00E97762">
            <w:pPr>
              <w:pStyle w:val="ListBullet"/>
            </w:pPr>
            <w:r w:rsidRPr="00E97762">
              <w:t>use of tools, materials and equipment currently used in industry</w:t>
            </w:r>
          </w:p>
          <w:p w:rsidR="00000000" w:rsidP="00E97762">
            <w:pPr>
              <w:pStyle w:val="ListBullet"/>
              <w:rPr>
                <w:lang w:val="en-NZ"/>
              </w:rPr>
            </w:pPr>
            <w:r w:rsidRPr="00E97762">
              <w:t>relevant regulatory and equipment documentation that impact on work activities.</w:t>
            </w:r>
          </w:p>
        </w:tc>
      </w:tr>
      <w:tr w:rsidTr="0045003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762">
            <w:pPr>
              <w:pStyle w:val="BodyText"/>
              <w:rPr>
                <w:lang w:val="en-NZ"/>
              </w:rPr>
            </w:pPr>
            <w:r w:rsidRPr="00E97762">
              <w:rPr>
                <w:rStyle w:val="SpecialBold"/>
              </w:rPr>
              <w:t>Methods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762" w:rsidP="00E97762">
            <w:pPr>
              <w:pStyle w:val="BodyText"/>
            </w:pPr>
            <w:r w:rsidRPr="00E97762">
              <w:t>A range of assessment methods should be used to assess practical skills and knowledge. The following examples are appropriate for this unit:</w:t>
            </w:r>
          </w:p>
          <w:p w:rsidR="00000000" w:rsidRPr="00E97762" w:rsidP="00E97762">
            <w:pPr>
              <w:pStyle w:val="ListBullet"/>
            </w:pPr>
            <w:r w:rsidRPr="00E97762">
              <w:t xml:space="preserve">review of a project supervised by the candidate </w:t>
            </w:r>
          </w:p>
          <w:p w:rsidR="00000000" w:rsidRPr="00E97762" w:rsidP="00E97762">
            <w:pPr>
              <w:pStyle w:val="ListBullet"/>
            </w:pPr>
            <w:r w:rsidRPr="00E97762">
              <w:t>review of an oral and written report with completed documentation,</w:t>
            </w:r>
            <w:r w:rsidRPr="00E97762">
              <w:t xml:space="preserve"> such as TCA1 form</w:t>
            </w:r>
          </w:p>
          <w:p w:rsidR="00000000" w:rsidP="00E97762">
            <w:pPr>
              <w:pStyle w:val="ListBullet"/>
              <w:rPr>
                <w:lang w:val="en-NZ"/>
              </w:rPr>
            </w:pPr>
            <w:r w:rsidRPr="00E97762">
              <w:t>direct observation of the candidate organising and monitoring a cabling project.</w:t>
            </w:r>
          </w:p>
        </w:tc>
      </w:tr>
      <w:tr w:rsidTr="0045003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762">
            <w:pPr>
              <w:pStyle w:val="BodyText"/>
              <w:rPr>
                <w:lang w:val="en-NZ"/>
              </w:rPr>
            </w:pPr>
            <w:r w:rsidRPr="00E97762">
              <w:rPr>
                <w:rStyle w:val="SpecialBold"/>
              </w:rPr>
              <w:t>Guidance information for assessment</w:t>
            </w:r>
            <w:r w:rsidRPr="00E97762">
              <w:t xml:space="preserve"> </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762" w:rsidP="00E97762">
            <w:pPr>
              <w:pStyle w:val="BodyText"/>
            </w:pPr>
            <w:r w:rsidRPr="00E97762">
              <w:t>Holistic assessment with other units relevant to the industry sector, workplace and job role is recommended, for examp</w:t>
            </w:r>
            <w:r w:rsidRPr="00E97762">
              <w:t>le:</w:t>
            </w:r>
          </w:p>
          <w:p w:rsidR="00000000" w:rsidRPr="00E97762" w:rsidP="00E97762">
            <w:pPr>
              <w:pStyle w:val="ListBullet"/>
            </w:pPr>
            <w:r w:rsidRPr="00E97762">
              <w:t>ICTCBL2005A Install customer cable support systems</w:t>
            </w:r>
          </w:p>
          <w:p w:rsidR="00000000" w:rsidRPr="00E97762" w:rsidP="00E97762">
            <w:pPr>
              <w:pStyle w:val="ListBullet"/>
            </w:pPr>
            <w:r w:rsidRPr="00E97762">
              <w:t>ICTCBL2006A Place and secure customer cable</w:t>
            </w:r>
          </w:p>
          <w:p w:rsidR="00000000" w:rsidRPr="00E97762" w:rsidP="00E97762">
            <w:pPr>
              <w:pStyle w:val="ListBullet"/>
            </w:pPr>
            <w:r w:rsidRPr="00E97762">
              <w:t>ICTCBL2008A Terminate metallic conductor customer cable</w:t>
            </w:r>
          </w:p>
          <w:p w:rsidR="00000000" w:rsidRPr="00E97762" w:rsidP="00E97762">
            <w:pPr>
              <w:pStyle w:val="ListBullet"/>
            </w:pPr>
            <w:r w:rsidRPr="00E97762">
              <w:t>ICTCBL2012A Install functional and protective telecommunications earthing system</w:t>
            </w:r>
          </w:p>
          <w:p w:rsidR="00000000" w:rsidRPr="00E97762" w:rsidP="00E97762">
            <w:pPr>
              <w:pStyle w:val="ListBullet"/>
            </w:pPr>
            <w:r w:rsidRPr="00E97762">
              <w:t>ICTCBL2017A Alter se</w:t>
            </w:r>
            <w:r w:rsidRPr="00E97762">
              <w:t>rvices to existing cable system.</w:t>
            </w:r>
          </w:p>
          <w:p w:rsidR="00000000" w:rsidRPr="00E97762" w:rsidP="00E97762">
            <w:pPr>
              <w:pStyle w:val="BodyText"/>
            </w:pPr>
          </w:p>
          <w:p w:rsidR="00000000" w:rsidRPr="00E97762" w:rsidP="00E97762">
            <w:pPr>
              <w:pStyle w:val="BodyText"/>
            </w:pPr>
            <w:r w:rsidRPr="00E97762">
              <w:t>Aboriginal people and other people from a non-English speaking background may have second language issues.</w:t>
            </w:r>
          </w:p>
          <w:p w:rsidR="00000000" w:rsidRPr="00E97762" w:rsidP="00E97762">
            <w:pPr>
              <w:pStyle w:val="BodyText"/>
            </w:pPr>
          </w:p>
          <w:p w:rsidR="00000000" w:rsidRPr="00E97762" w:rsidP="00E97762">
            <w:pPr>
              <w:pStyle w:val="BodyText"/>
            </w:pPr>
            <w:r w:rsidRPr="00E97762">
              <w:t xml:space="preserve">Access must be provided to appropriate learning and assessment support when required. </w:t>
            </w:r>
          </w:p>
          <w:p w:rsidR="00000000" w:rsidRPr="00E97762" w:rsidP="00E97762">
            <w:pPr>
              <w:pStyle w:val="BodyText"/>
            </w:pPr>
          </w:p>
          <w:p w:rsidR="00000000" w:rsidRPr="00E97762" w:rsidP="00E97762">
            <w:pPr>
              <w:pStyle w:val="BodyText"/>
            </w:pPr>
            <w:r w:rsidRPr="00E97762">
              <w:t>Assessment processes and t</w:t>
            </w:r>
            <w:r w:rsidRPr="00E97762">
              <w:t>echniques must be culturally appropriate, and appropriate to the oral communication skill level, and language and literacy capacity of the candidate and the work being performed.</w:t>
            </w:r>
          </w:p>
          <w:p w:rsidR="00000000" w:rsidRPr="00E97762" w:rsidP="00E97762">
            <w:pPr>
              <w:pStyle w:val="BodyText"/>
            </w:pPr>
          </w:p>
          <w:p w:rsidR="00000000" w:rsidRPr="00E97762" w:rsidP="00E97762">
            <w:pPr>
              <w:pStyle w:val="BodyText"/>
            </w:pPr>
            <w:r w:rsidRPr="00E97762">
              <w:t xml:space="preserve">In all cases where practical assessment is used it will be combined with targeted questioning to assess required knowledge. Questioning techniques should not require language, literacy and numeracy skills beyond those required in this unit of competency. </w:t>
            </w:r>
          </w:p>
          <w:p w:rsidR="00000000" w:rsidRPr="00E97762" w:rsidP="00E97762">
            <w:pPr>
              <w:pStyle w:val="BodyText"/>
            </w:pPr>
          </w:p>
          <w:p w:rsidR="00000000" w:rsidRPr="00E97762" w:rsidP="00E97762">
            <w:pPr>
              <w:pStyle w:val="BodyText"/>
            </w:pPr>
            <w:r w:rsidRPr="00E97762">
              <w:t>Where applicable, physical resources should include equipment modified for people with special needs.</w:t>
            </w:r>
          </w:p>
        </w:tc>
      </w:tr>
    </w:tbl>
    <w:p w:rsidR="0045003E" w:rsidP="00E97762">
      <w:pPr>
        <w:pStyle w:val="BodyText"/>
      </w:pPr>
    </w:p>
    <w:p w:rsidR="0045003E" w:rsidP="00E97762">
      <w:pPr>
        <w:pStyle w:val="BodyText"/>
      </w:pPr>
    </w:p>
    <w:p w:rsidR="00000000" w:rsidRPr="00E97762" w:rsidP="00E97762">
      <w:pPr>
        <w:pStyle w:val="Heading1"/>
      </w:pPr>
      <w:bookmarkStart w:id="11" w:name="O_252454"/>
      <w:bookmarkEnd w:id="11"/>
      <w:r w:rsidRPr="00E97762">
        <w:t>Range Statement</w:t>
      </w:r>
    </w:p>
    <w:tbl>
      <w:tblPr>
        <w:tblW w:w="0" w:type="auto"/>
        <w:tblLayout w:type="fixed"/>
        <w:tblCellMar>
          <w:left w:w="62" w:type="dxa"/>
          <w:right w:w="62" w:type="dxa"/>
        </w:tblCellMar>
        <w:tblLook w:val="0000"/>
      </w:tblPr>
      <w:tblGrid>
        <w:gridCol w:w="3463"/>
        <w:gridCol w:w="5059"/>
      </w:tblGrid>
      <w:tr w:rsidTr="0045003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762">
            <w:pPr>
              <w:pStyle w:val="BodyText"/>
              <w:rPr>
                <w:lang w:val="en-NZ"/>
              </w:rPr>
            </w:pPr>
            <w:r w:rsidRPr="00E97762">
              <w:rPr>
                <w:rStyle w:val="SpecialBold"/>
              </w:rPr>
              <w:t>RANGE STATEMENT</w:t>
            </w:r>
          </w:p>
        </w:tc>
      </w:tr>
      <w:tr w:rsidTr="0045003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762">
            <w:pPr>
              <w:pStyle w:val="BodyText"/>
              <w:rPr>
                <w:lang w:val="en-NZ"/>
              </w:rPr>
            </w:pPr>
            <w:r w:rsidRPr="00E97762">
              <w:t>The range statement relates to the unit of competency as a whole. It allows for different work en</w:t>
            </w:r>
            <w:r w:rsidRPr="00E97762">
              <w:t xml:space="preserve">vironments and situations that may affect performance. Bold italicised wording, if used in the performance criteria, is detailed below. Essential operating conditions that may be present with training and assessment (depending on the work situation, needs </w:t>
            </w:r>
            <w:r w:rsidRPr="00E97762">
              <w:t>of the candidate, accessibility of the item, and local industry and regional contexts) may also be included.</w:t>
            </w:r>
          </w:p>
        </w:tc>
      </w:tr>
      <w:tr w:rsidTr="0045003E">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762">
            <w:pPr>
              <w:pStyle w:val="BodyText"/>
              <w:rPr>
                <w:lang w:val="en-NZ"/>
              </w:rPr>
            </w:pPr>
            <w:r w:rsidRPr="00E97762">
              <w:rPr>
                <w:rStyle w:val="BoldandItalics"/>
              </w:rPr>
              <w:t>Hazards</w:t>
            </w:r>
            <w:r w:rsidRPr="00E97762">
              <w:t xml:space="preserve"> may include:</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762" w:rsidP="00E97762">
            <w:pPr>
              <w:pStyle w:val="ListBullet"/>
            </w:pPr>
            <w:r w:rsidRPr="00E97762">
              <w:t>building debris</w:t>
            </w:r>
          </w:p>
          <w:p w:rsidR="00000000" w:rsidRPr="00E97762" w:rsidP="00E97762">
            <w:pPr>
              <w:pStyle w:val="ListBullet"/>
            </w:pPr>
            <w:r w:rsidRPr="00E97762">
              <w:t>earth potential rise (EPR):</w:t>
            </w:r>
          </w:p>
          <w:p w:rsidR="00000000" w:rsidRPr="00E97762" w:rsidP="00E97762">
            <w:pPr>
              <w:pStyle w:val="ListBullet2"/>
            </w:pPr>
            <w:r w:rsidRPr="00E97762">
              <w:t>event at a site, such as an electrical distribution substation, may expose telecommunications personnel, users or plant to hazardous voltages</w:t>
            </w:r>
          </w:p>
          <w:p w:rsidR="00000000" w:rsidRPr="00E97762" w:rsidP="00E97762">
            <w:pPr>
              <w:pStyle w:val="ListBullet"/>
            </w:pPr>
            <w:r w:rsidRPr="00E97762">
              <w:t>glass fibre</w:t>
            </w:r>
          </w:p>
          <w:p w:rsidR="00000000" w:rsidRPr="00E97762" w:rsidP="00E97762">
            <w:pPr>
              <w:pStyle w:val="ListBullet"/>
            </w:pPr>
            <w:r w:rsidRPr="00E97762">
              <w:t>live power lines</w:t>
            </w:r>
          </w:p>
          <w:p w:rsidR="00000000" w:rsidRPr="00E97762" w:rsidP="00E97762">
            <w:pPr>
              <w:pStyle w:val="ListBullet"/>
            </w:pPr>
            <w:r w:rsidRPr="00E97762">
              <w:t>manual handling</w:t>
            </w:r>
          </w:p>
          <w:p w:rsidR="00000000" w:rsidRPr="00E97762" w:rsidP="00E97762">
            <w:pPr>
              <w:pStyle w:val="ListBullet"/>
            </w:pPr>
            <w:r w:rsidRPr="00E97762">
              <w:t>mud and water</w:t>
            </w:r>
          </w:p>
          <w:p w:rsidR="00000000" w:rsidRPr="00E97762" w:rsidP="00E97762">
            <w:pPr>
              <w:pStyle w:val="ListBullet"/>
            </w:pPr>
            <w:r w:rsidRPr="00E97762">
              <w:t>natural gas and other gas build up</w:t>
            </w:r>
          </w:p>
          <w:p w:rsidR="00000000" w:rsidRPr="00E97762" w:rsidP="00E97762">
            <w:pPr>
              <w:pStyle w:val="ListBullet"/>
            </w:pPr>
            <w:r w:rsidRPr="00E97762">
              <w:t>needle stick injury</w:t>
            </w:r>
          </w:p>
          <w:p w:rsidR="00000000" w:rsidRPr="00E97762" w:rsidP="00E97762">
            <w:pPr>
              <w:pStyle w:val="ListBullet"/>
            </w:pPr>
            <w:r w:rsidRPr="00E97762">
              <w:t>optical fibre cable may contain hazardous light</w:t>
            </w:r>
          </w:p>
          <w:p w:rsidR="00000000" w:rsidRPr="00E97762" w:rsidP="00E97762">
            <w:pPr>
              <w:pStyle w:val="ListBullet"/>
            </w:pPr>
            <w:r w:rsidRPr="00E97762">
              <w:t>radio frequency (RF) equipment emitting radiation</w:t>
            </w:r>
          </w:p>
          <w:p w:rsidR="00000000" w:rsidRPr="00E97762" w:rsidP="00E97762">
            <w:pPr>
              <w:pStyle w:val="ListBullet"/>
            </w:pPr>
            <w:r w:rsidRPr="00E97762">
              <w:t>remote power feeding services which operate at above telecommunications network voltage (TNV)</w:t>
            </w:r>
          </w:p>
          <w:p w:rsidR="00000000" w:rsidP="00E97762">
            <w:pPr>
              <w:pStyle w:val="ListBullet"/>
              <w:rPr>
                <w:lang w:val="en-NZ"/>
              </w:rPr>
            </w:pPr>
            <w:r w:rsidRPr="00E97762">
              <w:t>vermin.</w:t>
            </w:r>
          </w:p>
        </w:tc>
      </w:tr>
      <w:tr w:rsidTr="0045003E">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762">
            <w:pPr>
              <w:pStyle w:val="BodyText"/>
              <w:rPr>
                <w:lang w:val="en-NZ"/>
              </w:rPr>
            </w:pPr>
            <w:r w:rsidRPr="00E97762">
              <w:rPr>
                <w:rStyle w:val="BoldandItalics"/>
              </w:rPr>
              <w:t>Site plans and documentation</w:t>
            </w:r>
            <w:r w:rsidRPr="00E97762">
              <w:t xml:space="preserve"> may include:</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762" w:rsidP="00E97762">
            <w:pPr>
              <w:pStyle w:val="ListBullet"/>
            </w:pPr>
            <w:r w:rsidRPr="00E97762">
              <w:t>information o</w:t>
            </w:r>
            <w:r w:rsidRPr="00E97762">
              <w:t>n:</w:t>
            </w:r>
          </w:p>
          <w:p w:rsidR="00000000" w:rsidRPr="00E97762" w:rsidP="00E97762">
            <w:pPr>
              <w:pStyle w:val="ListBullet2"/>
            </w:pPr>
            <w:r w:rsidRPr="00E97762">
              <w:t xml:space="preserve">access location </w:t>
            </w:r>
          </w:p>
          <w:p w:rsidR="00000000" w:rsidRPr="00E97762" w:rsidP="00E97762">
            <w:pPr>
              <w:pStyle w:val="ListBullet2"/>
            </w:pPr>
            <w:r w:rsidRPr="00E97762">
              <w:t>cable coding system and identifiers</w:t>
            </w:r>
          </w:p>
          <w:p w:rsidR="00000000" w:rsidP="00E97762">
            <w:pPr>
              <w:pStyle w:val="ListBullet2"/>
              <w:rPr>
                <w:lang w:val="en-NZ"/>
              </w:rPr>
            </w:pPr>
            <w:r w:rsidRPr="00E97762">
              <w:t>cable plan.</w:t>
            </w:r>
          </w:p>
        </w:tc>
      </w:tr>
      <w:tr w:rsidTr="0045003E">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762">
            <w:pPr>
              <w:pStyle w:val="BodyText"/>
              <w:rPr>
                <w:lang w:val="en-NZ"/>
              </w:rPr>
            </w:pPr>
            <w:r w:rsidRPr="00E97762">
              <w:rPr>
                <w:rStyle w:val="BoldandItalics"/>
              </w:rPr>
              <w:t>Cable</w:t>
            </w:r>
            <w:r w:rsidRPr="00E97762">
              <w:t xml:space="preserve"> may include:</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762" w:rsidP="00E97762">
            <w:pPr>
              <w:pStyle w:val="ListBullet"/>
            </w:pPr>
            <w:r w:rsidRPr="00E97762">
              <w:t>aerial</w:t>
            </w:r>
          </w:p>
          <w:p w:rsidR="00000000" w:rsidRPr="00E97762" w:rsidP="00E97762">
            <w:pPr>
              <w:pStyle w:val="ListBullet"/>
            </w:pPr>
            <w:r w:rsidRPr="00E97762">
              <w:t>Category 5, 6, 6A, 7, or 7A</w:t>
            </w:r>
          </w:p>
          <w:p w:rsidR="00000000" w:rsidRPr="00E97762" w:rsidP="00E97762">
            <w:pPr>
              <w:pStyle w:val="ListBullet"/>
            </w:pPr>
            <w:r w:rsidRPr="00E97762">
              <w:t>copper twisted pair including:</w:t>
            </w:r>
          </w:p>
          <w:p w:rsidR="00000000" w:rsidRPr="00E97762" w:rsidP="00E97762">
            <w:pPr>
              <w:pStyle w:val="ListBullet2"/>
            </w:pPr>
            <w:r w:rsidRPr="00E97762">
              <w:t xml:space="preserve">aerial </w:t>
            </w:r>
          </w:p>
          <w:p w:rsidR="00000000" w:rsidRPr="00E97762" w:rsidP="00E97762">
            <w:pPr>
              <w:pStyle w:val="ListBullet2"/>
            </w:pPr>
            <w:r w:rsidRPr="00E97762">
              <w:t>external</w:t>
            </w:r>
          </w:p>
          <w:p w:rsidR="00000000" w:rsidRPr="00E97762" w:rsidP="00E97762">
            <w:pPr>
              <w:pStyle w:val="ListBullet2"/>
            </w:pPr>
            <w:r w:rsidRPr="00E97762">
              <w:t>indoor</w:t>
            </w:r>
          </w:p>
          <w:p w:rsidR="00000000" w:rsidRPr="00E97762" w:rsidP="00E97762">
            <w:pPr>
              <w:pStyle w:val="ListBullet2"/>
            </w:pPr>
            <w:r w:rsidRPr="00E97762">
              <w:t>underground cabling</w:t>
            </w:r>
          </w:p>
          <w:p w:rsidR="00000000" w:rsidRPr="00E97762" w:rsidP="00E97762">
            <w:pPr>
              <w:pStyle w:val="ListBullet"/>
            </w:pPr>
            <w:r w:rsidRPr="00E97762">
              <w:t xml:space="preserve">underground </w:t>
            </w:r>
          </w:p>
          <w:p w:rsidR="00000000" w:rsidP="00E97762">
            <w:pPr>
              <w:pStyle w:val="ListBullet"/>
              <w:rPr>
                <w:lang w:val="en-NZ"/>
              </w:rPr>
            </w:pPr>
            <w:r w:rsidRPr="00E97762">
              <w:t>unshielded twisted pairs (UTP).</w:t>
            </w:r>
          </w:p>
        </w:tc>
      </w:tr>
      <w:tr w:rsidTr="0045003E">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762">
            <w:pPr>
              <w:pStyle w:val="BodyText"/>
              <w:rPr>
                <w:lang w:val="en-NZ"/>
              </w:rPr>
            </w:pPr>
            <w:r w:rsidRPr="00E97762">
              <w:rPr>
                <w:rStyle w:val="BoldandItalics"/>
              </w:rPr>
              <w:t>Schedule and allocate work</w:t>
            </w:r>
            <w:r w:rsidRPr="00E97762">
              <w:t xml:space="preserve"> may refer to:</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762" w:rsidP="00E97762">
            <w:pPr>
              <w:pStyle w:val="ListBullet"/>
            </w:pPr>
            <w:r w:rsidRPr="00E97762">
              <w:t>competency and capacity to complete work determined from:</w:t>
            </w:r>
          </w:p>
          <w:p w:rsidR="00000000" w:rsidRPr="00E97762" w:rsidP="00E97762">
            <w:pPr>
              <w:pStyle w:val="ListBullet2"/>
            </w:pPr>
            <w:r w:rsidRPr="00E97762">
              <w:t>observations</w:t>
            </w:r>
          </w:p>
          <w:p w:rsidR="00000000" w:rsidRPr="00E97762" w:rsidP="00E97762">
            <w:pPr>
              <w:pStyle w:val="ListBullet2"/>
            </w:pPr>
            <w:r w:rsidRPr="00E97762">
              <w:t>discussion</w:t>
            </w:r>
          </w:p>
          <w:p w:rsidR="00000000" w:rsidRPr="00E97762" w:rsidP="00E97762">
            <w:pPr>
              <w:pStyle w:val="ListBullet2"/>
            </w:pPr>
            <w:r w:rsidRPr="00E97762">
              <w:t xml:space="preserve">training records </w:t>
            </w:r>
          </w:p>
          <w:p w:rsidR="00000000" w:rsidRPr="00E97762" w:rsidP="00E97762">
            <w:pPr>
              <w:pStyle w:val="ListBullet2"/>
            </w:pPr>
            <w:r w:rsidRPr="00E97762">
              <w:t>demonstrations</w:t>
            </w:r>
          </w:p>
          <w:p w:rsidR="00000000" w:rsidRPr="00E97762" w:rsidP="00E97762">
            <w:pPr>
              <w:pStyle w:val="ListBullet"/>
            </w:pPr>
            <w:r w:rsidRPr="00E97762">
              <w:t>estimates for time duration of work based on:</w:t>
            </w:r>
          </w:p>
          <w:p w:rsidR="00000000" w:rsidRPr="00E97762" w:rsidP="00E97762">
            <w:pPr>
              <w:pStyle w:val="ListBullet2"/>
            </w:pPr>
            <w:r w:rsidRPr="00E97762">
              <w:t xml:space="preserve">an assessment of condition </w:t>
            </w:r>
          </w:p>
          <w:p w:rsidR="00000000" w:rsidP="00E97762">
            <w:pPr>
              <w:pStyle w:val="ListBullet2"/>
              <w:rPr>
                <w:lang w:val="en-NZ"/>
              </w:rPr>
            </w:pPr>
            <w:r w:rsidRPr="00E97762">
              <w:t>past experience with sim</w:t>
            </w:r>
            <w:r w:rsidRPr="00E97762">
              <w:t>ilar methods and sites.</w:t>
            </w:r>
          </w:p>
        </w:tc>
      </w:tr>
      <w:tr w:rsidTr="0045003E">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762">
            <w:pPr>
              <w:pStyle w:val="BodyText"/>
              <w:rPr>
                <w:lang w:val="en-NZ"/>
              </w:rPr>
            </w:pPr>
            <w:r w:rsidRPr="00E97762">
              <w:rPr>
                <w:rStyle w:val="BoldandItalics"/>
              </w:rPr>
              <w:t>Manage Remote Power Feed</w:t>
            </w:r>
            <w:r w:rsidRPr="00E97762">
              <w:t xml:space="preserve"> may relate to:</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762" w:rsidP="00E97762">
            <w:pPr>
              <w:pStyle w:val="ListBullet"/>
            </w:pPr>
            <w:r w:rsidRPr="00E97762">
              <w:t xml:space="preserve">telecommunications services which operate at above TNV </w:t>
            </w:r>
          </w:p>
          <w:p w:rsidR="00000000" w:rsidRPr="00E97762" w:rsidP="00E97762">
            <w:pPr>
              <w:pStyle w:val="ListBullet"/>
            </w:pPr>
            <w:r w:rsidRPr="00E97762">
              <w:t>need for identifying:</w:t>
            </w:r>
          </w:p>
          <w:p w:rsidR="00000000" w:rsidRPr="00E97762" w:rsidP="00E97762">
            <w:pPr>
              <w:pStyle w:val="ListBullet2"/>
            </w:pPr>
            <w:r w:rsidRPr="00E97762">
              <w:t>risks posed by contact with remote power feeding services</w:t>
            </w:r>
          </w:p>
          <w:p w:rsidR="00000000" w:rsidP="00E97762">
            <w:pPr>
              <w:pStyle w:val="ListBullet2"/>
              <w:rPr>
                <w:lang w:val="en-NZ"/>
              </w:rPr>
            </w:pPr>
            <w:r w:rsidRPr="00E97762">
              <w:t>remote power feeding services in a range o</w:t>
            </w:r>
            <w:r w:rsidRPr="00E97762">
              <w:t>f commonly encountered circumstances inside customer premises.</w:t>
            </w:r>
          </w:p>
        </w:tc>
      </w:tr>
      <w:tr w:rsidTr="0045003E">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762">
            <w:pPr>
              <w:pStyle w:val="BodyText"/>
              <w:rPr>
                <w:lang w:val="en-NZ"/>
              </w:rPr>
            </w:pPr>
            <w:r w:rsidRPr="00E97762">
              <w:rPr>
                <w:rStyle w:val="BoldandItalics"/>
              </w:rPr>
              <w:t>OHS and environmental requirements</w:t>
            </w:r>
            <w:r w:rsidRPr="00E97762">
              <w:t xml:space="preserve"> may relate to:</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762" w:rsidP="00E97762">
            <w:pPr>
              <w:pStyle w:val="ListBullet"/>
            </w:pPr>
            <w:r w:rsidRPr="00E97762">
              <w:t>identifying other services, including power and gas</w:t>
            </w:r>
          </w:p>
          <w:p w:rsidR="00000000" w:rsidRPr="00E97762" w:rsidP="00E97762">
            <w:pPr>
              <w:pStyle w:val="ListBullet"/>
            </w:pPr>
            <w:r w:rsidRPr="00E97762">
              <w:t>need for decommissioning and isolating worksite and lines prior to commencement</w:t>
            </w:r>
          </w:p>
          <w:p w:rsidR="00000000" w:rsidRPr="00E97762" w:rsidP="00E97762">
            <w:pPr>
              <w:pStyle w:val="ListBullet"/>
            </w:pPr>
            <w:r w:rsidRPr="00E97762">
              <w:t>personal p</w:t>
            </w:r>
            <w:r w:rsidRPr="00E97762">
              <w:t>rotective clothing:</w:t>
            </w:r>
          </w:p>
          <w:p w:rsidR="00000000" w:rsidRPr="00E97762" w:rsidP="00E97762">
            <w:pPr>
              <w:pStyle w:val="ListBullet2"/>
            </w:pPr>
            <w:r w:rsidRPr="00E97762">
              <w:t>earmuffs</w:t>
            </w:r>
          </w:p>
          <w:p w:rsidR="00000000" w:rsidRPr="00E97762" w:rsidP="00E97762">
            <w:pPr>
              <w:pStyle w:val="ListBullet2"/>
            </w:pPr>
            <w:r w:rsidRPr="00E97762">
              <w:t xml:space="preserve">gloves: </w:t>
            </w:r>
          </w:p>
          <w:p w:rsidR="00000000" w:rsidRPr="00E97762" w:rsidP="00E97762">
            <w:pPr>
              <w:pStyle w:val="ListBullet3"/>
            </w:pPr>
            <w:r w:rsidRPr="00E97762">
              <w:t>plastic</w:t>
            </w:r>
          </w:p>
          <w:p w:rsidR="00000000" w:rsidRPr="00E97762" w:rsidP="00E97762">
            <w:pPr>
              <w:pStyle w:val="ListBullet3"/>
            </w:pPr>
            <w:r w:rsidRPr="00E97762">
              <w:t>rubber</w:t>
            </w:r>
          </w:p>
          <w:p w:rsidR="00000000" w:rsidRPr="00E97762" w:rsidP="00E97762">
            <w:pPr>
              <w:pStyle w:val="ListBullet3"/>
            </w:pPr>
            <w:r w:rsidRPr="00E97762">
              <w:t>leather</w:t>
            </w:r>
          </w:p>
          <w:p w:rsidR="00000000" w:rsidRPr="00E97762" w:rsidP="00E97762">
            <w:pPr>
              <w:pStyle w:val="ListBullet2"/>
            </w:pPr>
            <w:r w:rsidRPr="00E97762">
              <w:t>head protection</w:t>
            </w:r>
          </w:p>
          <w:p w:rsidR="00000000" w:rsidRPr="00E97762" w:rsidP="00E97762">
            <w:pPr>
              <w:pStyle w:val="ListBullet2"/>
            </w:pPr>
            <w:r w:rsidRPr="00E97762">
              <w:t>kneepads</w:t>
            </w:r>
          </w:p>
          <w:p w:rsidR="00000000" w:rsidRPr="00E97762" w:rsidP="00E97762">
            <w:pPr>
              <w:pStyle w:val="ListBullet2"/>
            </w:pPr>
            <w:r w:rsidRPr="00E97762">
              <w:t xml:space="preserve">masks </w:t>
            </w:r>
          </w:p>
          <w:p w:rsidR="00000000" w:rsidRPr="00E97762" w:rsidP="00E97762">
            <w:pPr>
              <w:pStyle w:val="ListBullet2"/>
            </w:pPr>
            <w:r w:rsidRPr="00E97762">
              <w:t>protective suits</w:t>
            </w:r>
          </w:p>
          <w:p w:rsidR="00000000" w:rsidRPr="00E97762" w:rsidP="00E97762">
            <w:pPr>
              <w:pStyle w:val="ListBullet2"/>
            </w:pPr>
            <w:r w:rsidRPr="00E97762">
              <w:t>safety boots</w:t>
            </w:r>
          </w:p>
          <w:p w:rsidR="00000000" w:rsidRPr="00E97762" w:rsidP="00E97762">
            <w:pPr>
              <w:pStyle w:val="ListBullet2"/>
            </w:pPr>
            <w:r w:rsidRPr="00E97762">
              <w:t>safety glasses</w:t>
            </w:r>
          </w:p>
          <w:p w:rsidR="00000000" w:rsidRPr="00E97762" w:rsidP="00E97762">
            <w:pPr>
              <w:pStyle w:val="ListBullet2"/>
            </w:pPr>
            <w:r w:rsidRPr="00E97762">
              <w:t>safety harness</w:t>
            </w:r>
          </w:p>
          <w:p w:rsidR="00000000" w:rsidRPr="00E97762" w:rsidP="00E97762">
            <w:pPr>
              <w:pStyle w:val="ListBullet2"/>
            </w:pPr>
            <w:r w:rsidRPr="00E97762">
              <w:t>safety line</w:t>
            </w:r>
          </w:p>
          <w:p w:rsidR="00000000" w:rsidRPr="00E97762" w:rsidP="00E97762">
            <w:pPr>
              <w:pStyle w:val="ListBullet"/>
            </w:pPr>
            <w:r w:rsidRPr="00E97762">
              <w:t>safe working practices, such as the safe use and handling of:</w:t>
            </w:r>
          </w:p>
          <w:p w:rsidR="00000000" w:rsidRPr="00E97762" w:rsidP="00E97762">
            <w:pPr>
              <w:pStyle w:val="ListBullet2"/>
            </w:pPr>
            <w:r w:rsidRPr="00E97762">
              <w:t>asbestos</w:t>
            </w:r>
          </w:p>
          <w:p w:rsidR="00000000" w:rsidRPr="00E97762" w:rsidP="00E97762">
            <w:pPr>
              <w:pStyle w:val="ListBullet2"/>
            </w:pPr>
            <w:r w:rsidRPr="00E97762">
              <w:t>chemicals</w:t>
            </w:r>
          </w:p>
          <w:p w:rsidR="00000000" w:rsidRPr="00E97762" w:rsidP="00E97762">
            <w:pPr>
              <w:pStyle w:val="ListBullet2"/>
            </w:pPr>
            <w:r w:rsidRPr="00E97762">
              <w:t>materials</w:t>
            </w:r>
          </w:p>
          <w:p w:rsidR="00000000" w:rsidRPr="00E97762" w:rsidP="00E97762">
            <w:pPr>
              <w:pStyle w:val="ListBullet2"/>
            </w:pPr>
            <w:r w:rsidRPr="00E97762">
              <w:t>tools and equipment</w:t>
            </w:r>
          </w:p>
          <w:p w:rsidR="00000000" w:rsidRPr="00E97762" w:rsidP="00E97762">
            <w:pPr>
              <w:pStyle w:val="ListBullet2"/>
            </w:pPr>
            <w:r w:rsidRPr="00E97762">
              <w:t>work platforms</w:t>
            </w:r>
          </w:p>
          <w:p w:rsidR="00000000" w:rsidRPr="00E97762" w:rsidP="00E97762">
            <w:pPr>
              <w:pStyle w:val="ListBullet"/>
            </w:pPr>
            <w:r w:rsidRPr="00E97762">
              <w:t>safety equipment:</w:t>
            </w:r>
          </w:p>
          <w:p w:rsidR="00000000" w:rsidRPr="00E97762" w:rsidP="00E97762">
            <w:pPr>
              <w:pStyle w:val="ListBullet2"/>
            </w:pPr>
            <w:r w:rsidRPr="00E97762">
              <w:t>flashing lights</w:t>
            </w:r>
          </w:p>
          <w:p w:rsidR="00000000" w:rsidRPr="00E97762" w:rsidP="00E97762">
            <w:pPr>
              <w:pStyle w:val="ListBullet2"/>
            </w:pPr>
            <w:r w:rsidRPr="00E97762">
              <w:t>gas and other hazard detection equipment</w:t>
            </w:r>
          </w:p>
          <w:p w:rsidR="00000000" w:rsidRPr="00E97762" w:rsidP="00E97762">
            <w:pPr>
              <w:pStyle w:val="ListBullet2"/>
            </w:pPr>
            <w:r w:rsidRPr="00E97762">
              <w:t>safety barriers</w:t>
            </w:r>
          </w:p>
          <w:p w:rsidR="00000000" w:rsidRPr="00E97762" w:rsidP="00E97762">
            <w:pPr>
              <w:pStyle w:val="ListBullet2"/>
            </w:pPr>
            <w:r w:rsidRPr="00E97762">
              <w:t>trench guards</w:t>
            </w:r>
          </w:p>
          <w:p w:rsidR="00000000" w:rsidRPr="00E97762" w:rsidP="00E97762">
            <w:pPr>
              <w:pStyle w:val="ListBullet2"/>
            </w:pPr>
            <w:r w:rsidRPr="00E97762">
              <w:t>warning signs and tapes</w:t>
            </w:r>
          </w:p>
          <w:p w:rsidR="00000000" w:rsidRPr="00E97762" w:rsidP="00E97762">
            <w:pPr>
              <w:pStyle w:val="ListBullet2"/>
            </w:pPr>
            <w:r w:rsidRPr="00E97762">
              <w:t>witches hats</w:t>
            </w:r>
          </w:p>
          <w:p w:rsidR="00000000" w:rsidRPr="00E97762" w:rsidP="00E97762">
            <w:pPr>
              <w:pStyle w:val="ListBullet"/>
            </w:pPr>
            <w:r w:rsidRPr="00E97762">
              <w:t>special access requirements</w:t>
            </w:r>
          </w:p>
          <w:p w:rsidR="00000000" w:rsidRPr="00E97762" w:rsidP="00E97762">
            <w:pPr>
              <w:pStyle w:val="ListBullet"/>
            </w:pPr>
            <w:r w:rsidRPr="00E97762">
              <w:t>suitable light and ventilation</w:t>
            </w:r>
          </w:p>
          <w:p w:rsidR="00000000" w:rsidRPr="00E97762" w:rsidP="00E97762">
            <w:pPr>
              <w:pStyle w:val="ListBullet"/>
            </w:pPr>
            <w:r w:rsidRPr="00E97762">
              <w:t>environme</w:t>
            </w:r>
            <w:r w:rsidRPr="00E97762">
              <w:t>ntal considerations:</w:t>
            </w:r>
          </w:p>
          <w:p w:rsidR="00000000" w:rsidRPr="00E97762" w:rsidP="00E97762">
            <w:pPr>
              <w:pStyle w:val="ListBullet2"/>
            </w:pPr>
            <w:r w:rsidRPr="00E97762">
              <w:t>clean-up protection</w:t>
            </w:r>
          </w:p>
          <w:p w:rsidR="00000000" w:rsidRPr="00E97762" w:rsidP="00E97762">
            <w:pPr>
              <w:pStyle w:val="ListBullet2"/>
            </w:pPr>
            <w:r w:rsidRPr="00E97762">
              <w:t>stormwater protection</w:t>
            </w:r>
          </w:p>
          <w:p w:rsidR="00000000" w:rsidP="00E97762">
            <w:pPr>
              <w:pStyle w:val="ListBullet2"/>
              <w:rPr>
                <w:lang w:val="en-NZ"/>
              </w:rPr>
            </w:pPr>
            <w:r w:rsidRPr="00E97762">
              <w:t>waste management.</w:t>
            </w:r>
          </w:p>
        </w:tc>
      </w:tr>
      <w:tr w:rsidTr="0045003E">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762">
            <w:pPr>
              <w:pStyle w:val="BodyText"/>
              <w:rPr>
                <w:lang w:val="en-NZ"/>
              </w:rPr>
            </w:pPr>
            <w:r w:rsidRPr="00E97762">
              <w:rPr>
                <w:rStyle w:val="BoldandItalics"/>
              </w:rPr>
              <w:t>Enterprise requirements</w:t>
            </w:r>
            <w:r w:rsidRPr="00E97762">
              <w:t xml:space="preserve"> may refer to:</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762" w:rsidP="00E97762">
            <w:pPr>
              <w:pStyle w:val="ListBullet"/>
            </w:pPr>
            <w:r w:rsidRPr="00E97762">
              <w:t>budgets defining discretionary levels in relation to expenditure areas</w:t>
            </w:r>
          </w:p>
          <w:p w:rsidR="00000000" w:rsidRPr="00E97762" w:rsidP="00E97762">
            <w:pPr>
              <w:pStyle w:val="ListBullet"/>
            </w:pPr>
            <w:r w:rsidRPr="00E97762">
              <w:t>specifications and other project documentation including:</w:t>
            </w:r>
          </w:p>
          <w:p w:rsidR="00000000" w:rsidRPr="00E97762" w:rsidP="00E97762">
            <w:pPr>
              <w:pStyle w:val="ListBullet2"/>
            </w:pPr>
            <w:r w:rsidRPr="00E97762">
              <w:t>building plans and area charts</w:t>
            </w:r>
          </w:p>
          <w:p w:rsidR="00000000" w:rsidRPr="00E97762" w:rsidP="00E97762">
            <w:pPr>
              <w:pStyle w:val="ListBullet2"/>
            </w:pPr>
            <w:r w:rsidRPr="00E97762">
              <w:t>client correspondence</w:t>
            </w:r>
          </w:p>
          <w:p w:rsidR="00000000" w:rsidRPr="00E97762" w:rsidP="00E97762">
            <w:pPr>
              <w:pStyle w:val="ListBullet2"/>
            </w:pPr>
            <w:r w:rsidRPr="00E97762">
              <w:t>copy of contract documentation</w:t>
            </w:r>
          </w:p>
          <w:p w:rsidR="00000000" w:rsidP="00E97762">
            <w:pPr>
              <w:pStyle w:val="ListBullet2"/>
              <w:rPr>
                <w:lang w:val="en-NZ"/>
              </w:rPr>
            </w:pPr>
            <w:r w:rsidRPr="00E97762">
              <w:t>derived schedules or checklists.</w:t>
            </w:r>
          </w:p>
        </w:tc>
      </w:tr>
      <w:tr w:rsidTr="0045003E">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762">
            <w:pPr>
              <w:pStyle w:val="BodyText"/>
              <w:rPr>
                <w:lang w:val="en-NZ"/>
              </w:rPr>
            </w:pPr>
            <w:r w:rsidRPr="00E97762">
              <w:rPr>
                <w:rStyle w:val="BoldandItalics"/>
              </w:rPr>
              <w:t>Relevant legislation</w:t>
            </w:r>
            <w:r w:rsidRPr="00E97762">
              <w:t xml:space="preserve">, </w:t>
            </w:r>
            <w:r w:rsidRPr="00E97762">
              <w:rPr>
                <w:rStyle w:val="BoldandItalics"/>
              </w:rPr>
              <w:t>codes</w:t>
            </w:r>
            <w:r w:rsidRPr="00E97762">
              <w:t xml:space="preserve">, </w:t>
            </w:r>
            <w:r w:rsidRPr="00E97762">
              <w:rPr>
                <w:rStyle w:val="BoldandItalics"/>
              </w:rPr>
              <w:t>regulations and standards</w:t>
            </w:r>
            <w:r w:rsidRPr="00E97762">
              <w:t xml:space="preserve"> includes:</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762" w:rsidP="00E97762">
            <w:pPr>
              <w:pStyle w:val="ListBullet"/>
            </w:pPr>
            <w:r w:rsidRPr="00E97762">
              <w:t>Australian Communications Industry Forum (ACIF) standards and codes</w:t>
            </w:r>
          </w:p>
          <w:p w:rsidR="00000000" w:rsidRPr="00E97762" w:rsidP="00E97762">
            <w:pPr>
              <w:pStyle w:val="ListBullet"/>
            </w:pPr>
            <w:r w:rsidRPr="00E97762">
              <w:t>ACMA technical standards</w:t>
            </w:r>
          </w:p>
          <w:p w:rsidR="00000000" w:rsidRPr="00E97762" w:rsidP="00E97762">
            <w:pPr>
              <w:pStyle w:val="ListBullet"/>
            </w:pPr>
            <w:r w:rsidRPr="00E97762">
              <w:t>AS Communications Cabling Manual (CCM) Volume 1</w:t>
            </w:r>
          </w:p>
          <w:p w:rsidR="00000000" w:rsidRPr="00E97762" w:rsidP="00E97762">
            <w:pPr>
              <w:pStyle w:val="ListBullet"/>
            </w:pPr>
            <w:r w:rsidRPr="00E97762">
              <w:t>AS/NZS 3000:2007</w:t>
            </w:r>
          </w:p>
          <w:p w:rsidR="00000000" w:rsidRPr="00E97762" w:rsidP="00E97762">
            <w:pPr>
              <w:pStyle w:val="ListBullet"/>
            </w:pPr>
            <w:r w:rsidRPr="00E97762">
              <w:t>AS/NZS 3080:2003</w:t>
            </w:r>
          </w:p>
          <w:p w:rsidR="00000000" w:rsidRPr="00E97762" w:rsidP="00E97762">
            <w:pPr>
              <w:pStyle w:val="ListBullet"/>
            </w:pPr>
            <w:r w:rsidRPr="00E97762">
              <w:t>AS/NZS 3084:2003</w:t>
            </w:r>
          </w:p>
          <w:p w:rsidR="00000000" w:rsidRPr="00E97762" w:rsidP="00E97762">
            <w:pPr>
              <w:pStyle w:val="ListBullet"/>
            </w:pPr>
            <w:r w:rsidRPr="00E97762">
              <w:t>AS/NZS 3085.1:2004</w:t>
            </w:r>
          </w:p>
          <w:p w:rsidR="00000000" w:rsidRPr="00E97762" w:rsidP="00E97762">
            <w:pPr>
              <w:pStyle w:val="ListBullet"/>
            </w:pPr>
            <w:r w:rsidRPr="00E97762">
              <w:t>AS/NZS IEC 61935.1:2006</w:t>
            </w:r>
          </w:p>
          <w:p w:rsidR="00000000" w:rsidRPr="00E97762" w:rsidP="00E97762">
            <w:pPr>
              <w:pStyle w:val="ListBullet"/>
            </w:pPr>
            <w:r w:rsidRPr="00E97762">
              <w:t>AS/NZS IEC 61935.2:2006</w:t>
            </w:r>
          </w:p>
          <w:p w:rsidR="00000000" w:rsidRPr="00E97762" w:rsidP="00E97762">
            <w:pPr>
              <w:pStyle w:val="ListBullet"/>
            </w:pPr>
            <w:r w:rsidRPr="00E97762">
              <w:t>AS/NZS ISO/IEC 14763.3:2007</w:t>
            </w:r>
          </w:p>
          <w:p w:rsidR="00000000" w:rsidRPr="00E97762" w:rsidP="00E97762">
            <w:pPr>
              <w:pStyle w:val="ListBullet"/>
            </w:pPr>
            <w:r w:rsidRPr="00E97762">
              <w:t>AS/NZS ISO/IEC 15018:2005</w:t>
            </w:r>
          </w:p>
          <w:p w:rsidR="00000000" w:rsidRPr="00E97762" w:rsidP="00E97762">
            <w:pPr>
              <w:pStyle w:val="ListBullet"/>
            </w:pPr>
            <w:r w:rsidRPr="00E97762">
              <w:t>AS/NZS ISO/</w:t>
            </w:r>
            <w:r w:rsidRPr="00E97762">
              <w:t xml:space="preserve">IEC 24702:2007 </w:t>
            </w:r>
          </w:p>
          <w:p w:rsidR="00000000" w:rsidRPr="00E97762" w:rsidP="00E97762">
            <w:pPr>
              <w:pStyle w:val="ListBullet"/>
            </w:pPr>
            <w:r w:rsidRPr="00E97762">
              <w:t>Australian building codes and regulations</w:t>
            </w:r>
          </w:p>
          <w:p w:rsidR="00000000" w:rsidRPr="00E97762" w:rsidP="00E97762">
            <w:pPr>
              <w:pStyle w:val="ListBullet"/>
            </w:pPr>
            <w:r w:rsidRPr="00E97762">
              <w:t>cabling security codes and regulations</w:t>
            </w:r>
          </w:p>
          <w:p w:rsidR="00000000" w:rsidRPr="00E97762" w:rsidP="00E97762">
            <w:pPr>
              <w:pStyle w:val="ListBullet"/>
            </w:pPr>
            <w:r w:rsidRPr="00E97762">
              <w:t>enterprise operating policy and procedures</w:t>
            </w:r>
          </w:p>
          <w:p w:rsidR="00000000" w:rsidRPr="00E97762" w:rsidP="00E97762">
            <w:pPr>
              <w:pStyle w:val="ListBullet"/>
            </w:pPr>
            <w:r w:rsidRPr="00E97762">
              <w:t>OHS</w:t>
            </w:r>
          </w:p>
          <w:p w:rsidR="00000000" w:rsidRPr="00E97762" w:rsidP="00E97762">
            <w:pPr>
              <w:pStyle w:val="ListBullet"/>
            </w:pPr>
            <w:r w:rsidRPr="00E97762">
              <w:t>technical standards AS/ACIF S008:2006 and AS/ACIF S009:2006.</w:t>
            </w:r>
          </w:p>
        </w:tc>
      </w:tr>
    </w:tbl>
    <w:p w:rsidR="0045003E" w:rsidP="00E97762">
      <w:pPr>
        <w:pStyle w:val="BodyText"/>
      </w:pPr>
    </w:p>
    <w:p w:rsidR="0045003E" w:rsidP="00E97762">
      <w:pPr>
        <w:pStyle w:val="BodyText"/>
      </w:pPr>
    </w:p>
    <w:p w:rsidR="00000000" w:rsidRPr="00E97762" w:rsidP="00E97762">
      <w:pPr>
        <w:pStyle w:val="Heading1"/>
      </w:pPr>
      <w:bookmarkStart w:id="12" w:name="O_208863"/>
      <w:bookmarkEnd w:id="12"/>
      <w:r w:rsidRPr="00E97762">
        <w:t>Unit Sector(s)</w:t>
      </w:r>
    </w:p>
    <w:tbl>
      <w:tblPr>
        <w:tblW w:w="0" w:type="auto"/>
        <w:tblLayout w:type="fixed"/>
        <w:tblCellMar>
          <w:left w:w="62" w:type="dxa"/>
          <w:right w:w="62" w:type="dxa"/>
        </w:tblCellMar>
        <w:tblLook w:val="0000"/>
      </w:tblPr>
      <w:tblGrid>
        <w:gridCol w:w="2570"/>
        <w:gridCol w:w="5952"/>
      </w:tblGrid>
      <w:tr w:rsidTr="0045003E">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762">
            <w:pPr>
              <w:pStyle w:val="BodyText"/>
              <w:rPr>
                <w:lang w:val="en-NZ"/>
              </w:rPr>
            </w:pPr>
            <w:r w:rsidRPr="00E97762">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762" w:rsidP="00E97762">
            <w:pPr>
              <w:pStyle w:val="BodyText"/>
            </w:pPr>
            <w:r w:rsidRPr="00E97762">
              <w:t>Telecommunications</w:t>
            </w:r>
          </w:p>
        </w:tc>
      </w:tr>
    </w:tbl>
    <w:p w:rsidR="0045003E" w:rsidP="00E97762">
      <w:pPr>
        <w:pStyle w:val="BodyText"/>
      </w:pPr>
    </w:p>
    <w:p w:rsidR="0045003E" w:rsidP="00E97762">
      <w:pPr>
        <w:pStyle w:val="BodyText"/>
      </w:pPr>
    </w:p>
    <w:p w:rsidR="00000000" w:rsidRPr="00E97762" w:rsidP="00E97762">
      <w:pPr>
        <w:pStyle w:val="Heading1"/>
      </w:pPr>
      <w:bookmarkStart w:id="13" w:name="O_208860"/>
      <w:bookmarkEnd w:id="13"/>
      <w:r w:rsidRPr="00E97762">
        <w:t>Co-requisite units</w:t>
      </w:r>
    </w:p>
    <w:tbl>
      <w:tblPr>
        <w:tblW w:w="0" w:type="auto"/>
        <w:tblLayout w:type="fixed"/>
        <w:tblCellMar>
          <w:left w:w="62" w:type="dxa"/>
          <w:right w:w="62" w:type="dxa"/>
        </w:tblCellMar>
        <w:tblLook w:val="0000"/>
      </w:tblPr>
      <w:tblGrid>
        <w:gridCol w:w="2641"/>
        <w:gridCol w:w="1322"/>
        <w:gridCol w:w="4559"/>
      </w:tblGrid>
      <w:tr w:rsidTr="0045003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762">
            <w:pPr>
              <w:pStyle w:val="BodyText"/>
              <w:rPr>
                <w:lang w:val="en-NZ"/>
              </w:rPr>
            </w:pPr>
            <w:r w:rsidRPr="00E9776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762">
            <w:pPr>
              <w:pStyle w:val="BodyText"/>
              <w:rPr>
                <w:lang w:val="en-NZ"/>
              </w:rPr>
            </w:pPr>
          </w:p>
        </w:tc>
      </w:tr>
      <w:tr w:rsidTr="0045003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762">
            <w:pPr>
              <w:pStyle w:val="BodyText"/>
              <w:rPr>
                <w:lang w:val="en-NZ"/>
              </w:rPr>
            </w:pPr>
          </w:p>
        </w:tc>
      </w:tr>
      <w:tr w:rsidTr="0045003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762" w:rsidP="00E97762">
            <w:pPr>
              <w:pStyle w:val="BodyText"/>
            </w:pPr>
          </w:p>
        </w:tc>
      </w:tr>
    </w:tbl>
    <w:p w:rsidR="0045003E" w:rsidP="00E97762">
      <w:pPr>
        <w:pStyle w:val="BodyText"/>
      </w:pPr>
    </w:p>
    <w:p w:rsidR="0045003E" w:rsidP="00E97762">
      <w:pPr>
        <w:pStyle w:val="BodyText"/>
      </w:pPr>
    </w:p>
    <w:p w:rsidR="00000000" w:rsidRPr="00E97762" w:rsidP="00E97762">
      <w:pPr>
        <w:pStyle w:val="Heading1"/>
      </w:pPr>
      <w:bookmarkStart w:id="14" w:name="O_208862"/>
      <w:bookmarkEnd w:id="14"/>
      <w:r w:rsidRPr="00E97762">
        <w:t>Competency field</w:t>
      </w:r>
    </w:p>
    <w:tbl>
      <w:tblPr>
        <w:tblW w:w="0" w:type="auto"/>
        <w:tblLayout w:type="fixed"/>
        <w:tblCellMar>
          <w:left w:w="62" w:type="dxa"/>
          <w:right w:w="62" w:type="dxa"/>
        </w:tblCellMar>
        <w:tblLook w:val="0000"/>
      </w:tblPr>
      <w:tblGrid>
        <w:gridCol w:w="2775"/>
        <w:gridCol w:w="5747"/>
      </w:tblGrid>
      <w:tr w:rsidTr="0045003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762">
            <w:pPr>
              <w:pStyle w:val="BodyText"/>
              <w:rPr>
                <w:lang w:val="en-NZ"/>
              </w:rPr>
            </w:pPr>
            <w:r w:rsidRPr="00E97762">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762" w:rsidP="00E97762">
            <w:pPr>
              <w:pStyle w:val="BodyText"/>
            </w:pPr>
            <w:r w:rsidRPr="00E97762">
              <w:t>Compliance</w:t>
            </w:r>
          </w:p>
        </w:tc>
      </w:tr>
    </w:tbl>
    <w:p w:rsidR="0045003E" w:rsidP="00E97762">
      <w:pPr>
        <w:pStyle w:val="BodyText"/>
      </w:pPr>
    </w:p>
    <w:p w:rsidR="0045003E" w:rsidP="00E97762">
      <w:pPr>
        <w:pStyle w:val="BodyText"/>
      </w:pPr>
    </w:p>
    <w:p w:rsidR="00000000" w:rsidRPr="00E97762" w:rsidP="00E97762"/>
    <w:sectPr w:rsidSect="00E977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7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003E" w:rsidP="0045003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7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03E" w:rsidP="00E9776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5003E" w:rsidP="00E9776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5003E" w:rsidP="00E9776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7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762" w:rsidRPr="0045003E" w:rsidP="0045003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7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03E" w:rsidRPr="002D2AF8" w:rsidP="00E97762">
    <w:pPr>
      <w:pStyle w:val="Header"/>
      <w:framePr w:wrap="around"/>
    </w:pPr>
    <w:r>
      <w:fldChar w:fldCharType="begin"/>
    </w:r>
    <w:r>
      <w:instrText xml:space="preserve"> TITLE   \* MERGEFORMAT </w:instrText>
    </w:r>
    <w:r>
      <w:fldChar w:fldCharType="separate"/>
    </w:r>
    <w:r>
      <w:t>ICTCMP2022A Organise and monitor cabling to ensure compliance with regulatory and industry standards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45003E" w:rsidP="00E977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4267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808C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FAEC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77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7762"/>
    <w:pPr>
      <w:spacing w:before="360" w:after="60"/>
      <w:outlineLvl w:val="0"/>
    </w:pPr>
    <w:rPr>
      <w:sz w:val="32"/>
    </w:rPr>
  </w:style>
  <w:style w:type="paragraph" w:styleId="Heading2">
    <w:name w:val="heading 2"/>
    <w:basedOn w:val="HeadingBase"/>
    <w:next w:val="BodyText"/>
    <w:link w:val="Heading2Char"/>
    <w:qFormat/>
    <w:rsid w:val="00E97762"/>
    <w:pPr>
      <w:keepLines/>
      <w:spacing w:before="240" w:after="120"/>
      <w:outlineLvl w:val="1"/>
    </w:pPr>
    <w:rPr>
      <w:sz w:val="28"/>
      <w:szCs w:val="40"/>
    </w:rPr>
  </w:style>
  <w:style w:type="paragraph" w:styleId="Heading3">
    <w:name w:val="heading 3"/>
    <w:basedOn w:val="HeadingBase"/>
    <w:next w:val="BodyText"/>
    <w:link w:val="Heading3Char"/>
    <w:qFormat/>
    <w:rsid w:val="00E97762"/>
    <w:pPr>
      <w:spacing w:before="180" w:after="120"/>
      <w:outlineLvl w:val="2"/>
    </w:pPr>
    <w:rPr>
      <w:spacing w:val="-10"/>
      <w:kern w:val="32"/>
    </w:rPr>
  </w:style>
  <w:style w:type="paragraph" w:styleId="Heading4">
    <w:name w:val="heading 4"/>
    <w:basedOn w:val="HeadingBase"/>
    <w:next w:val="BodyText"/>
    <w:link w:val="Heading4Char"/>
    <w:qFormat/>
    <w:rsid w:val="00E97762"/>
    <w:pPr>
      <w:spacing w:before="160" w:after="120"/>
      <w:outlineLvl w:val="3"/>
    </w:pPr>
    <w:rPr>
      <w:sz w:val="22"/>
    </w:rPr>
  </w:style>
  <w:style w:type="paragraph" w:styleId="Heading5">
    <w:name w:val="heading 5"/>
    <w:basedOn w:val="HeadingBase"/>
    <w:next w:val="Normal"/>
    <w:link w:val="Heading5Char"/>
    <w:qFormat/>
    <w:rsid w:val="00E97762"/>
    <w:pPr>
      <w:spacing w:before="80"/>
      <w:outlineLvl w:val="4"/>
    </w:pPr>
    <w:rPr>
      <w:color w:val="918585"/>
      <w:sz w:val="20"/>
    </w:rPr>
  </w:style>
  <w:style w:type="paragraph" w:styleId="Heading6">
    <w:name w:val="heading 6"/>
    <w:basedOn w:val="HeadingBase"/>
    <w:next w:val="Normal"/>
    <w:link w:val="Heading6Char"/>
    <w:qFormat/>
    <w:rsid w:val="00E97762"/>
    <w:pPr>
      <w:spacing w:before="60"/>
      <w:outlineLvl w:val="5"/>
    </w:pPr>
    <w:rPr>
      <w:color w:val="918585"/>
      <w:sz w:val="20"/>
    </w:rPr>
  </w:style>
  <w:style w:type="paragraph" w:styleId="Heading7">
    <w:name w:val="heading 7"/>
    <w:basedOn w:val="Normal"/>
    <w:next w:val="Normal"/>
    <w:link w:val="Heading7Char"/>
    <w:qFormat/>
    <w:rsid w:val="00E97762"/>
    <w:pPr>
      <w:ind w:left="720"/>
      <w:outlineLvl w:val="6"/>
    </w:pPr>
    <w:rPr>
      <w:i/>
    </w:rPr>
  </w:style>
  <w:style w:type="paragraph" w:styleId="Heading8">
    <w:name w:val="heading 8"/>
    <w:basedOn w:val="Normal"/>
    <w:next w:val="Normal"/>
    <w:link w:val="Heading8Char"/>
    <w:qFormat/>
    <w:rsid w:val="00E97762"/>
    <w:pPr>
      <w:ind w:left="720"/>
      <w:outlineLvl w:val="7"/>
    </w:pPr>
    <w:rPr>
      <w:i/>
    </w:rPr>
  </w:style>
  <w:style w:type="paragraph" w:styleId="Heading9">
    <w:name w:val="heading 9"/>
    <w:basedOn w:val="Normal"/>
    <w:next w:val="Normal"/>
    <w:link w:val="Heading9Char"/>
    <w:qFormat/>
    <w:rsid w:val="00E97762"/>
    <w:pPr>
      <w:ind w:left="720"/>
      <w:outlineLvl w:val="8"/>
    </w:pPr>
    <w:rPr>
      <w:i/>
    </w:rPr>
  </w:style>
  <w:style w:type="character" w:default="1" w:styleId="DefaultParagraphFont">
    <w:name w:val="Default Paragraph Font"/>
    <w:uiPriority w:val="1"/>
    <w:unhideWhenUsed/>
    <w:rsid w:val="00E977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7762"/>
  </w:style>
  <w:style w:type="character" w:customStyle="1" w:styleId="Heading1Char">
    <w:name w:val="Heading 1 Char"/>
    <w:basedOn w:val="DefaultParagraphFont"/>
    <w:link w:val="Heading1"/>
    <w:rsid w:val="00E97762"/>
    <w:rPr>
      <w:rFonts w:ascii="Times New Roman" w:eastAsia="Times New Roman" w:hAnsi="Times New Roman" w:cs="Times New Roman"/>
      <w:b/>
      <w:sz w:val="32"/>
      <w:szCs w:val="20"/>
      <w:lang w:eastAsia="en-US"/>
    </w:rPr>
  </w:style>
  <w:style w:type="paragraph" w:styleId="BodyText">
    <w:name w:val="Body Text"/>
    <w:basedOn w:val="Normal"/>
    <w:link w:val="BodyTextChar"/>
    <w:rsid w:val="00E9776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97762"/>
    <w:rPr>
      <w:rFonts w:ascii="Times New Roman" w:eastAsia="Times New Roman" w:hAnsi="Times New Roman" w:cs="Times New Roman"/>
      <w:sz w:val="24"/>
      <w:lang w:eastAsia="en-US"/>
    </w:rPr>
  </w:style>
  <w:style w:type="paragraph" w:styleId="Footer">
    <w:name w:val="footer"/>
    <w:basedOn w:val="Normal"/>
    <w:link w:val="FooterChar"/>
    <w:rsid w:val="00E977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7762"/>
    <w:rPr>
      <w:rFonts w:ascii="Times New Roman" w:eastAsia="Times New Roman" w:hAnsi="Times New Roman" w:cs="Times New Roman"/>
      <w:sz w:val="16"/>
      <w:lang w:eastAsia="en-US"/>
    </w:rPr>
  </w:style>
  <w:style w:type="paragraph" w:styleId="List">
    <w:name w:val="List"/>
    <w:basedOn w:val="BodyText"/>
    <w:next w:val="BodyText"/>
    <w:rsid w:val="00E97762"/>
    <w:pPr>
      <w:tabs>
        <w:tab w:val="left" w:pos="340"/>
      </w:tabs>
      <w:spacing w:before="60" w:after="60"/>
      <w:ind w:left="340" w:hanging="340"/>
    </w:pPr>
  </w:style>
  <w:style w:type="paragraph" w:styleId="ListBullet">
    <w:name w:val="List Bullet"/>
    <w:basedOn w:val="List"/>
    <w:rsid w:val="00E97762"/>
    <w:pPr>
      <w:numPr>
        <w:numId w:val="14"/>
      </w:numPr>
      <w:tabs>
        <w:tab w:val="clear" w:pos="340"/>
      </w:tabs>
      <w:spacing w:before="40" w:after="40"/>
    </w:pPr>
  </w:style>
  <w:style w:type="character" w:customStyle="1" w:styleId="SpecialBold">
    <w:name w:val="Special Bold"/>
    <w:basedOn w:val="DefaultParagraphFont"/>
    <w:rsid w:val="00E97762"/>
    <w:rPr>
      <w:b/>
      <w:spacing w:val="0"/>
    </w:rPr>
  </w:style>
  <w:style w:type="paragraph" w:styleId="ListBullet2">
    <w:name w:val="List Bullet 2"/>
    <w:basedOn w:val="List2"/>
    <w:rsid w:val="00E97762"/>
    <w:pPr>
      <w:numPr>
        <w:numId w:val="15"/>
      </w:numPr>
      <w:tabs>
        <w:tab w:val="clear" w:pos="680"/>
      </w:tabs>
    </w:pPr>
  </w:style>
  <w:style w:type="paragraph" w:customStyle="1" w:styleId="SuperHeading">
    <w:name w:val="SuperHeading"/>
    <w:basedOn w:val="Normal"/>
    <w:rsid w:val="00E97762"/>
    <w:pPr>
      <w:spacing w:before="240" w:after="120"/>
      <w:outlineLvl w:val="0"/>
    </w:pPr>
    <w:rPr>
      <w:rFonts w:ascii="Times New Roman" w:hAnsi="Times New Roman"/>
      <w:b/>
      <w:sz w:val="28"/>
    </w:rPr>
  </w:style>
  <w:style w:type="paragraph" w:customStyle="1" w:styleId="AllowPageBreak">
    <w:name w:val="AllowPageBreak"/>
    <w:rsid w:val="00E9776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97762"/>
    <w:pPr>
      <w:tabs>
        <w:tab w:val="left" w:pos="680"/>
      </w:tabs>
      <w:spacing w:before="60" w:after="60"/>
      <w:ind w:left="680" w:hanging="340"/>
    </w:pPr>
  </w:style>
  <w:style w:type="paragraph" w:styleId="ListBullet3">
    <w:name w:val="List Bullet 3"/>
    <w:basedOn w:val="List3"/>
    <w:rsid w:val="00E97762"/>
    <w:pPr>
      <w:numPr>
        <w:numId w:val="3"/>
      </w:numPr>
      <w:tabs>
        <w:tab w:val="clear" w:pos="1021"/>
      </w:tabs>
      <w:ind w:left="1037" w:hanging="357"/>
    </w:pPr>
  </w:style>
  <w:style w:type="character" w:customStyle="1" w:styleId="BoldandItalics">
    <w:name w:val="Bold and Italics"/>
    <w:qFormat/>
    <w:rsid w:val="00E97762"/>
    <w:rPr>
      <w:b/>
      <w:i/>
      <w:u w:val="none"/>
    </w:rPr>
  </w:style>
  <w:style w:type="character" w:customStyle="1" w:styleId="Heading2Char">
    <w:name w:val="Heading 2 Char"/>
    <w:basedOn w:val="DefaultParagraphFont"/>
    <w:link w:val="Heading2"/>
    <w:rsid w:val="00E977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77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77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77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77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77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77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7762"/>
    <w:rPr>
      <w:rFonts w:ascii="Courier New" w:eastAsia="Times New Roman" w:hAnsi="Courier New" w:cs="Times New Roman"/>
      <w:i/>
      <w:szCs w:val="20"/>
      <w:lang w:eastAsia="en-US"/>
    </w:rPr>
  </w:style>
  <w:style w:type="paragraph" w:customStyle="1" w:styleId="HeadingBase">
    <w:name w:val="Heading Base"/>
    <w:rsid w:val="00E977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7762"/>
    <w:pPr>
      <w:tabs>
        <w:tab w:val="right" w:leader="dot" w:pos="9072"/>
      </w:tabs>
      <w:ind w:left="567"/>
    </w:pPr>
    <w:rPr>
      <w:szCs w:val="22"/>
    </w:rPr>
  </w:style>
  <w:style w:type="paragraph" w:customStyle="1" w:styleId="TOCBase">
    <w:name w:val="TOC Base"/>
    <w:rsid w:val="00E977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7762"/>
    <w:pPr>
      <w:tabs>
        <w:tab w:val="right" w:leader="dot" w:pos="9072"/>
      </w:tabs>
      <w:spacing w:before="40" w:after="40"/>
      <w:ind w:left="284"/>
    </w:pPr>
    <w:rPr>
      <w:rFonts w:ascii="Times New Roman" w:hAnsi="Times New Roman"/>
    </w:rPr>
  </w:style>
  <w:style w:type="paragraph" w:styleId="TOC1">
    <w:name w:val="toc 1"/>
    <w:basedOn w:val="TOCBase"/>
    <w:next w:val="Normal"/>
    <w:rsid w:val="00E9776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97762"/>
    <w:pPr>
      <w:spacing w:before="5040"/>
      <w:jc w:val="center"/>
    </w:pPr>
    <w:rPr>
      <w:sz w:val="48"/>
      <w:szCs w:val="72"/>
      <w:lang w:val="en-US"/>
    </w:rPr>
  </w:style>
  <w:style w:type="character" w:customStyle="1" w:styleId="TitleChar">
    <w:name w:val="Title Char"/>
    <w:basedOn w:val="DefaultParagraphFont"/>
    <w:link w:val="Title"/>
    <w:rsid w:val="00E977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7762"/>
    <w:pPr>
      <w:tabs>
        <w:tab w:val="left" w:pos="3600"/>
        <w:tab w:val="left" w:pos="3958"/>
      </w:tabs>
    </w:pPr>
  </w:style>
  <w:style w:type="paragraph" w:customStyle="1" w:styleId="Note">
    <w:name w:val="Note"/>
    <w:basedOn w:val="BodyText"/>
    <w:rsid w:val="00E977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7762"/>
    <w:pPr>
      <w:framePr w:wrap="auto" w:hAnchor="text" w:y="6049"/>
    </w:pPr>
    <w:rPr>
      <w:color w:val="000000"/>
      <w:sz w:val="40"/>
    </w:rPr>
  </w:style>
  <w:style w:type="paragraph" w:customStyle="1" w:styleId="TOCTitle">
    <w:name w:val="TOCTitle"/>
    <w:basedOn w:val="Heading1"/>
    <w:rsid w:val="00E97762"/>
    <w:pPr>
      <w:spacing w:after="240"/>
      <w:jc w:val="center"/>
      <w:outlineLvl w:val="9"/>
    </w:pPr>
    <w:rPr>
      <w:caps/>
    </w:rPr>
  </w:style>
  <w:style w:type="paragraph" w:customStyle="1" w:styleId="Version">
    <w:name w:val="Version"/>
    <w:rsid w:val="00E977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7762"/>
    <w:pPr>
      <w:keepNext w:val="0"/>
      <w:tabs>
        <w:tab w:val="right" w:pos="4176"/>
      </w:tabs>
      <w:ind w:left="198" w:hanging="198"/>
    </w:pPr>
    <w:rPr>
      <w:rFonts w:ascii="Garamond" w:hAnsi="Garamond"/>
    </w:rPr>
  </w:style>
  <w:style w:type="paragraph" w:styleId="IndexHeading">
    <w:name w:val="index heading"/>
    <w:basedOn w:val="Normal"/>
    <w:next w:val="Index1"/>
    <w:semiHidden/>
    <w:rsid w:val="00E97762"/>
    <w:pPr>
      <w:spacing w:before="120" w:after="120"/>
    </w:pPr>
    <w:rPr>
      <w:rFonts w:ascii="Arial" w:hAnsi="Arial"/>
      <w:b/>
      <w:color w:val="918585"/>
      <w:sz w:val="24"/>
    </w:rPr>
  </w:style>
  <w:style w:type="paragraph" w:styleId="Header">
    <w:name w:val="header"/>
    <w:basedOn w:val="Normal"/>
    <w:link w:val="HeaderChar"/>
    <w:rsid w:val="00E977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7762"/>
    <w:rPr>
      <w:rFonts w:ascii="Times New Roman" w:eastAsia="Times New Roman" w:hAnsi="Times New Roman" w:cs="Times New Roman"/>
      <w:sz w:val="16"/>
      <w:szCs w:val="20"/>
      <w:lang w:val="en-GB" w:eastAsia="en-US"/>
    </w:rPr>
  </w:style>
  <w:style w:type="paragraph" w:customStyle="1" w:styleId="Chapter">
    <w:name w:val="Chapter"/>
    <w:basedOn w:val="Normal"/>
    <w:rsid w:val="00E97762"/>
    <w:pPr>
      <w:spacing w:before="240"/>
    </w:pPr>
    <w:rPr>
      <w:rFonts w:ascii="Times New Roman" w:hAnsi="Times New Roman"/>
      <w:smallCaps/>
      <w:spacing w:val="80"/>
      <w:sz w:val="28"/>
    </w:rPr>
  </w:style>
  <w:style w:type="paragraph" w:customStyle="1" w:styleId="InChapter">
    <w:name w:val="InChapter"/>
    <w:basedOn w:val="Heading3"/>
    <w:rsid w:val="00E97762"/>
    <w:pPr>
      <w:spacing w:after="240"/>
      <w:outlineLvl w:val="9"/>
    </w:pPr>
    <w:rPr>
      <w:noProof/>
    </w:rPr>
  </w:style>
  <w:style w:type="paragraph" w:styleId="Index2">
    <w:name w:val="index 2"/>
    <w:basedOn w:val="Normal"/>
    <w:next w:val="Normal"/>
    <w:semiHidden/>
    <w:rsid w:val="00E97762"/>
    <w:pPr>
      <w:tabs>
        <w:tab w:val="right" w:pos="4176"/>
      </w:tabs>
      <w:ind w:left="568" w:hanging="284"/>
    </w:pPr>
    <w:rPr>
      <w:rFonts w:ascii="Garamond" w:hAnsi="Garamond"/>
    </w:rPr>
  </w:style>
  <w:style w:type="paragraph" w:customStyle="1" w:styleId="Byline">
    <w:name w:val="Byline"/>
    <w:rsid w:val="00E977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7762"/>
    <w:pPr>
      <w:tabs>
        <w:tab w:val="clear" w:pos="3600"/>
        <w:tab w:val="clear" w:pos="3958"/>
      </w:tabs>
      <w:jc w:val="right"/>
    </w:pPr>
  </w:style>
  <w:style w:type="character" w:styleId="Emphasis">
    <w:name w:val="Emphasis"/>
    <w:basedOn w:val="DefaultParagraphFont"/>
    <w:qFormat/>
    <w:rsid w:val="00E97762"/>
    <w:rPr>
      <w:i/>
    </w:rPr>
  </w:style>
  <w:style w:type="paragraph" w:styleId="Caption">
    <w:name w:val="caption"/>
    <w:basedOn w:val="BodyText"/>
    <w:next w:val="Normal"/>
    <w:qFormat/>
    <w:rsid w:val="00E97762"/>
    <w:pPr>
      <w:framePr w:w="2268" w:hSpace="181" w:vSpace="181" w:wrap="around" w:vAnchor="text" w:hAnchor="page" w:x="1135" w:y="285" w:anchorLock="1"/>
    </w:pPr>
    <w:rPr>
      <w:i/>
    </w:rPr>
  </w:style>
  <w:style w:type="paragraph" w:customStyle="1" w:styleId="MiniTOCTitle">
    <w:name w:val="MiniTOCTitle"/>
    <w:basedOn w:val="Heading4"/>
    <w:rsid w:val="00E97762"/>
    <w:pPr>
      <w:spacing w:before="240"/>
      <w:outlineLvl w:val="9"/>
    </w:pPr>
    <w:rPr>
      <w:noProof/>
      <w:sz w:val="24"/>
    </w:rPr>
  </w:style>
  <w:style w:type="paragraph" w:customStyle="1" w:styleId="MiniTOCItem">
    <w:name w:val="MiniTOCItem"/>
    <w:basedOn w:val="ListBullet"/>
    <w:rsid w:val="00E97762"/>
    <w:pPr>
      <w:numPr>
        <w:numId w:val="0"/>
      </w:numPr>
      <w:tabs>
        <w:tab w:val="right" w:leader="dot" w:pos="6521"/>
      </w:tabs>
      <w:spacing w:before="0" w:after="0"/>
    </w:pPr>
  </w:style>
  <w:style w:type="paragraph" w:customStyle="1" w:styleId="TOFTitle">
    <w:name w:val="TOFTitle"/>
    <w:basedOn w:val="TOCTitle"/>
    <w:rsid w:val="00E97762"/>
  </w:style>
  <w:style w:type="paragraph" w:styleId="TableofFigures">
    <w:name w:val="table of figures"/>
    <w:basedOn w:val="Normal"/>
    <w:next w:val="Normal"/>
    <w:semiHidden/>
    <w:rsid w:val="00E97762"/>
    <w:pPr>
      <w:tabs>
        <w:tab w:val="right" w:leader="dot" w:pos="9072"/>
      </w:tabs>
      <w:ind w:left="970" w:hanging="403"/>
    </w:pPr>
    <w:rPr>
      <w:rFonts w:ascii="Times New Roman" w:hAnsi="Times New Roman"/>
      <w:b/>
    </w:rPr>
  </w:style>
  <w:style w:type="paragraph" w:styleId="ListNumber">
    <w:name w:val="List Number"/>
    <w:basedOn w:val="List"/>
    <w:rsid w:val="00E97762"/>
    <w:pPr>
      <w:numPr>
        <w:numId w:val="12"/>
      </w:numPr>
    </w:pPr>
  </w:style>
  <w:style w:type="character" w:customStyle="1" w:styleId="WingdingSymbols">
    <w:name w:val="Wingding Symbols"/>
    <w:rsid w:val="00E97762"/>
    <w:rPr>
      <w:rFonts w:ascii="Wingdings" w:hAnsi="Wingdings"/>
    </w:rPr>
  </w:style>
  <w:style w:type="paragraph" w:customStyle="1" w:styleId="TableHeading">
    <w:name w:val="Table Heading"/>
    <w:basedOn w:val="HeadingBase"/>
    <w:rsid w:val="00E97762"/>
    <w:pPr>
      <w:keepLines/>
      <w:pBdr>
        <w:bottom w:val="single" w:sz="6" w:space="1" w:color="918585"/>
      </w:pBdr>
      <w:spacing w:before="240"/>
    </w:pPr>
  </w:style>
  <w:style w:type="character" w:customStyle="1" w:styleId="HotSpot">
    <w:name w:val="HotSpot"/>
    <w:rsid w:val="00E97762"/>
    <w:rPr>
      <w:color w:val="0033CC"/>
      <w:u w:val="none"/>
    </w:rPr>
  </w:style>
  <w:style w:type="paragraph" w:customStyle="1" w:styleId="BodyTextRight">
    <w:name w:val="Body Text Right"/>
    <w:basedOn w:val="BodyText"/>
    <w:rsid w:val="00E97762"/>
    <w:pPr>
      <w:spacing w:before="0" w:after="0"/>
      <w:jc w:val="right"/>
    </w:pPr>
  </w:style>
  <w:style w:type="paragraph" w:styleId="Index3">
    <w:name w:val="index 3"/>
    <w:basedOn w:val="ListNumber2"/>
    <w:next w:val="Normal"/>
    <w:semiHidden/>
    <w:rsid w:val="00E97762"/>
    <w:pPr>
      <w:numPr>
        <w:numId w:val="0"/>
      </w:numPr>
      <w:tabs>
        <w:tab w:val="right" w:leader="dot" w:pos="4176"/>
      </w:tabs>
    </w:pPr>
  </w:style>
  <w:style w:type="paragraph" w:styleId="ListNumber2">
    <w:name w:val="List Number 2"/>
    <w:basedOn w:val="List2"/>
    <w:rsid w:val="00E97762"/>
    <w:pPr>
      <w:numPr>
        <w:numId w:val="11"/>
      </w:numPr>
      <w:tabs>
        <w:tab w:val="clear" w:pos="1060"/>
      </w:tabs>
    </w:pPr>
  </w:style>
  <w:style w:type="paragraph" w:customStyle="1" w:styleId="MarginNote">
    <w:name w:val="Margin Note"/>
    <w:basedOn w:val="BodyText"/>
    <w:rsid w:val="00E977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77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77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7762"/>
    <w:rPr>
      <w:sz w:val="32"/>
    </w:rPr>
  </w:style>
  <w:style w:type="paragraph" w:customStyle="1" w:styleId="HeadingProcedure">
    <w:name w:val="Heading Procedure"/>
    <w:basedOn w:val="HeadingBase"/>
    <w:next w:val="Normal"/>
    <w:rsid w:val="00E97762"/>
    <w:pPr>
      <w:tabs>
        <w:tab w:val="left" w:pos="0"/>
      </w:tabs>
      <w:spacing w:before="120" w:after="60"/>
    </w:pPr>
    <w:rPr>
      <w:i/>
      <w:color w:val="918585"/>
      <w:sz w:val="22"/>
    </w:rPr>
  </w:style>
  <w:style w:type="paragraph" w:customStyle="1" w:styleId="TableBodyText">
    <w:name w:val="Table Body Text"/>
    <w:basedOn w:val="BodyText"/>
    <w:rsid w:val="00E97762"/>
    <w:pPr>
      <w:spacing w:before="60" w:after="60"/>
    </w:pPr>
  </w:style>
  <w:style w:type="paragraph" w:styleId="ListContinue">
    <w:name w:val="List Continue"/>
    <w:basedOn w:val="List"/>
    <w:rsid w:val="00E97762"/>
    <w:pPr>
      <w:ind w:firstLine="0"/>
    </w:pPr>
  </w:style>
  <w:style w:type="paragraph" w:customStyle="1" w:styleId="ListNote">
    <w:name w:val="List Note"/>
    <w:basedOn w:val="List"/>
    <w:rsid w:val="00E97762"/>
    <w:pPr>
      <w:pBdr>
        <w:top w:val="single" w:sz="6" w:space="2" w:color="918585"/>
        <w:bottom w:val="single" w:sz="6" w:space="2" w:color="918585"/>
      </w:pBdr>
      <w:tabs>
        <w:tab w:val="left" w:pos="1021"/>
      </w:tabs>
      <w:ind w:firstLine="0"/>
    </w:pPr>
  </w:style>
  <w:style w:type="paragraph" w:customStyle="1" w:styleId="Warning">
    <w:name w:val="Warning"/>
    <w:basedOn w:val="BodyText"/>
    <w:rsid w:val="00E97762"/>
    <w:pPr>
      <w:shd w:val="clear" w:color="auto" w:fill="D9D9D9"/>
      <w:tabs>
        <w:tab w:val="left" w:pos="992"/>
      </w:tabs>
      <w:ind w:left="119" w:right="119"/>
    </w:pPr>
    <w:rPr>
      <w:sz w:val="20"/>
    </w:rPr>
  </w:style>
  <w:style w:type="paragraph" w:customStyle="1" w:styleId="MarginIcons">
    <w:name w:val="Margin Icons"/>
    <w:basedOn w:val="BodyText"/>
    <w:rsid w:val="00E977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7762"/>
    <w:rPr>
      <w:rFonts w:ascii="Courier New" w:hAnsi="Courier New"/>
    </w:rPr>
  </w:style>
  <w:style w:type="paragraph" w:customStyle="1" w:styleId="NoteBullet">
    <w:name w:val="Note Bullet"/>
    <w:basedOn w:val="Note"/>
    <w:rsid w:val="00E97762"/>
    <w:pPr>
      <w:tabs>
        <w:tab w:val="clear" w:pos="680"/>
      </w:tabs>
      <w:spacing w:before="60" w:after="60"/>
    </w:pPr>
  </w:style>
  <w:style w:type="paragraph" w:customStyle="1" w:styleId="SubHeading2">
    <w:name w:val="SubHeading2"/>
    <w:basedOn w:val="HeadingBase"/>
    <w:rsid w:val="00E97762"/>
    <w:pPr>
      <w:spacing w:before="240" w:after="60"/>
    </w:pPr>
    <w:rPr>
      <w:sz w:val="20"/>
    </w:rPr>
  </w:style>
  <w:style w:type="paragraph" w:customStyle="1" w:styleId="SubHeading1">
    <w:name w:val="SubHeading1"/>
    <w:basedOn w:val="HeadingBase"/>
    <w:rsid w:val="00E97762"/>
    <w:pPr>
      <w:spacing w:before="240" w:after="60"/>
    </w:pPr>
    <w:rPr>
      <w:color w:val="918585"/>
      <w:sz w:val="22"/>
    </w:rPr>
  </w:style>
  <w:style w:type="paragraph" w:customStyle="1" w:styleId="SideHeading">
    <w:name w:val="Side Heading"/>
    <w:basedOn w:val="HeadingBase"/>
    <w:rsid w:val="00E977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7762"/>
    <w:pPr>
      <w:numPr>
        <w:numId w:val="13"/>
      </w:numPr>
    </w:pPr>
  </w:style>
  <w:style w:type="paragraph" w:styleId="PlainText">
    <w:name w:val="Plain Text"/>
    <w:basedOn w:val="Normal"/>
    <w:link w:val="PlainTextChar"/>
    <w:rsid w:val="00E97762"/>
    <w:rPr>
      <w:sz w:val="20"/>
    </w:rPr>
  </w:style>
  <w:style w:type="character" w:customStyle="1" w:styleId="PlainTextChar">
    <w:name w:val="Plain Text Char"/>
    <w:basedOn w:val="DefaultParagraphFont"/>
    <w:link w:val="PlainText"/>
    <w:rsid w:val="00E97762"/>
    <w:rPr>
      <w:rFonts w:ascii="Courier New" w:eastAsia="Times New Roman" w:hAnsi="Courier New" w:cs="Times New Roman"/>
      <w:sz w:val="20"/>
      <w:szCs w:val="20"/>
      <w:lang w:eastAsia="en-US"/>
    </w:rPr>
  </w:style>
  <w:style w:type="character" w:customStyle="1" w:styleId="MenuOption">
    <w:name w:val="Menu Option"/>
    <w:basedOn w:val="DefaultParagraphFont"/>
    <w:rsid w:val="00E97762"/>
    <w:rPr>
      <w:b/>
      <w:smallCaps/>
    </w:rPr>
  </w:style>
  <w:style w:type="paragraph" w:customStyle="1" w:styleId="TableListNumber">
    <w:name w:val="Table List Number"/>
    <w:basedOn w:val="ListNumber"/>
    <w:rsid w:val="00E97762"/>
    <w:pPr>
      <w:numPr>
        <w:numId w:val="0"/>
      </w:numPr>
    </w:pPr>
  </w:style>
  <w:style w:type="paragraph" w:styleId="TOC4">
    <w:name w:val="toc 4"/>
    <w:basedOn w:val="TOCBase"/>
    <w:next w:val="Normal"/>
    <w:semiHidden/>
    <w:rsid w:val="00E97762"/>
    <w:pPr>
      <w:tabs>
        <w:tab w:val="right" w:leader="dot" w:pos="9071"/>
      </w:tabs>
      <w:ind w:left="1701"/>
    </w:pPr>
  </w:style>
  <w:style w:type="paragraph" w:customStyle="1" w:styleId="ListAlpha">
    <w:name w:val="List Alpha"/>
    <w:basedOn w:val="List"/>
    <w:rsid w:val="00E97762"/>
    <w:pPr>
      <w:numPr>
        <w:numId w:val="10"/>
      </w:numPr>
    </w:pPr>
  </w:style>
  <w:style w:type="paragraph" w:customStyle="1" w:styleId="ListAlpha2">
    <w:name w:val="List Alpha 2"/>
    <w:basedOn w:val="List2"/>
    <w:rsid w:val="00E97762"/>
    <w:pPr>
      <w:numPr>
        <w:numId w:val="9"/>
      </w:numPr>
    </w:pPr>
  </w:style>
  <w:style w:type="paragraph" w:styleId="List3">
    <w:name w:val="List 3"/>
    <w:basedOn w:val="BodyText"/>
    <w:rsid w:val="00E97762"/>
    <w:pPr>
      <w:tabs>
        <w:tab w:val="left" w:pos="1021"/>
      </w:tabs>
      <w:spacing w:before="60" w:after="60"/>
      <w:ind w:left="1020" w:hanging="340"/>
    </w:pPr>
  </w:style>
  <w:style w:type="paragraph" w:styleId="List4">
    <w:name w:val="List 4"/>
    <w:basedOn w:val="BodyText"/>
    <w:rsid w:val="00E97762"/>
    <w:pPr>
      <w:tabs>
        <w:tab w:val="left" w:pos="1361"/>
      </w:tabs>
      <w:spacing w:before="60" w:after="60"/>
      <w:ind w:left="1361" w:hanging="340"/>
    </w:pPr>
  </w:style>
  <w:style w:type="paragraph" w:styleId="List5">
    <w:name w:val="List 5"/>
    <w:basedOn w:val="BodyText"/>
    <w:rsid w:val="00E97762"/>
    <w:pPr>
      <w:tabs>
        <w:tab w:val="left" w:pos="1701"/>
      </w:tabs>
      <w:spacing w:before="60" w:after="60"/>
      <w:ind w:left="1701" w:hanging="340"/>
    </w:pPr>
  </w:style>
  <w:style w:type="paragraph" w:styleId="ListBullet4">
    <w:name w:val="List Bullet 4"/>
    <w:basedOn w:val="List4"/>
    <w:rsid w:val="00E97762"/>
    <w:pPr>
      <w:numPr>
        <w:numId w:val="4"/>
      </w:numPr>
    </w:pPr>
  </w:style>
  <w:style w:type="paragraph" w:styleId="ListBullet5">
    <w:name w:val="List Bullet 5"/>
    <w:basedOn w:val="List5"/>
    <w:rsid w:val="00E97762"/>
    <w:pPr>
      <w:numPr>
        <w:numId w:val="5"/>
      </w:numPr>
    </w:pPr>
  </w:style>
  <w:style w:type="paragraph" w:styleId="ListContinue2">
    <w:name w:val="List Continue 2"/>
    <w:basedOn w:val="List2"/>
    <w:rsid w:val="00E97762"/>
    <w:pPr>
      <w:ind w:firstLine="0"/>
    </w:pPr>
  </w:style>
  <w:style w:type="paragraph" w:styleId="ListContinue3">
    <w:name w:val="List Continue 3"/>
    <w:basedOn w:val="List3"/>
    <w:rsid w:val="00E97762"/>
    <w:pPr>
      <w:ind w:left="1021" w:firstLine="0"/>
    </w:pPr>
  </w:style>
  <w:style w:type="paragraph" w:styleId="ListContinue4">
    <w:name w:val="List Continue 4"/>
    <w:basedOn w:val="List4"/>
    <w:rsid w:val="00E97762"/>
    <w:pPr>
      <w:ind w:firstLine="0"/>
    </w:pPr>
  </w:style>
  <w:style w:type="paragraph" w:styleId="ListContinue5">
    <w:name w:val="List Continue 5"/>
    <w:basedOn w:val="List5"/>
    <w:rsid w:val="00E97762"/>
    <w:pPr>
      <w:ind w:firstLine="0"/>
    </w:pPr>
  </w:style>
  <w:style w:type="paragraph" w:styleId="ListNumber3">
    <w:name w:val="List Number 3"/>
    <w:basedOn w:val="List3"/>
    <w:rsid w:val="00E97762"/>
    <w:pPr>
      <w:numPr>
        <w:numId w:val="6"/>
      </w:numPr>
    </w:pPr>
  </w:style>
  <w:style w:type="paragraph" w:styleId="ListNumber4">
    <w:name w:val="List Number 4"/>
    <w:basedOn w:val="List4"/>
    <w:rsid w:val="00E97762"/>
    <w:pPr>
      <w:numPr>
        <w:numId w:val="7"/>
      </w:numPr>
    </w:pPr>
  </w:style>
  <w:style w:type="paragraph" w:styleId="ListNumber5">
    <w:name w:val="List Number 5"/>
    <w:basedOn w:val="List5"/>
    <w:rsid w:val="00E97762"/>
    <w:pPr>
      <w:numPr>
        <w:numId w:val="8"/>
      </w:numPr>
    </w:pPr>
  </w:style>
  <w:style w:type="paragraph" w:styleId="BlockText">
    <w:name w:val="Block Text"/>
    <w:basedOn w:val="Normal"/>
    <w:rsid w:val="00E97762"/>
    <w:pPr>
      <w:spacing w:after="120"/>
      <w:ind w:left="1440" w:right="1440"/>
    </w:pPr>
  </w:style>
  <w:style w:type="character" w:customStyle="1" w:styleId="Subscript">
    <w:name w:val="Subscript"/>
    <w:basedOn w:val="DefaultParagraphFont"/>
    <w:rsid w:val="00E97762"/>
    <w:rPr>
      <w:sz w:val="16"/>
      <w:vertAlign w:val="subscript"/>
    </w:rPr>
  </w:style>
  <w:style w:type="character" w:customStyle="1" w:styleId="Superscript">
    <w:name w:val="Superscript"/>
    <w:basedOn w:val="DefaultParagraphFont"/>
    <w:rsid w:val="00E97762"/>
    <w:rPr>
      <w:sz w:val="16"/>
      <w:vertAlign w:val="superscript"/>
    </w:rPr>
  </w:style>
  <w:style w:type="character" w:customStyle="1" w:styleId="Symbols">
    <w:name w:val="Symbols"/>
    <w:basedOn w:val="DefaultParagraphFont"/>
    <w:rsid w:val="00E97762"/>
    <w:rPr>
      <w:rFonts w:ascii="Symbol" w:hAnsi="Symbol"/>
    </w:rPr>
  </w:style>
  <w:style w:type="character" w:customStyle="1" w:styleId="MenuOptions">
    <w:name w:val="Menu Options"/>
    <w:basedOn w:val="DefaultParagraphFont"/>
    <w:rsid w:val="00E97762"/>
    <w:rPr>
      <w:rFonts w:ascii="Arial Narrow" w:hAnsi="Arial Narrow"/>
      <w:smallCaps/>
    </w:rPr>
  </w:style>
  <w:style w:type="character" w:customStyle="1" w:styleId="Buttons">
    <w:name w:val="Buttons"/>
    <w:basedOn w:val="DefaultParagraphFont"/>
    <w:rsid w:val="00E97762"/>
    <w:rPr>
      <w:b/>
    </w:rPr>
  </w:style>
  <w:style w:type="character" w:customStyle="1" w:styleId="Underlined">
    <w:name w:val="Underlined"/>
    <w:basedOn w:val="DefaultParagraphFont"/>
    <w:rsid w:val="00E97762"/>
    <w:rPr>
      <w:u w:val="single"/>
    </w:rPr>
  </w:style>
  <w:style w:type="paragraph" w:customStyle="1" w:styleId="TableBodyTextRight">
    <w:name w:val="Table Body Text Right"/>
    <w:basedOn w:val="TableBodyText"/>
    <w:rsid w:val="00E97762"/>
    <w:pPr>
      <w:widowControl w:val="0"/>
      <w:autoSpaceDE w:val="0"/>
      <w:autoSpaceDN w:val="0"/>
      <w:adjustRightInd w:val="0"/>
      <w:jc w:val="right"/>
    </w:pPr>
    <w:rPr>
      <w:rFonts w:cs="Arial"/>
      <w:szCs w:val="18"/>
    </w:rPr>
  </w:style>
  <w:style w:type="paragraph" w:customStyle="1" w:styleId="CopyrightText">
    <w:name w:val="Copyright Text"/>
    <w:basedOn w:val="BodyText"/>
    <w:rsid w:val="00E97762"/>
    <w:rPr>
      <w:sz w:val="18"/>
    </w:rPr>
  </w:style>
  <w:style w:type="paragraph" w:customStyle="1" w:styleId="BodySmallRight">
    <w:name w:val="Body Small Right"/>
    <w:basedOn w:val="BodyTextRight"/>
    <w:rsid w:val="00E97762"/>
    <w:rPr>
      <w:sz w:val="18"/>
      <w:szCs w:val="18"/>
    </w:rPr>
  </w:style>
  <w:style w:type="paragraph" w:customStyle="1" w:styleId="MarginEdition">
    <w:name w:val="Margin Edition"/>
    <w:basedOn w:val="MarginNote"/>
    <w:rsid w:val="00E97762"/>
    <w:pPr>
      <w:spacing w:before="0" w:after="0"/>
    </w:pPr>
    <w:rPr>
      <w:rFonts w:ascii="Times New Roman" w:hAnsi="Times New Roman"/>
      <w:color w:val="999999"/>
    </w:rPr>
  </w:style>
  <w:style w:type="paragraph" w:customStyle="1" w:styleId="Spacer">
    <w:name w:val="Spacer"/>
    <w:basedOn w:val="Normal"/>
    <w:rsid w:val="00E97762"/>
    <w:rPr>
      <w:sz w:val="2"/>
      <w:szCs w:val="2"/>
    </w:rPr>
  </w:style>
  <w:style w:type="character" w:customStyle="1" w:styleId="Small">
    <w:name w:val="Small"/>
    <w:basedOn w:val="DefaultParagraphFont"/>
    <w:rsid w:val="00E97762"/>
    <w:rPr>
      <w:sz w:val="16"/>
    </w:rPr>
  </w:style>
  <w:style w:type="paragraph" w:customStyle="1" w:styleId="WideTable">
    <w:name w:val="Wide Table"/>
    <w:basedOn w:val="Normal"/>
    <w:rsid w:val="00E97762"/>
    <w:pPr>
      <w:ind w:left="-1418"/>
    </w:pPr>
    <w:rPr>
      <w:sz w:val="2"/>
      <w:szCs w:val="2"/>
    </w:rPr>
  </w:style>
  <w:style w:type="character" w:styleId="PageNumber">
    <w:name w:val="page number"/>
    <w:basedOn w:val="DefaultParagraphFont"/>
    <w:rsid w:val="00E97762"/>
  </w:style>
  <w:style w:type="paragraph" w:styleId="Quote">
    <w:name w:val="Quote"/>
    <w:basedOn w:val="Heading1"/>
    <w:link w:val="QuoteChar"/>
    <w:qFormat/>
    <w:rsid w:val="00E97762"/>
    <w:rPr>
      <w:b w:val="0"/>
      <w:sz w:val="72"/>
      <w:szCs w:val="72"/>
      <w:lang w:val="en-NZ"/>
    </w:rPr>
  </w:style>
  <w:style w:type="character" w:customStyle="1" w:styleId="QuoteChar">
    <w:name w:val="Quote Char"/>
    <w:basedOn w:val="DefaultParagraphFont"/>
    <w:link w:val="Quote"/>
    <w:rsid w:val="00E977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7762"/>
    <w:pPr>
      <w:pageBreakBefore/>
    </w:pPr>
  </w:style>
  <w:style w:type="paragraph" w:customStyle="1" w:styleId="Border">
    <w:name w:val="Border"/>
    <w:basedOn w:val="Normal"/>
    <w:qFormat/>
    <w:rsid w:val="00E977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7762"/>
    <w:rPr>
      <w:b/>
      <w:bCs/>
      <w:i/>
      <w:iCs/>
      <w:color w:val="auto"/>
    </w:rPr>
  </w:style>
  <w:style w:type="paragraph" w:styleId="IntenseQuote">
    <w:name w:val="Intense Quote"/>
    <w:basedOn w:val="Normal"/>
    <w:next w:val="Normal"/>
    <w:link w:val="IntenseQuoteChar"/>
    <w:uiPriority w:val="30"/>
    <w:qFormat/>
    <w:rsid w:val="00E977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77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7762"/>
    <w:rPr>
      <w:smallCaps/>
      <w:color w:val="auto"/>
      <w:u w:val="single"/>
    </w:rPr>
  </w:style>
  <w:style w:type="character" w:styleId="IntenseReference">
    <w:name w:val="Intense Reference"/>
    <w:basedOn w:val="DefaultParagraphFont"/>
    <w:uiPriority w:val="32"/>
    <w:qFormat/>
    <w:rsid w:val="00E97762"/>
    <w:rPr>
      <w:b/>
      <w:bCs/>
      <w:smallCaps/>
      <w:color w:val="auto"/>
      <w:spacing w:val="5"/>
      <w:u w:val="single"/>
    </w:rPr>
  </w:style>
  <w:style w:type="paragraph" w:customStyle="1" w:styleId="2ColumnHeading">
    <w:name w:val="2Column Heading"/>
    <w:basedOn w:val="BodyText"/>
    <w:qFormat/>
    <w:rsid w:val="00E97762"/>
    <w:pPr>
      <w:spacing w:after="60"/>
      <w:ind w:left="-2268"/>
    </w:pPr>
    <w:rPr>
      <w:b/>
    </w:rPr>
  </w:style>
  <w:style w:type="paragraph" w:customStyle="1" w:styleId="Heading1TOC">
    <w:name w:val="Heading1 TOC"/>
    <w:basedOn w:val="Normal"/>
    <w:qFormat/>
    <w:rsid w:val="00E97762"/>
    <w:pPr>
      <w:spacing w:before="240" w:after="120"/>
    </w:pPr>
    <w:rPr>
      <w:rFonts w:ascii="Times New Roman" w:hAnsi="Times New Roman"/>
      <w:b/>
      <w:sz w:val="32"/>
    </w:rPr>
  </w:style>
  <w:style w:type="paragraph" w:customStyle="1" w:styleId="Heading2TOC">
    <w:name w:val="Heading2 TOC"/>
    <w:basedOn w:val="Normal"/>
    <w:qFormat/>
    <w:rsid w:val="00E97762"/>
    <w:pPr>
      <w:spacing w:before="240" w:after="60"/>
    </w:pPr>
    <w:rPr>
      <w:rFonts w:ascii="Times New Roman" w:hAnsi="Times New Roman"/>
      <w:b/>
      <w:sz w:val="28"/>
    </w:rPr>
  </w:style>
  <w:style w:type="character" w:customStyle="1" w:styleId="Underline">
    <w:name w:val="Underline"/>
    <w:basedOn w:val="DefaultParagraphFont"/>
    <w:qFormat/>
    <w:rsid w:val="00E97762"/>
    <w:rPr>
      <w:u w:val="single"/>
    </w:rPr>
  </w:style>
  <w:style w:type="paragraph" w:styleId="BalloonText">
    <w:name w:val="Balloon Text"/>
    <w:basedOn w:val="Normal"/>
    <w:link w:val="BalloonTextChar"/>
    <w:rsid w:val="00E97762"/>
    <w:rPr>
      <w:rFonts w:ascii="Tahoma" w:hAnsi="Tahoma" w:cs="Tahoma"/>
      <w:sz w:val="16"/>
      <w:szCs w:val="16"/>
    </w:rPr>
  </w:style>
  <w:style w:type="character" w:customStyle="1" w:styleId="BalloonTextChar">
    <w:name w:val="Balloon Text Char"/>
    <w:basedOn w:val="DefaultParagraphFont"/>
    <w:link w:val="BalloonText"/>
    <w:rsid w:val="00E977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776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977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7762"/>
    <w:rPr>
      <w:b/>
      <w:color w:val="660033"/>
      <w:spacing w:val="0"/>
    </w:rPr>
  </w:style>
  <w:style w:type="paragraph" w:customStyle="1" w:styleId="Nameditemlist">
    <w:name w:val="Named item list"/>
    <w:basedOn w:val="BodyText"/>
    <w:qFormat/>
    <w:rsid w:val="00E9776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1509</Words>
  <Characters>9660</Characters>
  <Application>Microsoft Office Word</Application>
  <DocSecurity>0</DocSecurity>
  <Lines>382</Lines>
  <Paragraphs>214</Paragraphs>
  <ScaleCrop>false</ScaleCrop>
  <Company>Author-it Software Corporation Ltd.</Company>
  <LinksUpToDate>false</LinksUpToDate>
  <CharactersWithSpaces>11106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ICTCMP2022A Organise and monitor cabling to ensure compliance with regulatory and industry standards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2012-10-05T15:30:00Z</dcterms:created>
  <dcterms:modified xsi:type="dcterms:W3CDTF">2012-10-05T15:30:00Z</dcterms:modified>
</cp:coreProperties>
</file>