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6E41" w:rsidP="00F66E41">
      <w:pPr>
        <w:pStyle w:val="Title"/>
      </w:pPr>
      <w:r>
        <w:fldChar w:fldCharType="begin"/>
      </w:r>
      <w:r>
        <w:instrText xml:space="preserve"> TITLE   \* MERGEFORMAT </w:instrText>
      </w:r>
      <w:r>
        <w:fldChar w:fldCharType="separate"/>
      </w:r>
      <w:r>
        <w:t>ICTCBL3069A Install network cable equipment</w:t>
      </w:r>
      <w:r>
        <w:fldChar w:fldCharType="end"/>
      </w:r>
    </w:p>
    <w:p w:rsidR="00F66E41" w:rsidP="00F66E41">
      <w:pPr>
        <w:pStyle w:val="Version"/>
        <w:sectPr w:rsidSect="00C74C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C51" w:rsidP="00C74C51">
      <w:pPr>
        <w:pStyle w:val="SuperHeading"/>
      </w:pPr>
      <w:r w:rsidRPr="00C74C51">
        <w:t>ICTCBL3069A Install network cable equipment</w:t>
      </w:r>
    </w:p>
    <w:p w:rsidR="00000000" w:rsidRPr="00C74C51" w:rsidP="00C74C51">
      <w:pPr>
        <w:pStyle w:val="Heading1"/>
      </w:pPr>
      <w:bookmarkStart w:id="1" w:name="O_271767"/>
      <w:bookmarkEnd w:id="1"/>
      <w:r w:rsidRPr="00C74C51">
        <w:t>Modification History</w:t>
      </w:r>
    </w:p>
    <w:p w:rsidR="00000000" w:rsidRPr="00C74C51" w:rsidP="00C74C51">
      <w:pPr>
        <w:pStyle w:val="BodyText"/>
      </w:pPr>
      <w:r w:rsidRPr="00C74C51">
        <w:t>Not Applicable</w:t>
      </w:r>
    </w:p>
    <w:p w:rsidR="00000000" w:rsidRPr="00C74C51" w:rsidP="00C74C51">
      <w:pPr>
        <w:pStyle w:val="AllowPageBreak"/>
      </w:pPr>
    </w:p>
    <w:p w:rsidR="00000000" w:rsidRPr="00C74C51" w:rsidP="00C74C51">
      <w:pPr>
        <w:pStyle w:val="Heading1"/>
      </w:pPr>
      <w:bookmarkStart w:id="2" w:name="O_208808"/>
      <w:bookmarkEnd w:id="2"/>
      <w:r w:rsidRPr="00C74C51">
        <w:t>Unit Descriptor</w:t>
      </w:r>
    </w:p>
    <w:tbl>
      <w:tblPr>
        <w:tblW w:w="0" w:type="auto"/>
        <w:tblLayout w:type="fixed"/>
        <w:tblCellMar>
          <w:left w:w="62" w:type="dxa"/>
          <w:right w:w="62" w:type="dxa"/>
        </w:tblCellMar>
        <w:tblLook w:val="0000"/>
      </w:tblPr>
      <w:tblGrid>
        <w:gridCol w:w="2659"/>
        <w:gridCol w:w="5863"/>
      </w:tblGrid>
      <w:tr w:rsidTr="00F66E41">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BodyText"/>
            </w:pPr>
            <w:r w:rsidRPr="00C74C51">
              <w:t xml:space="preserve">This unit describes the performance outcomes, skills and knowledge required to install network </w:t>
            </w:r>
            <w:r w:rsidRPr="00C74C51">
              <w:t>cable equipment in customer premises or service provider Access Networks. This may include communications applications in telephony, broadband, data, video, radio frequency identification (RFID), security and computer networks, including local area network</w:t>
            </w:r>
            <w:r w:rsidRPr="00C74C51">
              <w:t>s (LAN), wide area networks (WAN) and multimedia.</w:t>
            </w:r>
          </w:p>
          <w:p w:rsidR="00000000" w:rsidRPr="00C74C51" w:rsidP="00C74C51">
            <w:pPr>
              <w:pStyle w:val="BodyText"/>
            </w:pPr>
          </w:p>
          <w:p w:rsidR="00000000" w:rsidRPr="00C74C51" w:rsidP="00C74C51">
            <w:pPr>
              <w:pStyle w:val="BodyText"/>
            </w:pPr>
            <w:r w:rsidRPr="00C74C51">
              <w:t>Cable equipment is used for line and signal conditioning and may use optical or electronic technology in optical fibre hubs or hybrid fibre coaxial (HFC) housings.</w:t>
            </w:r>
          </w:p>
          <w:p w:rsidR="00000000" w:rsidRPr="00C74C51" w:rsidP="00C74C51">
            <w:pPr>
              <w:pStyle w:val="BodyText"/>
            </w:pPr>
          </w:p>
          <w:p w:rsidR="00000000" w:rsidRPr="00C74C51" w:rsidP="00C74C51">
            <w:pPr>
              <w:pStyle w:val="BodyText"/>
            </w:pPr>
            <w:r w:rsidRPr="00C74C51">
              <w:t>Licensing, legislative, regulatory and certification requirements apply to working at heights. If an elevated work platform (EWP) is required, verify state or territory law requirements for a licence to operate an EWP. Users should confirm requirements wit</w:t>
            </w:r>
            <w:r w:rsidRPr="00C74C51">
              <w:t>h the relevant federal, state or territory authority.</w:t>
            </w:r>
          </w:p>
          <w:p w:rsidR="00000000" w:rsidRPr="00C74C51" w:rsidP="00C74C51">
            <w:pPr>
              <w:pStyle w:val="BodyText"/>
            </w:pPr>
          </w:p>
          <w:p w:rsidR="00000000" w:rsidRPr="00C74C51" w:rsidP="00C74C51">
            <w:pPr>
              <w:pStyle w:val="BodyText"/>
            </w:pPr>
            <w:r w:rsidRPr="00C74C51">
              <w:t>If working at heights, achievement of the unit 'CPCPCM2015A Work safely on roofs' from the CPC08 Construction and Plumbing Services Integrated framework training Package fulfils this requirement.</w:t>
            </w:r>
          </w:p>
        </w:tc>
      </w:tr>
    </w:tbl>
    <w:p w:rsidR="00F66E41" w:rsidP="00C74C51">
      <w:pPr>
        <w:pStyle w:val="BodyText"/>
      </w:pPr>
    </w:p>
    <w:p w:rsidR="00F66E41" w:rsidP="00C74C51">
      <w:pPr>
        <w:pStyle w:val="BodyText"/>
      </w:pPr>
    </w:p>
    <w:p w:rsidR="00000000" w:rsidRPr="00C74C51" w:rsidP="00C74C51">
      <w:pPr>
        <w:pStyle w:val="Heading1"/>
      </w:pPr>
      <w:bookmarkStart w:id="3" w:name="O_208812"/>
      <w:bookmarkEnd w:id="3"/>
      <w:r w:rsidRPr="00C74C51">
        <w:t>Application of the Unit</w:t>
      </w:r>
    </w:p>
    <w:tbl>
      <w:tblPr>
        <w:tblW w:w="0" w:type="auto"/>
        <w:tblLayout w:type="fixed"/>
        <w:tblCellMar>
          <w:left w:w="62" w:type="dxa"/>
          <w:right w:w="62" w:type="dxa"/>
        </w:tblCellMar>
        <w:tblLook w:val="0000"/>
      </w:tblPr>
      <w:tblGrid>
        <w:gridCol w:w="2748"/>
        <w:gridCol w:w="5774"/>
      </w:tblGrid>
      <w:tr w:rsidTr="00F66E41">
        <w:tblPrEx>
          <w:tblW w:w="0" w:type="auto"/>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BodyText"/>
            </w:pPr>
            <w:r w:rsidRPr="00C74C51">
              <w:t>Technicians and lineman installers who install network cable equipment within the broadband infrastructure deployment apply the skills and knowledge in this unit.</w:t>
            </w:r>
          </w:p>
          <w:p w:rsidR="00000000" w:rsidRPr="00C74C51" w:rsidP="00C74C51">
            <w:pPr>
              <w:pStyle w:val="BodyText"/>
            </w:pPr>
          </w:p>
          <w:p w:rsidR="00000000" w:rsidRPr="00C74C51" w:rsidP="00C74C51">
            <w:pPr>
              <w:pStyle w:val="BodyText"/>
            </w:pPr>
            <w:r w:rsidRPr="00C74C51">
              <w:t>They may upgrade coaxial or o</w:t>
            </w:r>
            <w:r w:rsidRPr="00C74C51">
              <w:t>ptical fibre cables as part of an HFC network, a broadband access network or a large customer private network.</w:t>
            </w:r>
          </w:p>
          <w:p w:rsidR="00000000" w:rsidRPr="00C74C51" w:rsidP="00C74C51">
            <w:pPr>
              <w:pStyle w:val="BodyText"/>
            </w:pPr>
          </w:p>
          <w:p w:rsidR="00000000" w:rsidRPr="00C74C51" w:rsidP="00C74C51">
            <w:pPr>
              <w:pStyle w:val="BodyText"/>
            </w:pPr>
            <w:r w:rsidRPr="00C74C51">
              <w:t>Cabling equipment can be for indoor and outdoor installations within a customer premises or a service provider access network and may be a domes</w:t>
            </w:r>
            <w:r w:rsidRPr="00C74C51">
              <w:t xml:space="preserve">tic, </w:t>
            </w:r>
            <w:r w:rsidRPr="00C74C51">
              <w:t>commercial or industrial installation.</w:t>
            </w:r>
          </w:p>
        </w:tc>
      </w:tr>
    </w:tbl>
    <w:p w:rsidR="00F66E41" w:rsidP="00C74C51">
      <w:pPr>
        <w:pStyle w:val="BodyText"/>
      </w:pPr>
    </w:p>
    <w:p w:rsidR="00F66E41" w:rsidP="00C74C51">
      <w:pPr>
        <w:pStyle w:val="BodyText"/>
      </w:pPr>
    </w:p>
    <w:p w:rsidR="00000000" w:rsidRPr="00C74C51" w:rsidP="00C74C51">
      <w:pPr>
        <w:pStyle w:val="Heading1"/>
      </w:pPr>
      <w:bookmarkStart w:id="4" w:name="O_280027"/>
      <w:bookmarkEnd w:id="4"/>
      <w:r w:rsidRPr="00C74C51">
        <w:t>Licensing/Regulatory Information</w:t>
      </w:r>
    </w:p>
    <w:p w:rsidR="00000000" w:rsidRPr="00C74C51" w:rsidP="00C74C51">
      <w:pPr>
        <w:pStyle w:val="BodyText"/>
      </w:pPr>
      <w:r w:rsidRPr="00C74C51">
        <w:t>Refer to Unit Descriptor</w:t>
      </w:r>
    </w:p>
    <w:p w:rsidR="00000000" w:rsidRPr="00C74C51" w:rsidP="00C74C51">
      <w:pPr>
        <w:pStyle w:val="AllowPageBreak"/>
      </w:pPr>
    </w:p>
    <w:p w:rsidR="00000000" w:rsidRPr="00C74C51" w:rsidP="00C74C51">
      <w:pPr>
        <w:pStyle w:val="Heading1"/>
      </w:pPr>
      <w:bookmarkStart w:id="5" w:name="O_208810"/>
      <w:bookmarkEnd w:id="5"/>
      <w:r w:rsidRPr="00C74C51">
        <w:t>Pre-Requisites</w:t>
      </w:r>
    </w:p>
    <w:tbl>
      <w:tblPr>
        <w:tblW w:w="0" w:type="auto"/>
        <w:tblLayout w:type="fixed"/>
        <w:tblCellMar>
          <w:left w:w="62" w:type="dxa"/>
          <w:right w:w="62" w:type="dxa"/>
        </w:tblCellMar>
        <w:tblLook w:val="0000"/>
      </w:tblPr>
      <w:tblGrid>
        <w:gridCol w:w="2775"/>
        <w:gridCol w:w="1295"/>
        <w:gridCol w:w="4452"/>
      </w:tblGrid>
      <w:tr w:rsidTr="00F66E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p>
        </w:tc>
      </w:tr>
      <w:tr w:rsidTr="00F66E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p>
        </w:tc>
      </w:tr>
      <w:tr w:rsidTr="00F66E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BodyText"/>
            </w:pPr>
          </w:p>
        </w:tc>
      </w:tr>
    </w:tbl>
    <w:p w:rsidR="00F66E41" w:rsidP="00C74C51">
      <w:pPr>
        <w:pStyle w:val="BodyText"/>
      </w:pPr>
    </w:p>
    <w:p w:rsidR="00F66E41" w:rsidP="00C74C51">
      <w:pPr>
        <w:pStyle w:val="BodyText"/>
      </w:pPr>
    </w:p>
    <w:p w:rsidR="00000000" w:rsidRPr="00C74C51" w:rsidP="00C74C51">
      <w:pPr>
        <w:pStyle w:val="Heading1"/>
      </w:pPr>
      <w:bookmarkStart w:id="6" w:name="O_208809"/>
      <w:bookmarkEnd w:id="6"/>
      <w:r w:rsidRPr="00C74C51">
        <w:t>Employability Skills Information</w:t>
      </w:r>
    </w:p>
    <w:tbl>
      <w:tblPr>
        <w:tblW w:w="0" w:type="auto"/>
        <w:tblLayout w:type="fixed"/>
        <w:tblCellMar>
          <w:left w:w="62" w:type="dxa"/>
          <w:right w:w="62" w:type="dxa"/>
        </w:tblCellMar>
        <w:tblLook w:val="0000"/>
      </w:tblPr>
      <w:tblGrid>
        <w:gridCol w:w="2802"/>
        <w:gridCol w:w="5720"/>
      </w:tblGrid>
      <w:tr w:rsidTr="00F66E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BodyText"/>
            </w:pPr>
            <w:r w:rsidRPr="00C74C51">
              <w:t>This unit contains employability skills.</w:t>
            </w:r>
          </w:p>
        </w:tc>
      </w:tr>
    </w:tbl>
    <w:p w:rsidR="00F66E41" w:rsidP="00C74C51">
      <w:pPr>
        <w:pStyle w:val="BodyText"/>
      </w:pPr>
    </w:p>
    <w:p w:rsidR="00F66E41" w:rsidP="00C74C51">
      <w:pPr>
        <w:pStyle w:val="BodyText"/>
      </w:pPr>
    </w:p>
    <w:p w:rsidR="00000000" w:rsidRPr="00C74C51" w:rsidP="00C74C51">
      <w:pPr>
        <w:pStyle w:val="Heading1"/>
      </w:pPr>
      <w:bookmarkStart w:id="7" w:name="O_289813"/>
      <w:bookmarkEnd w:id="7"/>
      <w:r w:rsidRPr="00C74C51">
        <w:t>Elements and Performance Criteria Pre-Content</w:t>
      </w:r>
    </w:p>
    <w:tbl>
      <w:tblPr>
        <w:tblW w:w="0" w:type="auto"/>
        <w:tblLayout w:type="fixed"/>
        <w:tblCellMar>
          <w:left w:w="62" w:type="dxa"/>
          <w:right w:w="62" w:type="dxa"/>
        </w:tblCellMar>
        <w:tblLook w:val="0000"/>
      </w:tblPr>
      <w:tblGrid>
        <w:gridCol w:w="2588"/>
        <w:gridCol w:w="5934"/>
      </w:tblGrid>
      <w:tr w:rsidTr="00F66E4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t>Elements describe the essential outcomes of a unit of competency.</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BodyText"/>
            </w:pPr>
            <w:r w:rsidRPr="00C74C51">
              <w:t>Performance criteria describe the performance needed to demonstrate achievement of the element. Where bold italicised text is used, further information is detailed in the required skills and knowledge section and the range statement. Assessment of performa</w:t>
            </w:r>
            <w:r w:rsidRPr="00C74C51">
              <w:t>nce is to be consistent with the evidence guide.</w:t>
            </w:r>
          </w:p>
        </w:tc>
      </w:tr>
    </w:tbl>
    <w:p w:rsidR="00000000" w:rsidRPr="00C74C51" w:rsidP="00C74C51">
      <w:pPr>
        <w:pStyle w:val="BodyText"/>
      </w:pPr>
    </w:p>
    <w:p w:rsidR="00000000" w:rsidRPr="00C74C51" w:rsidP="00C74C51">
      <w:pPr>
        <w:pStyle w:val="AllowPageBreak"/>
      </w:pPr>
    </w:p>
    <w:p w:rsidR="00000000" w:rsidRPr="00C74C51" w:rsidP="00C74C51">
      <w:pPr>
        <w:pStyle w:val="Heading1"/>
      </w:pPr>
      <w:bookmarkStart w:id="8" w:name="O_236480"/>
      <w:bookmarkEnd w:id="8"/>
      <w:r w:rsidRPr="00C74C51">
        <w:t>Elements and Performance Criteria</w:t>
      </w:r>
    </w:p>
    <w:tbl>
      <w:tblPr>
        <w:tblW w:w="0" w:type="auto"/>
        <w:tblLayout w:type="fixed"/>
        <w:tblCellMar>
          <w:left w:w="62" w:type="dxa"/>
          <w:right w:w="62" w:type="dxa"/>
        </w:tblCellMar>
        <w:tblLook w:val="0000"/>
      </w:tblPr>
      <w:tblGrid>
        <w:gridCol w:w="2588"/>
        <w:gridCol w:w="5934"/>
      </w:tblGrid>
      <w:tr w:rsidTr="00F66E41">
        <w:tblPrEx>
          <w:tblW w:w="0" w:type="auto"/>
          <w:tblLayout w:type="fixed"/>
          <w:tblCellMar>
            <w:left w:w="62" w:type="dxa"/>
            <w:right w:w="62" w:type="dxa"/>
          </w:tblCellMar>
          <w:tblLook w:val="0000"/>
        </w:tblPrEx>
        <w:trPr>
          <w:tblHeader/>
        </w:trPr>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BodyText"/>
            </w:pPr>
            <w:r w:rsidRPr="00C74C51">
              <w:rPr>
                <w:rStyle w:val="SpecialBold"/>
              </w:rPr>
              <w:t>ELEMENT</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PERFORMANCE CRITERIA</w:t>
            </w:r>
          </w:p>
        </w:tc>
      </w:tr>
      <w:tr w:rsidTr="00F66E4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List"/>
              <w:rPr>
                <w:lang w:val="en-NZ"/>
              </w:rPr>
            </w:pPr>
            <w:r w:rsidRPr="00C74C51">
              <w:t>1.</w:t>
            </w:r>
            <w:r w:rsidRPr="00C74C51">
              <w:tab/>
              <w:t>Prepare for installation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2"/>
            </w:pPr>
            <w:r w:rsidRPr="00C74C51">
              <w:t>1.1.</w:t>
            </w:r>
            <w:r w:rsidRPr="00C74C51">
              <w:tab/>
              <w:t xml:space="preserve">Obtain </w:t>
            </w:r>
            <w:r w:rsidRPr="00C74C51">
              <w:rPr>
                <w:rStyle w:val="BoldandItalics"/>
              </w:rPr>
              <w:t>relevant legislation</w:t>
            </w:r>
            <w:r w:rsidRPr="00C74C51">
              <w:t xml:space="preserve">, </w:t>
            </w:r>
            <w:r w:rsidRPr="00C74C51">
              <w:rPr>
                <w:rStyle w:val="BoldandItalics"/>
              </w:rPr>
              <w:t>codes</w:t>
            </w:r>
            <w:r w:rsidRPr="00C74C51">
              <w:t xml:space="preserve">, </w:t>
            </w:r>
            <w:r w:rsidRPr="00C74C51">
              <w:rPr>
                <w:rStyle w:val="BoldandItalics"/>
              </w:rPr>
              <w:t>regulations and standards</w:t>
            </w:r>
            <w:r w:rsidRPr="00C74C51">
              <w:t xml:space="preserve"> for the given work</w:t>
            </w:r>
          </w:p>
          <w:p w:rsidR="00000000" w:rsidRPr="00C74C51" w:rsidP="00C74C51">
            <w:pPr>
              <w:pStyle w:val="List2"/>
            </w:pPr>
            <w:r w:rsidRPr="00C74C51">
              <w:t>1.2.</w:t>
            </w:r>
            <w:r w:rsidRPr="00C74C51">
              <w:tab/>
            </w:r>
            <w:r w:rsidRPr="00C74C51">
              <w:t xml:space="preserve">Scope the work by obtaining project plan from </w:t>
            </w:r>
            <w:r w:rsidRPr="00C74C51">
              <w:rPr>
                <w:rStyle w:val="BoldandItalics"/>
              </w:rPr>
              <w:t>appropriate personnel</w:t>
            </w:r>
            <w:r w:rsidRPr="00C74C51">
              <w:t xml:space="preserve"> and arrange for site access to comply with security arrangements</w:t>
            </w:r>
          </w:p>
          <w:p w:rsidR="00000000" w:rsidRPr="00C74C51" w:rsidP="00C74C51">
            <w:pPr>
              <w:pStyle w:val="List2"/>
            </w:pPr>
            <w:r w:rsidRPr="00C74C51">
              <w:t>1.3.</w:t>
            </w:r>
            <w:r w:rsidRPr="00C74C51">
              <w:tab/>
              <w:t xml:space="preserve">Notify appropriate personnel of identified </w:t>
            </w:r>
            <w:r w:rsidRPr="00C74C51">
              <w:rPr>
                <w:rStyle w:val="BoldandItalics"/>
              </w:rPr>
              <w:t>safety hazards</w:t>
            </w:r>
            <w:r w:rsidRPr="00C74C51">
              <w:t xml:space="preserve"> at the worksite</w:t>
            </w:r>
          </w:p>
          <w:p w:rsidR="00000000" w:rsidRPr="00C74C51" w:rsidP="00C74C51">
            <w:pPr>
              <w:pStyle w:val="List2"/>
            </w:pPr>
            <w:r w:rsidRPr="00C74C51">
              <w:t>1.4.</w:t>
            </w:r>
            <w:r w:rsidRPr="00C74C51">
              <w:tab/>
              <w:t xml:space="preserve">Determine cable route and type of </w:t>
            </w:r>
            <w:r w:rsidRPr="00C74C51">
              <w:rPr>
                <w:rStyle w:val="BoldandItalics"/>
              </w:rPr>
              <w:t>netwo</w:t>
            </w:r>
            <w:r w:rsidRPr="00C74C51">
              <w:rPr>
                <w:rStyle w:val="BoldandItalics"/>
              </w:rPr>
              <w:t>rk cable equipment</w:t>
            </w:r>
            <w:r w:rsidRPr="00C74C51">
              <w:t xml:space="preserve"> from project plan and identify and avoid </w:t>
            </w:r>
            <w:r w:rsidRPr="00C74C51">
              <w:rPr>
                <w:rStyle w:val="BoldandItalics"/>
              </w:rPr>
              <w:t>other services</w:t>
            </w:r>
            <w:r w:rsidRPr="00C74C51">
              <w:t xml:space="preserve"> </w:t>
            </w:r>
          </w:p>
          <w:p w:rsidR="00000000" w:rsidRPr="00C74C51" w:rsidP="00C74C51">
            <w:pPr>
              <w:pStyle w:val="List2"/>
            </w:pPr>
            <w:r w:rsidRPr="00C74C51">
              <w:t>1.5.</w:t>
            </w:r>
            <w:r w:rsidRPr="00C74C51">
              <w:tab/>
              <w:t xml:space="preserve">Obtain </w:t>
            </w:r>
            <w:r w:rsidRPr="00C74C51">
              <w:rPr>
                <w:rStyle w:val="BoldandItalics"/>
              </w:rPr>
              <w:t>plant</w:t>
            </w:r>
            <w:r w:rsidRPr="00C74C51">
              <w:t xml:space="preserve">, </w:t>
            </w:r>
            <w:r w:rsidRPr="00C74C51">
              <w:rPr>
                <w:rStyle w:val="BoldandItalics"/>
              </w:rPr>
              <w:t>tools and safety equipment</w:t>
            </w:r>
            <w:r w:rsidRPr="00C74C51">
              <w:t xml:space="preserve"> and material to perform tasks safely and efficiently</w:t>
            </w:r>
          </w:p>
          <w:p w:rsidR="00000000" w:rsidRPr="00C74C51" w:rsidP="00C74C51">
            <w:pPr>
              <w:pStyle w:val="List2"/>
            </w:pPr>
            <w:r w:rsidRPr="00C74C51">
              <w:t>1.6.</w:t>
            </w:r>
            <w:r w:rsidRPr="00C74C51">
              <w:tab/>
              <w:t>Evaluate nature of job and infrastructure hierarchy from plan and obtain app</w:t>
            </w:r>
            <w:r w:rsidRPr="00C74C51">
              <w:t xml:space="preserve">roval from customer on key features of installation to meet </w:t>
            </w:r>
            <w:r w:rsidRPr="00C74C51">
              <w:rPr>
                <w:rStyle w:val="BoldandItalics"/>
              </w:rPr>
              <w:t>customer requirements</w:t>
            </w:r>
          </w:p>
          <w:p w:rsidR="00000000" w:rsidRPr="00C74C51" w:rsidP="00C74C51">
            <w:pPr>
              <w:pStyle w:val="List2"/>
            </w:pPr>
            <w:r w:rsidRPr="00C74C51">
              <w:t>1.7.</w:t>
            </w:r>
            <w:r w:rsidRPr="00C74C51">
              <w:tab/>
              <w:t xml:space="preserve">Coordinate </w:t>
            </w:r>
            <w:r w:rsidRPr="00C74C51">
              <w:rPr>
                <w:rStyle w:val="BoldandItalics"/>
              </w:rPr>
              <w:t>other parties</w:t>
            </w:r>
            <w:r w:rsidRPr="00C74C51">
              <w:t xml:space="preserve"> to minimise disruption to services and down time </w:t>
            </w:r>
          </w:p>
          <w:p w:rsidR="00000000" w:rsidP="00C74C51">
            <w:pPr>
              <w:pStyle w:val="List2"/>
              <w:rPr>
                <w:lang w:val="en-NZ"/>
              </w:rPr>
            </w:pPr>
            <w:r w:rsidRPr="00C74C51">
              <w:t>1.8.</w:t>
            </w:r>
            <w:r w:rsidRPr="00C74C51">
              <w:tab/>
              <w:t>Segregate incoming and outgoing cables to facilitate access and avoid overlaying and back</w:t>
            </w:r>
            <w:r w:rsidRPr="00C74C51">
              <w:t>tracking of cable</w:t>
            </w:r>
          </w:p>
        </w:tc>
      </w:tr>
      <w:tr w:rsidTr="00F66E4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List"/>
              <w:rPr>
                <w:lang w:val="en-NZ"/>
              </w:rPr>
            </w:pPr>
            <w:r w:rsidRPr="00C74C51">
              <w:t>2.</w:t>
            </w:r>
            <w:r w:rsidRPr="00C74C51">
              <w:tab/>
              <w:t>Install required cable and equipment support structure</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2"/>
            </w:pPr>
            <w:r w:rsidRPr="00C74C51">
              <w:t>2.1.</w:t>
            </w:r>
            <w:r w:rsidRPr="00C74C51">
              <w:tab/>
              <w:t>Evaluate existing equipment support structure and develop a plan for additional support structure provisioning</w:t>
            </w:r>
          </w:p>
          <w:p w:rsidR="00000000" w:rsidRPr="00C74C51" w:rsidP="00C74C51">
            <w:pPr>
              <w:pStyle w:val="List2"/>
            </w:pPr>
            <w:r w:rsidRPr="00C74C51">
              <w:t>2.2.</w:t>
            </w:r>
            <w:r w:rsidRPr="00C74C51">
              <w:tab/>
              <w:t>Install additional cable support, equipment support struct</w:t>
            </w:r>
            <w:r w:rsidRPr="00C74C51">
              <w:t>ure and cable runs according to manufacturer's specifications, industry practice and occupational health and safety (</w:t>
            </w:r>
            <w:r w:rsidRPr="00C74C51">
              <w:rPr>
                <w:rStyle w:val="BoldandItalics"/>
              </w:rPr>
              <w:t>OHS</w:t>
            </w:r>
            <w:r w:rsidRPr="00C74C51">
              <w:t xml:space="preserve">) </w:t>
            </w:r>
            <w:r w:rsidRPr="00C74C51">
              <w:rPr>
                <w:rStyle w:val="BoldandItalics"/>
              </w:rPr>
              <w:t>and environmental requirements</w:t>
            </w:r>
          </w:p>
          <w:p w:rsidR="00000000" w:rsidRPr="00C74C51" w:rsidP="00C74C51">
            <w:pPr>
              <w:pStyle w:val="List2"/>
            </w:pPr>
            <w:r w:rsidRPr="00C74C51">
              <w:t>2.3.</w:t>
            </w:r>
            <w:r w:rsidRPr="00C74C51">
              <w:tab/>
              <w:t xml:space="preserve">Determine cable route between </w:t>
            </w:r>
            <w:r w:rsidRPr="00C74C51">
              <w:rPr>
                <w:rStyle w:val="BoldandItalics"/>
              </w:rPr>
              <w:t>rack</w:t>
            </w:r>
            <w:r w:rsidRPr="00C74C51">
              <w:t xml:space="preserve"> and sub-rack and cable termination point to comply with custome</w:t>
            </w:r>
            <w:r w:rsidRPr="00C74C51">
              <w:t>r requirements, site limitations, equipment specifications and regulations</w:t>
            </w:r>
          </w:p>
          <w:p w:rsidR="00000000" w:rsidRPr="00C74C51" w:rsidP="00C74C51">
            <w:pPr>
              <w:pStyle w:val="List2"/>
            </w:pPr>
            <w:r w:rsidRPr="00C74C51">
              <w:t>2.4.</w:t>
            </w:r>
            <w:r w:rsidRPr="00C74C51">
              <w:tab/>
              <w:t xml:space="preserve">Install </w:t>
            </w:r>
            <w:r w:rsidRPr="00C74C51">
              <w:rPr>
                <w:rStyle w:val="BoldandItalics"/>
              </w:rPr>
              <w:t>cabling infrastructure</w:t>
            </w:r>
            <w:r w:rsidRPr="00C74C51">
              <w:t xml:space="preserve"> to interface rack and subrack according to installation instructions</w:t>
            </w:r>
          </w:p>
          <w:p w:rsidR="00000000" w:rsidP="00C74C51">
            <w:pPr>
              <w:pStyle w:val="List2"/>
              <w:rPr>
                <w:lang w:val="en-NZ"/>
              </w:rPr>
            </w:pPr>
            <w:r w:rsidRPr="00C74C51">
              <w:t>2.5.</w:t>
            </w:r>
            <w:r w:rsidRPr="00C74C51">
              <w:tab/>
              <w:t xml:space="preserve">Complete </w:t>
            </w:r>
            <w:r w:rsidRPr="00C74C51">
              <w:rPr>
                <w:rStyle w:val="BoldandItalics"/>
              </w:rPr>
              <w:t>cabling requirements</w:t>
            </w:r>
            <w:r w:rsidRPr="00C74C51">
              <w:t xml:space="preserve"> to support installation of equipment</w:t>
            </w:r>
          </w:p>
        </w:tc>
      </w:tr>
      <w:tr w:rsidTr="00F66E4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List"/>
              <w:rPr>
                <w:lang w:val="en-NZ"/>
              </w:rPr>
            </w:pPr>
            <w:r w:rsidRPr="00C74C51">
              <w:t>3.</w:t>
            </w:r>
            <w:r w:rsidRPr="00C74C51">
              <w:tab/>
            </w:r>
            <w:r w:rsidRPr="00C74C51">
              <w:t>Install equipment and earthing protection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2"/>
            </w:pPr>
            <w:r w:rsidRPr="00C74C51">
              <w:t>3.1.</w:t>
            </w:r>
            <w:r w:rsidRPr="00C74C51">
              <w:tab/>
              <w:t>Install lightning protection equipment where required, according to manufacturer's specifications and industry practice</w:t>
            </w:r>
          </w:p>
          <w:p w:rsidR="00000000" w:rsidRPr="00C74C51" w:rsidP="00C74C51">
            <w:pPr>
              <w:pStyle w:val="List2"/>
            </w:pPr>
            <w:r w:rsidRPr="00C74C51">
              <w:t>3.2.</w:t>
            </w:r>
            <w:r w:rsidRPr="00C74C51">
              <w:tab/>
              <w:t xml:space="preserve">Install </w:t>
            </w:r>
            <w:r w:rsidRPr="00C74C51">
              <w:rPr>
                <w:rStyle w:val="BoldandItalics"/>
              </w:rPr>
              <w:t>earthing protection</w:t>
            </w:r>
            <w:r w:rsidRPr="00C74C51">
              <w:t xml:space="preserve"> and line conditioning </w:t>
            </w:r>
            <w:r w:rsidRPr="00C74C51">
              <w:t>where required, according to relev</w:t>
            </w:r>
            <w:r w:rsidRPr="00C74C51">
              <w:t>ant Australian Communications and Media Authority (ACMA), local power company and industry practice</w:t>
            </w:r>
          </w:p>
          <w:p w:rsidR="00000000" w:rsidP="00C74C51">
            <w:pPr>
              <w:pStyle w:val="List2"/>
              <w:rPr>
                <w:lang w:val="en-NZ"/>
              </w:rPr>
            </w:pPr>
            <w:r w:rsidRPr="00C74C51">
              <w:t>3.3.</w:t>
            </w:r>
            <w:r w:rsidRPr="00C74C51">
              <w:tab/>
              <w:t xml:space="preserve">Install equipment component into rack and sub-rack and complete </w:t>
            </w:r>
            <w:r w:rsidRPr="00C74C51">
              <w:rPr>
                <w:rStyle w:val="BoldandItalics"/>
              </w:rPr>
              <w:t>connections</w:t>
            </w:r>
            <w:r w:rsidRPr="00C74C51">
              <w:t xml:space="preserve"> according to manufacturer's specifications and compliance with warranty req</w:t>
            </w:r>
            <w:r w:rsidRPr="00C74C51">
              <w:t>uirements</w:t>
            </w:r>
          </w:p>
        </w:tc>
      </w:tr>
      <w:tr w:rsidTr="00F66E4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List"/>
              <w:rPr>
                <w:lang w:val="en-NZ"/>
              </w:rPr>
            </w:pPr>
            <w:r w:rsidRPr="00C74C51">
              <w:t>4.</w:t>
            </w:r>
            <w:r w:rsidRPr="00C74C51">
              <w:tab/>
              <w:t>Perform tests</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2"/>
            </w:pPr>
            <w:r w:rsidRPr="00C74C51">
              <w:t>4.1.</w:t>
            </w:r>
            <w:r w:rsidRPr="00C74C51">
              <w:tab/>
              <w:t xml:space="preserve">Power-on test individual equipment items </w:t>
            </w:r>
          </w:p>
          <w:p w:rsidR="00000000" w:rsidRPr="00C74C51" w:rsidP="00C74C51">
            <w:pPr>
              <w:pStyle w:val="List2"/>
            </w:pPr>
            <w:r w:rsidRPr="00C74C51">
              <w:t>4.2.</w:t>
            </w:r>
            <w:r w:rsidRPr="00C74C51">
              <w:tab/>
              <w:t>Visually check that all connections and interconnections are firm and sound</w:t>
            </w:r>
          </w:p>
          <w:p w:rsidR="00000000" w:rsidP="00C74C51">
            <w:pPr>
              <w:pStyle w:val="List2"/>
              <w:rPr>
                <w:lang w:val="en-NZ"/>
              </w:rPr>
            </w:pPr>
            <w:r w:rsidRPr="00C74C51">
              <w:t>4.3.</w:t>
            </w:r>
            <w:r w:rsidRPr="00C74C51">
              <w:tab/>
              <w:t xml:space="preserve">Electrically test all terminations for continuity according to enterprise guidelines </w:t>
            </w:r>
          </w:p>
        </w:tc>
      </w:tr>
      <w:tr w:rsidTr="00F66E41">
        <w:tblPrEx>
          <w:tblW w:w="0" w:type="auto"/>
          <w:tblLayout w:type="fixed"/>
          <w:tblCellMar>
            <w:left w:w="62" w:type="dxa"/>
            <w:right w:w="62" w:type="dxa"/>
          </w:tblCellMar>
          <w:tblLook w:val="0000"/>
        </w:tblPrEx>
        <w:tc>
          <w:tcPr>
            <w:tcW w:w="2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List"/>
              <w:rPr>
                <w:lang w:val="en-NZ"/>
              </w:rPr>
            </w:pPr>
            <w:r w:rsidRPr="00C74C51">
              <w:t>5.</w:t>
            </w:r>
            <w:r w:rsidRPr="00C74C51">
              <w:tab/>
            </w:r>
            <w:r w:rsidRPr="00C74C51">
              <w:t>Complete project documentation</w:t>
            </w:r>
          </w:p>
        </w:tc>
        <w:tc>
          <w:tcPr>
            <w:tcW w:w="59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2"/>
            </w:pPr>
            <w:r w:rsidRPr="00C74C51">
              <w:t>5.1.</w:t>
            </w:r>
            <w:r w:rsidRPr="00C74C51">
              <w:tab/>
              <w:t>Install labels to new equipment and radiation warning signs, where required, according to enterprise guidelines practice</w:t>
            </w:r>
          </w:p>
          <w:p w:rsidR="00000000" w:rsidRPr="00C74C51" w:rsidP="00C74C51">
            <w:pPr>
              <w:pStyle w:val="List2"/>
            </w:pPr>
            <w:r w:rsidRPr="00C74C51">
              <w:t>5.2.</w:t>
            </w:r>
            <w:r w:rsidRPr="00C74C51">
              <w:tab/>
              <w:t>Record test results for future reference, complete reports on equipment installation and amend</w:t>
            </w:r>
            <w:r w:rsidRPr="00C74C51">
              <w:t xml:space="preserve"> design to reflect existing cable layout and equipment according to enterprise requirements</w:t>
            </w:r>
          </w:p>
          <w:p w:rsidR="00000000" w:rsidRPr="00C74C51" w:rsidP="00C74C51">
            <w:pPr>
              <w:pStyle w:val="List2"/>
            </w:pPr>
            <w:r w:rsidRPr="00C74C51">
              <w:t>5.3.</w:t>
            </w:r>
            <w:r w:rsidRPr="00C74C51">
              <w:tab/>
              <w:t>Recover obsolete materials and return to appropriate point for disposal</w:t>
            </w:r>
          </w:p>
          <w:p w:rsidR="00000000" w:rsidRPr="00C74C51" w:rsidP="00C74C51">
            <w:pPr>
              <w:pStyle w:val="List2"/>
            </w:pPr>
            <w:r w:rsidRPr="00C74C51">
              <w:t>5.4.</w:t>
            </w:r>
            <w:r w:rsidRPr="00C74C51">
              <w:tab/>
              <w:t>Restore site according to the requirements of enterprise or approving authority an</w:t>
            </w:r>
            <w:r w:rsidRPr="00C74C51">
              <w:t>d to customer satisfaction</w:t>
            </w:r>
          </w:p>
          <w:p w:rsidR="00000000" w:rsidRPr="00C74C51" w:rsidP="00C74C51">
            <w:pPr>
              <w:pStyle w:val="List2"/>
            </w:pPr>
            <w:r w:rsidRPr="00C74C51">
              <w:t>5.5.</w:t>
            </w:r>
            <w:r w:rsidRPr="00C74C51">
              <w:tab/>
              <w:t>Notify appropriate personnel of job completion and obtain sign off</w:t>
            </w:r>
          </w:p>
        </w:tc>
      </w:tr>
    </w:tbl>
    <w:p w:rsidR="00F66E41" w:rsidP="00C74C51">
      <w:pPr>
        <w:pStyle w:val="BodyText"/>
      </w:pPr>
    </w:p>
    <w:p w:rsidR="00F66E41" w:rsidP="00C74C51">
      <w:pPr>
        <w:pStyle w:val="BodyText"/>
      </w:pPr>
    </w:p>
    <w:p w:rsidR="00000000" w:rsidRPr="00C74C51" w:rsidP="00C74C51">
      <w:pPr>
        <w:pStyle w:val="Heading1"/>
      </w:pPr>
      <w:bookmarkStart w:id="9" w:name="O_260430"/>
      <w:bookmarkEnd w:id="9"/>
      <w:r w:rsidRPr="00C74C51">
        <w:t>Required Skills and Knowledge</w:t>
      </w:r>
    </w:p>
    <w:tbl>
      <w:tblPr>
        <w:tblW w:w="0" w:type="auto"/>
        <w:tblLayout w:type="fixed"/>
        <w:tblCellMar>
          <w:left w:w="62" w:type="dxa"/>
          <w:right w:w="62" w:type="dxa"/>
        </w:tblCellMar>
        <w:tblLook w:val="0000"/>
      </w:tblPr>
      <w:tblGrid>
        <w:gridCol w:w="8522"/>
      </w:tblGrid>
      <w:tr w:rsidTr="00F66E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REQUIRED SKILLS AND KNOWLEDGE</w:t>
            </w:r>
          </w:p>
        </w:tc>
      </w:tr>
      <w:tr w:rsidTr="00F66E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t>This section describes the skills and knowledge required for this unit.</w:t>
            </w:r>
          </w:p>
        </w:tc>
      </w:tr>
      <w:tr w:rsidTr="00F66E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Required skills</w:t>
            </w:r>
          </w:p>
        </w:tc>
      </w:tr>
      <w:tr w:rsidTr="00F66E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analytical skills to interpret test equipment settings and readings</w:t>
            </w:r>
          </w:p>
          <w:p w:rsidR="00000000" w:rsidRPr="00C74C51" w:rsidP="00C74C51">
            <w:pPr>
              <w:pStyle w:val="ListBullet"/>
            </w:pPr>
            <w:r w:rsidRPr="00C74C51">
              <w:t>communication skills to liaise with customers to ensure requirements are known and can be met within timeframes</w:t>
            </w:r>
          </w:p>
          <w:p w:rsidR="00000000" w:rsidRPr="00C74C51" w:rsidP="00C74C51">
            <w:pPr>
              <w:pStyle w:val="ListBullet"/>
            </w:pPr>
            <w:r w:rsidRPr="00C74C51">
              <w:t>literacy skills to interpret technical specifications and related documentation</w:t>
            </w:r>
          </w:p>
          <w:p w:rsidR="00000000" w:rsidRPr="00C74C51" w:rsidP="00C74C51">
            <w:pPr>
              <w:pStyle w:val="ListBullet"/>
            </w:pPr>
            <w:r w:rsidRPr="00C74C51">
              <w:t>numeracy skills to make calculations</w:t>
            </w:r>
          </w:p>
          <w:p w:rsidR="00000000" w:rsidRPr="00C74C51" w:rsidP="00C74C51">
            <w:pPr>
              <w:pStyle w:val="ListBullet"/>
            </w:pPr>
            <w:r w:rsidRPr="00C74C51">
              <w:t>planning and organisation s</w:t>
            </w:r>
            <w:r w:rsidRPr="00C74C51">
              <w:t>kills to arrange site access and equipment delivery</w:t>
            </w:r>
          </w:p>
          <w:p w:rsidR="00000000" w:rsidRPr="00C74C51" w:rsidP="00C74C51">
            <w:pPr>
              <w:pStyle w:val="ListBullet"/>
            </w:pPr>
            <w:r w:rsidRPr="00C74C51">
              <w:t>safety awareness skills to:</w:t>
            </w:r>
          </w:p>
          <w:p w:rsidR="00000000" w:rsidRPr="00C74C51" w:rsidP="00C74C51">
            <w:pPr>
              <w:pStyle w:val="ListBullet2"/>
            </w:pPr>
            <w:r w:rsidRPr="00C74C51">
              <w:t>apply precautions and required action to minimise, control or eliminate hazards that may exist during work activities</w:t>
            </w:r>
          </w:p>
          <w:p w:rsidR="00000000" w:rsidRPr="00C74C51" w:rsidP="00C74C51">
            <w:pPr>
              <w:pStyle w:val="ListBullet2"/>
            </w:pPr>
            <w:r w:rsidRPr="00C74C51">
              <w:t>select and use required personal pro</w:t>
            </w:r>
            <w:r w:rsidRPr="00C74C51">
              <w:t>tective equipment conforming to industry and OHS standards</w:t>
            </w:r>
          </w:p>
          <w:p w:rsidR="00000000" w:rsidRPr="00C74C51" w:rsidP="00C74C51">
            <w:pPr>
              <w:pStyle w:val="ListBullet2"/>
            </w:pPr>
            <w:r w:rsidRPr="00C74C51">
              <w:t xml:space="preserve">work systematically with required attention to detail without injury to self or others, or damage to goods or equipment </w:t>
            </w:r>
          </w:p>
          <w:p w:rsidR="00000000" w:rsidRPr="00C74C51" w:rsidP="00C74C51">
            <w:pPr>
              <w:pStyle w:val="ListBullet"/>
            </w:pPr>
            <w:r w:rsidRPr="00C74C51">
              <w:t>technical skills to:</w:t>
            </w:r>
          </w:p>
          <w:p w:rsidR="00000000" w:rsidP="00C74C51">
            <w:pPr>
              <w:pStyle w:val="ListBullet2"/>
              <w:rPr>
                <w:lang w:val="en-NZ"/>
              </w:rPr>
            </w:pPr>
            <w:r w:rsidRPr="00C74C51">
              <w:t>correctly handle and connect test equipment for physi</w:t>
            </w:r>
            <w:r w:rsidRPr="00C74C51">
              <w:t>cal installation of equipment and related media</w:t>
            </w:r>
          </w:p>
        </w:tc>
      </w:tr>
      <w:tr w:rsidTr="00F66E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Required knowledge</w:t>
            </w:r>
          </w:p>
        </w:tc>
      </w:tr>
      <w:tr w:rsidTr="00F66E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cabling types, connectors and cabling structures</w:t>
            </w:r>
          </w:p>
          <w:p w:rsidR="00000000" w:rsidRPr="00C74C51" w:rsidP="00C74C51">
            <w:pPr>
              <w:pStyle w:val="ListBullet"/>
            </w:pPr>
            <w:r w:rsidRPr="00C74C51">
              <w:t>connections to carrier infrastructure or equipment, such as main distribution frame (MDF) or customer interface units (CIU)</w:t>
            </w:r>
          </w:p>
          <w:p w:rsidR="00000000" w:rsidRPr="00C74C51" w:rsidP="00C74C51">
            <w:pPr>
              <w:pStyle w:val="ListBullet"/>
            </w:pPr>
            <w:r w:rsidRPr="00C74C51">
              <w:t>customer premises equipment</w:t>
            </w:r>
          </w:p>
          <w:p w:rsidR="00000000" w:rsidRPr="00C74C51" w:rsidP="00C74C51">
            <w:pPr>
              <w:pStyle w:val="ListBullet"/>
            </w:pPr>
            <w:r w:rsidRPr="00C74C51">
              <w:t>electrical and or optical properties to be measured</w:t>
            </w:r>
          </w:p>
          <w:p w:rsidR="00000000" w:rsidRPr="00C74C51" w:rsidP="00C74C51">
            <w:pPr>
              <w:pStyle w:val="ListBullet"/>
            </w:pPr>
            <w:r w:rsidRPr="00C74C51">
              <w:t>OHS considerations including:</w:t>
            </w:r>
          </w:p>
          <w:p w:rsidR="00000000" w:rsidRPr="00C74C51" w:rsidP="00C74C51">
            <w:pPr>
              <w:pStyle w:val="ListBullet2"/>
            </w:pPr>
            <w:r w:rsidRPr="00C74C51">
              <w:t xml:space="preserve">electrical safety and lifting hazards </w:t>
            </w:r>
          </w:p>
          <w:p w:rsidR="00000000" w:rsidRPr="00C74C51" w:rsidP="00C74C51">
            <w:pPr>
              <w:pStyle w:val="ListBullet2"/>
            </w:pPr>
            <w:r w:rsidRPr="00C74C51">
              <w:t>manufacturer's requirements for safe operation of equipment</w:t>
            </w:r>
          </w:p>
          <w:p w:rsidR="00000000" w:rsidRPr="00C74C51" w:rsidP="00C74C51">
            <w:pPr>
              <w:pStyle w:val="ListBullet"/>
            </w:pPr>
            <w:r w:rsidRPr="00C74C51">
              <w:t xml:space="preserve">test methods and performance requirements </w:t>
            </w:r>
          </w:p>
          <w:p w:rsidR="00000000" w:rsidRPr="00C74C51" w:rsidP="00C74C51">
            <w:pPr>
              <w:pStyle w:val="ListBullet"/>
            </w:pPr>
            <w:r w:rsidRPr="00C74C51">
              <w:t>typical issues and challenges that occur on site</w:t>
            </w:r>
          </w:p>
          <w:p w:rsidR="00000000" w:rsidRPr="00C74C51" w:rsidP="00C74C51">
            <w:pPr>
              <w:pStyle w:val="ListBullet"/>
            </w:pPr>
            <w:r w:rsidRPr="00C74C51">
              <w:t xml:space="preserve">warranties and service level agreement </w:t>
            </w:r>
          </w:p>
        </w:tc>
      </w:tr>
    </w:tbl>
    <w:p w:rsidR="00F66E41" w:rsidP="00C74C51">
      <w:pPr>
        <w:pStyle w:val="BodyText"/>
      </w:pPr>
    </w:p>
    <w:p w:rsidR="00F66E41" w:rsidP="00C74C51">
      <w:pPr>
        <w:pStyle w:val="BodyText"/>
      </w:pPr>
    </w:p>
    <w:p w:rsidR="00000000" w:rsidRPr="00C74C51" w:rsidP="00C74C51">
      <w:pPr>
        <w:pStyle w:val="AllowPageBreak"/>
      </w:pPr>
    </w:p>
    <w:p w:rsidR="00000000" w:rsidRPr="00C74C51" w:rsidP="00C74C51">
      <w:pPr>
        <w:pStyle w:val="Heading1"/>
      </w:pPr>
      <w:bookmarkStart w:id="10" w:name="O_244464"/>
      <w:bookmarkEnd w:id="10"/>
      <w:r w:rsidRPr="00C74C51">
        <w:t>Evidence Guide</w:t>
      </w:r>
    </w:p>
    <w:tbl>
      <w:tblPr>
        <w:tblW w:w="9570" w:type="dxa"/>
        <w:tblLayout w:type="fixed"/>
        <w:tblCellMar>
          <w:left w:w="62" w:type="dxa"/>
          <w:right w:w="62" w:type="dxa"/>
        </w:tblCellMar>
        <w:tblLook w:val="0000"/>
      </w:tblPr>
      <w:tblGrid>
        <w:gridCol w:w="3908"/>
        <w:gridCol w:w="5662"/>
      </w:tblGrid>
      <w:tr w:rsidTr="00F66E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EVIDENCE GUIDE</w:t>
            </w:r>
          </w:p>
        </w:tc>
      </w:tr>
      <w:tr w:rsidTr="00F66E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t>The evidence guide provides advice on assessment and must be read in conjunction with the performance criteria, required skills and knowledge, range statement and the Assessment Guidelines for the Training Package.</w:t>
            </w:r>
          </w:p>
        </w:tc>
      </w:tr>
      <w:tr w:rsidTr="00F66E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p>
        </w:tc>
      </w:tr>
      <w:tr w:rsidTr="00F66E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BodyText"/>
            </w:pPr>
            <w:r w:rsidRPr="00C74C51">
              <w:t>Evidence of the ability to:</w:t>
            </w:r>
          </w:p>
          <w:p w:rsidR="00000000" w:rsidRPr="00C74C51" w:rsidP="00C74C51">
            <w:pPr>
              <w:pStyle w:val="ListBullet"/>
            </w:pPr>
            <w:r w:rsidRPr="00C74C51">
              <w:t>prepare for installation of network cable equipment</w:t>
            </w:r>
          </w:p>
          <w:p w:rsidR="00000000" w:rsidRPr="00C74C51" w:rsidP="00C74C51">
            <w:pPr>
              <w:pStyle w:val="ListBullet"/>
            </w:pPr>
            <w:r w:rsidRPr="00C74C51">
              <w:t xml:space="preserve">provide cable infrastructure </w:t>
            </w:r>
          </w:p>
          <w:p w:rsidR="00000000" w:rsidRPr="00C74C51" w:rsidP="00C74C51">
            <w:pPr>
              <w:pStyle w:val="ListBullet"/>
            </w:pPr>
            <w:r w:rsidRPr="00C74C51">
              <w:t>install cable equipment support structure for power,</w:t>
            </w:r>
            <w:r w:rsidRPr="00C74C51">
              <w:t xml:space="preserve"> alarms and interrogation requirements</w:t>
            </w:r>
          </w:p>
          <w:p w:rsidR="00000000" w:rsidRPr="00C74C51" w:rsidP="00C74C51">
            <w:pPr>
              <w:pStyle w:val="ListBullet"/>
            </w:pPr>
            <w:r w:rsidRPr="00C74C51">
              <w:t xml:space="preserve">install equipment, test and interpret test results </w:t>
            </w:r>
          </w:p>
          <w:p w:rsidR="00000000" w:rsidRPr="00C74C51" w:rsidP="00C74C51">
            <w:pPr>
              <w:pStyle w:val="ListBullet"/>
            </w:pPr>
            <w:r w:rsidRPr="00C74C51">
              <w:t>label equipment correctly</w:t>
            </w:r>
          </w:p>
          <w:p w:rsidR="00000000" w:rsidRPr="00C74C51" w:rsidP="00C74C51">
            <w:pPr>
              <w:pStyle w:val="ListBullet"/>
            </w:pPr>
            <w:r w:rsidRPr="00C74C51">
              <w:t>safely use any specialised hand or power tools and equipment</w:t>
            </w:r>
          </w:p>
          <w:p w:rsidR="00000000" w:rsidRPr="00C74C51" w:rsidP="00C74C51">
            <w:pPr>
              <w:pStyle w:val="ListBullet"/>
            </w:pPr>
            <w:r w:rsidRPr="00C74C51">
              <w:t>apply regulations and standards related to the installation</w:t>
            </w:r>
          </w:p>
          <w:p w:rsidR="00000000" w:rsidP="00C74C51">
            <w:pPr>
              <w:pStyle w:val="ListBullet"/>
              <w:rPr>
                <w:lang w:val="en-NZ"/>
              </w:rPr>
            </w:pPr>
            <w:r w:rsidRPr="00C74C51">
              <w:t>comply with all re</w:t>
            </w:r>
            <w:r w:rsidRPr="00C74C51">
              <w:t>lated OHS requirements and work practices.</w:t>
            </w:r>
          </w:p>
        </w:tc>
      </w:tr>
      <w:tr w:rsidTr="00F66E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Context of</w:t>
            </w:r>
            <w:r w:rsidRPr="00C74C51">
              <w:t xml:space="preserve">, </w:t>
            </w:r>
            <w:r w:rsidRPr="00C74C5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BodyText"/>
            </w:pPr>
            <w:r w:rsidRPr="00C74C51">
              <w:t>Assessment must ensure:</w:t>
            </w:r>
          </w:p>
          <w:p w:rsidR="00000000" w:rsidRPr="00C74C51" w:rsidP="00C74C51">
            <w:pPr>
              <w:pStyle w:val="ListBullet"/>
            </w:pPr>
            <w:r w:rsidRPr="00C74C51">
              <w:t>sites where installation of network cable equipment may be conducted</w:t>
            </w:r>
          </w:p>
          <w:p w:rsidR="00000000" w:rsidRPr="00C74C51" w:rsidP="00C74C51">
            <w:pPr>
              <w:pStyle w:val="ListBullet"/>
            </w:pPr>
            <w:r w:rsidRPr="00C74C51">
              <w:t>use of installation equipment currently used in industry</w:t>
            </w:r>
          </w:p>
          <w:p w:rsidR="00000000" w:rsidP="00C74C51">
            <w:pPr>
              <w:pStyle w:val="ListBullet"/>
              <w:rPr>
                <w:lang w:val="en-NZ"/>
              </w:rPr>
            </w:pPr>
            <w:r w:rsidRPr="00C74C51">
              <w:t>relevant regulatory and equipment documentation that impact on installation activities.</w:t>
            </w:r>
          </w:p>
        </w:tc>
      </w:tr>
      <w:tr w:rsidTr="00F66E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BodyText"/>
            </w:pPr>
            <w:r w:rsidRPr="00C74C51">
              <w:t>A range of assessment methods should be used to assess practical skills and knowledge. The following examples are appropriate for this unit:</w:t>
            </w:r>
          </w:p>
          <w:p w:rsidR="00000000" w:rsidRPr="00C74C51" w:rsidP="00C74C51">
            <w:pPr>
              <w:pStyle w:val="ListBullet"/>
            </w:pPr>
            <w:r w:rsidRPr="00C74C51">
              <w:t>dir</w:t>
            </w:r>
            <w:r w:rsidRPr="00C74C51">
              <w:t>ect observation of the candidate installing cable and equipment support structure</w:t>
            </w:r>
          </w:p>
          <w:p w:rsidR="00000000" w:rsidRPr="00C74C51" w:rsidP="00C74C51">
            <w:pPr>
              <w:pStyle w:val="ListBullet"/>
            </w:pPr>
            <w:r w:rsidRPr="00C74C51">
              <w:t>direct observation of the candidate installing network cable equipment and earthing protection</w:t>
            </w:r>
          </w:p>
          <w:p w:rsidR="00000000" w:rsidRPr="00C74C51" w:rsidP="00C74C51">
            <w:pPr>
              <w:pStyle w:val="ListBullet"/>
            </w:pPr>
            <w:r w:rsidRPr="00C74C51">
              <w:t xml:space="preserve">review of reports completed by the candidate outlining amended design of cable </w:t>
            </w:r>
            <w:r w:rsidRPr="00C74C51">
              <w:t xml:space="preserve">layout and test results </w:t>
            </w:r>
          </w:p>
          <w:p w:rsidR="00000000" w:rsidP="00C74C51">
            <w:pPr>
              <w:pStyle w:val="ListBullet"/>
              <w:rPr>
                <w:lang w:val="en-NZ"/>
              </w:rPr>
            </w:pPr>
            <w:r w:rsidRPr="00C74C51">
              <w:t>oral or written questioning to assess required knowledge.</w:t>
            </w:r>
          </w:p>
        </w:tc>
      </w:tr>
      <w:tr w:rsidTr="00F66E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Guidance information for assessment</w:t>
            </w:r>
            <w:r w:rsidRPr="00C74C51">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BodyText"/>
            </w:pPr>
            <w:r w:rsidRPr="00C74C51">
              <w:t>Holistic assessment with other units relevant to the industry sector, workplace and job role is recommended, for example:</w:t>
            </w:r>
          </w:p>
          <w:p w:rsidR="00000000" w:rsidRPr="00C74C51" w:rsidP="00C74C51">
            <w:pPr>
              <w:pStyle w:val="ListBullet"/>
            </w:pPr>
            <w:r w:rsidRPr="00C74C51">
              <w:t xml:space="preserve">ICTCBL3049A </w:t>
            </w:r>
            <w:r w:rsidRPr="00C74C51">
              <w:t>Install systems and equipment on customer premises.</w:t>
            </w:r>
          </w:p>
          <w:p w:rsidR="00000000" w:rsidRPr="00C74C51" w:rsidP="00C74C51">
            <w:pPr>
              <w:pStyle w:val="BodyText"/>
            </w:pPr>
          </w:p>
          <w:p w:rsidR="00000000" w:rsidRPr="00C74C51" w:rsidP="00C74C51">
            <w:pPr>
              <w:pStyle w:val="BodyText"/>
            </w:pPr>
            <w:r w:rsidRPr="00C74C51">
              <w:t>Aboriginal people and other people from a non-English speaking background may have second language issues.</w:t>
            </w:r>
          </w:p>
          <w:p w:rsidR="00000000" w:rsidRPr="00C74C51" w:rsidP="00C74C51">
            <w:pPr>
              <w:pStyle w:val="BodyText"/>
            </w:pPr>
          </w:p>
          <w:p w:rsidR="00000000" w:rsidRPr="00C74C51" w:rsidP="00C74C51">
            <w:pPr>
              <w:pStyle w:val="BodyText"/>
            </w:pPr>
            <w:r w:rsidRPr="00C74C51">
              <w:t xml:space="preserve">Access must be provided to appropriate learning and assessment support when required. </w:t>
            </w:r>
          </w:p>
          <w:p w:rsidR="00000000" w:rsidRPr="00C74C51" w:rsidP="00C74C51">
            <w:pPr>
              <w:pStyle w:val="BodyText"/>
            </w:pPr>
          </w:p>
          <w:p w:rsidR="00000000" w:rsidRPr="00C74C51" w:rsidP="00C74C51">
            <w:pPr>
              <w:pStyle w:val="BodyText"/>
            </w:pPr>
            <w:r w:rsidRPr="00C74C51">
              <w:t>Assessment processes and techniques must be culturally appropriate, and appropriate to the oral communication skill level, and language and literacy capacity of the candidate and the work being performed.</w:t>
            </w:r>
          </w:p>
          <w:p w:rsidR="00000000" w:rsidRPr="00C74C51" w:rsidP="00C74C51">
            <w:pPr>
              <w:pStyle w:val="BodyText"/>
            </w:pPr>
          </w:p>
          <w:p w:rsidR="00000000" w:rsidRPr="00C74C51" w:rsidP="00C74C51">
            <w:pPr>
              <w:pStyle w:val="BodyText"/>
            </w:pPr>
            <w:r w:rsidRPr="00C74C51">
              <w:t>In all cases where practical assessment is used it</w:t>
            </w:r>
            <w:r w:rsidRPr="00C74C51">
              <w:t xml:space="preserve"> will be combined with targeted questioning to assess required knowledge. Questioning techniques should not require language, literacy and numeracy skills beyond those required in this unit of competency. </w:t>
            </w:r>
          </w:p>
          <w:p w:rsidR="00000000" w:rsidRPr="00C74C51" w:rsidP="00C74C51">
            <w:pPr>
              <w:pStyle w:val="BodyText"/>
            </w:pPr>
          </w:p>
          <w:p w:rsidR="00000000" w:rsidRPr="00C74C51" w:rsidP="00C74C51">
            <w:pPr>
              <w:pStyle w:val="BodyText"/>
            </w:pPr>
            <w:r w:rsidRPr="00C74C51">
              <w:t>Where applicable, physical resources should inclu</w:t>
            </w:r>
            <w:r w:rsidRPr="00C74C51">
              <w:t>de equipment modified for people with special needs.</w:t>
            </w:r>
          </w:p>
        </w:tc>
      </w:tr>
    </w:tbl>
    <w:p w:rsidR="00F66E41" w:rsidP="00C74C51">
      <w:pPr>
        <w:pStyle w:val="BodyText"/>
      </w:pPr>
    </w:p>
    <w:p w:rsidR="00F66E41" w:rsidP="00C74C51">
      <w:pPr>
        <w:pStyle w:val="BodyText"/>
      </w:pPr>
    </w:p>
    <w:p w:rsidR="00000000" w:rsidRPr="00C74C51" w:rsidP="00C74C51">
      <w:pPr>
        <w:pStyle w:val="Heading1"/>
      </w:pPr>
      <w:bookmarkStart w:id="11" w:name="O_252447"/>
      <w:bookmarkEnd w:id="11"/>
      <w:r w:rsidRPr="00C74C51">
        <w:t>Range Statement</w:t>
      </w:r>
    </w:p>
    <w:tbl>
      <w:tblPr>
        <w:tblW w:w="0" w:type="auto"/>
        <w:tblLayout w:type="fixed"/>
        <w:tblCellMar>
          <w:left w:w="62" w:type="dxa"/>
          <w:right w:w="62" w:type="dxa"/>
        </w:tblCellMar>
        <w:tblLook w:val="0000"/>
      </w:tblPr>
      <w:tblGrid>
        <w:gridCol w:w="3438"/>
        <w:gridCol w:w="5084"/>
      </w:tblGrid>
      <w:tr w:rsidTr="00F66E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RANGE STATEMENT</w:t>
            </w:r>
          </w:p>
        </w:tc>
      </w:tr>
      <w:tr w:rsidTr="00F66E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t xml:space="preserve">The range statement relates to the unit of competency as a whole. It allows for different work environments and situations that may affect </w:t>
            </w:r>
            <w:r w:rsidRPr="00C74C51">
              <w:t>performance. Bold italicised wording, if used in the performance criteria, is detailed below. Essential operating conditions that may be present with training and assessment (depending on the work situation, needs of the candidate, accessibility of the ite</w:t>
            </w:r>
            <w:r w:rsidRPr="00C74C51">
              <w:t>m, and local industry and regional contexts) may also be included.</w:t>
            </w:r>
          </w:p>
        </w:tc>
      </w:tr>
      <w:tr w:rsidTr="00F66E4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BoldandItalics"/>
              </w:rPr>
              <w:t>Relevant legislation</w:t>
            </w:r>
            <w:r w:rsidRPr="00C74C51">
              <w:t xml:space="preserve">, </w:t>
            </w:r>
            <w:r w:rsidRPr="00C74C51">
              <w:rPr>
                <w:rStyle w:val="BoldandItalics"/>
              </w:rPr>
              <w:t>codes</w:t>
            </w:r>
            <w:r w:rsidRPr="00C74C51">
              <w:t xml:space="preserve">, </w:t>
            </w:r>
            <w:r w:rsidRPr="00C74C51">
              <w:rPr>
                <w:rStyle w:val="BoldandItalics"/>
              </w:rPr>
              <w:t>regulations and standards</w:t>
            </w:r>
            <w:r w:rsidRPr="00C74C5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Australian Communications Industry Forum (ACIF) standards and codes</w:t>
            </w:r>
          </w:p>
          <w:p w:rsidR="00000000" w:rsidRPr="00C74C51" w:rsidP="00C74C51">
            <w:pPr>
              <w:pStyle w:val="ListBullet"/>
            </w:pPr>
            <w:r w:rsidRPr="00C74C51">
              <w:t>appropriate licences:</w:t>
            </w:r>
          </w:p>
          <w:p w:rsidR="00000000" w:rsidRPr="00C74C51" w:rsidP="00C74C51">
            <w:pPr>
              <w:pStyle w:val="ListBullet2"/>
            </w:pPr>
            <w:r w:rsidRPr="00C74C51">
              <w:t>crane</w:t>
            </w:r>
          </w:p>
          <w:p w:rsidR="00000000" w:rsidRPr="00C74C51" w:rsidP="00C74C51">
            <w:pPr>
              <w:pStyle w:val="ListBullet2"/>
            </w:pPr>
            <w:r w:rsidRPr="00C74C51">
              <w:t>EWP</w:t>
            </w:r>
          </w:p>
          <w:p w:rsidR="00000000" w:rsidRPr="00C74C51" w:rsidP="00C74C51">
            <w:pPr>
              <w:pStyle w:val="ListBullet2"/>
            </w:pPr>
            <w:r w:rsidRPr="00C74C51">
              <w:t>forklift</w:t>
            </w:r>
          </w:p>
          <w:p w:rsidR="00000000" w:rsidRPr="00C74C51" w:rsidP="00C74C51">
            <w:pPr>
              <w:pStyle w:val="ListBullet2"/>
            </w:pPr>
            <w:r w:rsidRPr="00C74C51">
              <w:t>winch</w:t>
            </w:r>
          </w:p>
          <w:p w:rsidR="00000000" w:rsidRPr="00C74C51" w:rsidP="00C74C51">
            <w:pPr>
              <w:pStyle w:val="ListBullet"/>
            </w:pPr>
            <w:r w:rsidRPr="00C74C51">
              <w:t>AS Communications Cabling Manual (CCM) Volume 1</w:t>
            </w:r>
          </w:p>
          <w:p w:rsidR="00000000" w:rsidRPr="00C74C51" w:rsidP="00C74C51">
            <w:pPr>
              <w:pStyle w:val="ListBullet"/>
            </w:pPr>
            <w:r w:rsidRPr="00C74C51">
              <w:t>AS/NZS 3000:2007</w:t>
            </w:r>
          </w:p>
          <w:p w:rsidR="00000000" w:rsidRPr="00C74C51" w:rsidP="00C74C51">
            <w:pPr>
              <w:pStyle w:val="ListBullet"/>
            </w:pPr>
            <w:r w:rsidRPr="00C74C51">
              <w:t>AS/NZS 3080:2003</w:t>
            </w:r>
          </w:p>
          <w:p w:rsidR="00000000" w:rsidRPr="00C74C51" w:rsidP="00C74C51">
            <w:pPr>
              <w:pStyle w:val="ListBullet"/>
            </w:pPr>
            <w:r w:rsidRPr="00C74C51">
              <w:t>AS/NZS 3084:2003</w:t>
            </w:r>
          </w:p>
          <w:p w:rsidR="00000000" w:rsidRPr="00C74C51" w:rsidP="00C74C51">
            <w:pPr>
              <w:pStyle w:val="ListBullet"/>
            </w:pPr>
            <w:r w:rsidRPr="00C74C51">
              <w:t>AS/NZS 3085.1:2004</w:t>
            </w:r>
          </w:p>
          <w:p w:rsidR="00000000" w:rsidRPr="00C74C51" w:rsidP="00C74C51">
            <w:pPr>
              <w:pStyle w:val="ListBullet"/>
            </w:pPr>
            <w:r w:rsidRPr="00C74C51">
              <w:t>AS/NZS IEC 61935.1:2006</w:t>
            </w:r>
          </w:p>
          <w:p w:rsidR="00000000" w:rsidRPr="00C74C51" w:rsidP="00C74C51">
            <w:pPr>
              <w:pStyle w:val="ListBullet"/>
            </w:pPr>
            <w:r w:rsidRPr="00C74C51">
              <w:t>AS/NZS IEC 61935.2:2006</w:t>
            </w:r>
          </w:p>
          <w:p w:rsidR="00000000" w:rsidRPr="00C74C51" w:rsidP="00C74C51">
            <w:pPr>
              <w:pStyle w:val="ListBullet"/>
            </w:pPr>
            <w:r w:rsidRPr="00C74C51">
              <w:t>AS/NZS ISO/IEC 14763.3:2007</w:t>
            </w:r>
          </w:p>
          <w:p w:rsidR="00000000" w:rsidRPr="00C74C51" w:rsidP="00C74C51">
            <w:pPr>
              <w:pStyle w:val="ListBullet"/>
            </w:pPr>
            <w:r w:rsidRPr="00C74C51">
              <w:t>AS/NZS ISO/IEC 15018:2005</w:t>
            </w:r>
          </w:p>
          <w:p w:rsidR="00000000" w:rsidRPr="00C74C51" w:rsidP="00C74C51">
            <w:pPr>
              <w:pStyle w:val="ListBullet"/>
            </w:pPr>
            <w:r w:rsidRPr="00C74C51">
              <w:t xml:space="preserve">AS/NZS ISO/IEC 24702:2007 </w:t>
            </w:r>
          </w:p>
          <w:p w:rsidR="00000000" w:rsidRPr="00C74C51" w:rsidP="00C74C51">
            <w:pPr>
              <w:pStyle w:val="ListBullet"/>
            </w:pPr>
            <w:r w:rsidRPr="00C74C51">
              <w:t>cabling security codes and regulations</w:t>
            </w:r>
          </w:p>
          <w:p w:rsidR="00000000" w:rsidRPr="00C74C51" w:rsidP="00C74C51">
            <w:pPr>
              <w:pStyle w:val="ListBullet"/>
            </w:pPr>
            <w:r w:rsidRPr="00C74C51">
              <w:t>Environmental Protection Acts</w:t>
            </w:r>
          </w:p>
          <w:p w:rsidR="00000000" w:rsidRPr="00C74C51" w:rsidP="00C74C51">
            <w:pPr>
              <w:pStyle w:val="ListBullet"/>
            </w:pPr>
            <w:r w:rsidRPr="00C74C51">
              <w:t>ISO Draft 11801 (International)</w:t>
            </w:r>
          </w:p>
          <w:p w:rsidR="00000000" w:rsidRPr="00C74C51" w:rsidP="00C74C51">
            <w:pPr>
              <w:pStyle w:val="ListBullet"/>
            </w:pPr>
            <w:r w:rsidRPr="00C74C51">
              <w:t>OHS</w:t>
            </w:r>
          </w:p>
          <w:p w:rsidR="00000000" w:rsidRPr="00C74C51" w:rsidP="00C74C51">
            <w:pPr>
              <w:pStyle w:val="ListBullet"/>
            </w:pPr>
            <w:r w:rsidRPr="00C74C51">
              <w:t>regulated or industry codes of practice and include appropriate ACMA and AS/ACIF technical standards</w:t>
            </w:r>
          </w:p>
          <w:p w:rsidR="00000000" w:rsidRPr="00C74C51" w:rsidP="00C74C51">
            <w:pPr>
              <w:pStyle w:val="ListBullet"/>
            </w:pPr>
            <w:r w:rsidRPr="00C74C51">
              <w:t>relevant Institute of Electrical and Electronics E</w:t>
            </w:r>
            <w:r w:rsidRPr="00C74C51">
              <w:t>ngineers (IEEE) standards</w:t>
            </w:r>
          </w:p>
          <w:p w:rsidR="00000000" w:rsidRPr="00C74C51" w:rsidP="00C74C51">
            <w:pPr>
              <w:pStyle w:val="ListBullet"/>
            </w:pPr>
            <w:r w:rsidRPr="00C74C51">
              <w:t>road and traffic control legislation and codes</w:t>
            </w:r>
          </w:p>
          <w:p w:rsidR="00000000" w:rsidP="00C74C51">
            <w:pPr>
              <w:pStyle w:val="ListBullet"/>
              <w:rPr>
                <w:lang w:val="en-NZ"/>
              </w:rPr>
            </w:pPr>
            <w:r w:rsidRPr="00C74C51">
              <w:t>technical standards AS/ACIF S008:2006 and AS/ACIF S009:2006.</w:t>
            </w:r>
          </w:p>
        </w:tc>
      </w:tr>
      <w:tr w:rsidTr="00F66E4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BoldandItalics"/>
              </w:rPr>
              <w:t>Appropriate personnel</w:t>
            </w:r>
            <w:r w:rsidRPr="00C74C51">
              <w:t xml:space="preserve"> may be: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cable administrator</w:t>
            </w:r>
          </w:p>
          <w:p w:rsidR="00000000" w:rsidRPr="00C74C51" w:rsidP="00C74C51">
            <w:pPr>
              <w:pStyle w:val="ListBullet"/>
            </w:pPr>
            <w:r w:rsidRPr="00C74C51">
              <w:t>consultant</w:t>
            </w:r>
          </w:p>
          <w:p w:rsidR="00000000" w:rsidRPr="00C74C51" w:rsidP="00C74C51">
            <w:pPr>
              <w:pStyle w:val="ListBullet"/>
            </w:pPr>
            <w:r w:rsidRPr="00C74C51">
              <w:t>project engineer</w:t>
            </w:r>
          </w:p>
          <w:p w:rsidR="00000000" w:rsidRPr="00C74C51" w:rsidP="00C74C51">
            <w:pPr>
              <w:pStyle w:val="ListBullet"/>
            </w:pPr>
            <w:r w:rsidRPr="00C74C51">
              <w:t>project manager</w:t>
            </w:r>
          </w:p>
          <w:p w:rsidR="00000000" w:rsidP="00C74C51">
            <w:pPr>
              <w:pStyle w:val="ListBullet"/>
              <w:rPr>
                <w:lang w:val="en-NZ"/>
              </w:rPr>
            </w:pPr>
            <w:r w:rsidRPr="00C74C51">
              <w:t>site supervisor.</w:t>
            </w:r>
          </w:p>
        </w:tc>
      </w:tr>
      <w:tr w:rsidTr="00F66E4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BoldandItalics"/>
              </w:rPr>
              <w:t>Safety hazards</w:t>
            </w:r>
            <w:r w:rsidRPr="00C74C51">
              <w:t xml:space="preserve"> may refer to:</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access points that may contain:</w:t>
            </w:r>
          </w:p>
          <w:p w:rsidR="00000000" w:rsidRPr="00C74C51" w:rsidP="00C74C51">
            <w:pPr>
              <w:pStyle w:val="ListBullet2"/>
            </w:pPr>
            <w:r w:rsidRPr="00C74C51">
              <w:t>hazardous light (non-visible laser)</w:t>
            </w:r>
          </w:p>
          <w:p w:rsidR="00000000" w:rsidRPr="00C74C51" w:rsidP="00C74C51">
            <w:pPr>
              <w:pStyle w:val="ListBullet2"/>
            </w:pPr>
            <w:r w:rsidRPr="00C74C51">
              <w:t>radio frequency (RF) emission</w:t>
            </w:r>
          </w:p>
          <w:p w:rsidR="00000000" w:rsidRPr="00C74C51" w:rsidP="00C74C51">
            <w:pPr>
              <w:pStyle w:val="ListBullet"/>
            </w:pPr>
            <w:r w:rsidRPr="00C74C51">
              <w:t>contact with remote power feed</w:t>
            </w:r>
          </w:p>
          <w:p w:rsidR="00000000" w:rsidRPr="00C74C51" w:rsidP="00C74C51">
            <w:pPr>
              <w:pStyle w:val="ListBullet"/>
            </w:pPr>
            <w:r w:rsidRPr="00C74C51">
              <w:t>electrical supply and areas o</w:t>
            </w:r>
            <w:r w:rsidRPr="00C74C51">
              <w:t>f earth potential rise (EPR) that require mandatory separation from communications cable</w:t>
            </w:r>
          </w:p>
          <w:p w:rsidR="00000000" w:rsidRPr="00C74C51" w:rsidP="00C74C51">
            <w:pPr>
              <w:pStyle w:val="ListBullet"/>
            </w:pPr>
            <w:r w:rsidRPr="00C74C51">
              <w:t>hazardous conduit as according to AS 1345:1995 conduit colours associated with a hazardous service</w:t>
            </w:r>
          </w:p>
          <w:p w:rsidR="00000000" w:rsidRPr="00C74C51" w:rsidP="00C74C51">
            <w:pPr>
              <w:pStyle w:val="ListBullet"/>
            </w:pPr>
            <w:r w:rsidRPr="00C74C51">
              <w:t>unsafe support structures:</w:t>
            </w:r>
          </w:p>
          <w:p w:rsidR="00000000" w:rsidRPr="00C74C51" w:rsidP="00C74C51">
            <w:pPr>
              <w:pStyle w:val="ListBullet2"/>
            </w:pPr>
            <w:r w:rsidRPr="00C74C51">
              <w:t>condemned poles</w:t>
            </w:r>
          </w:p>
          <w:p w:rsidR="00000000" w:rsidRPr="00C74C51" w:rsidP="00C74C51">
            <w:pPr>
              <w:pStyle w:val="ListBullet2"/>
            </w:pPr>
            <w:r w:rsidRPr="00C74C51">
              <w:t>visible signs of decay o</w:t>
            </w:r>
            <w:r w:rsidRPr="00C74C51">
              <w:t>r stress</w:t>
            </w:r>
          </w:p>
          <w:p w:rsidR="00000000" w:rsidRPr="00C74C51" w:rsidP="00C74C51">
            <w:pPr>
              <w:pStyle w:val="ListBullet"/>
            </w:pPr>
            <w:r w:rsidRPr="00C74C51">
              <w:t>unsafe weather:</w:t>
            </w:r>
          </w:p>
          <w:p w:rsidR="00000000" w:rsidRPr="00C74C51" w:rsidP="00C74C51">
            <w:pPr>
              <w:pStyle w:val="ListBullet2"/>
            </w:pPr>
            <w:r w:rsidRPr="00C74C51">
              <w:t>heavy rains</w:t>
            </w:r>
          </w:p>
          <w:p w:rsidR="00000000" w:rsidRPr="00C74C51" w:rsidP="00C74C51">
            <w:pPr>
              <w:pStyle w:val="ListBullet2"/>
            </w:pPr>
            <w:r w:rsidRPr="00C74C51">
              <w:t>high winds</w:t>
            </w:r>
          </w:p>
          <w:p w:rsidR="00000000" w:rsidRPr="00C74C51" w:rsidP="00C74C51">
            <w:pPr>
              <w:pStyle w:val="ListBullet2"/>
            </w:pPr>
            <w:r w:rsidRPr="00C74C51">
              <w:t xml:space="preserve">severe heat or cold </w:t>
            </w:r>
          </w:p>
          <w:p w:rsidR="00000000" w:rsidP="00C74C51">
            <w:pPr>
              <w:pStyle w:val="ListBullet2"/>
              <w:rPr>
                <w:lang w:val="en-NZ"/>
              </w:rPr>
            </w:pPr>
            <w:r w:rsidRPr="00C74C51">
              <w:t>thunderstorms.</w:t>
            </w:r>
          </w:p>
        </w:tc>
      </w:tr>
      <w:tr w:rsidTr="00F66E4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BoldandItalics"/>
              </w:rPr>
              <w:t>Network cable equipment</w:t>
            </w:r>
            <w:r w:rsidRPr="00C74C51">
              <w:t xml:space="preserve"> may be: </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 xml:space="preserve">equipment connected at: </w:t>
            </w:r>
          </w:p>
          <w:p w:rsidR="00000000" w:rsidRPr="00C74C51" w:rsidP="00C74C51">
            <w:pPr>
              <w:pStyle w:val="ListBullet2"/>
            </w:pPr>
            <w:r w:rsidRPr="00C74C51">
              <w:t>carrier's premises</w:t>
            </w:r>
          </w:p>
          <w:p w:rsidR="00000000" w:rsidRPr="00C74C51" w:rsidP="00C74C51">
            <w:pPr>
              <w:pStyle w:val="ListBullet2"/>
            </w:pPr>
            <w:r w:rsidRPr="00C74C51">
              <w:t>customers' premises</w:t>
            </w:r>
          </w:p>
          <w:p w:rsidR="00000000" w:rsidRPr="00C74C51" w:rsidP="00C74C51">
            <w:pPr>
              <w:pStyle w:val="ListBullet2"/>
            </w:pPr>
            <w:r w:rsidRPr="00C74C51">
              <w:t>elevated joint</w:t>
            </w:r>
          </w:p>
          <w:p w:rsidR="00000000" w:rsidRPr="00C74C51" w:rsidP="00C74C51">
            <w:pPr>
              <w:pStyle w:val="ListBullet2"/>
            </w:pPr>
            <w:r w:rsidRPr="00C74C51">
              <w:t>openable joint</w:t>
            </w:r>
          </w:p>
          <w:p w:rsidR="00000000" w:rsidRPr="00C74C51" w:rsidP="00C74C51">
            <w:pPr>
              <w:pStyle w:val="ListBullet2"/>
            </w:pPr>
            <w:r w:rsidRPr="00C74C51">
              <w:t xml:space="preserve">pillar </w:t>
            </w:r>
          </w:p>
          <w:p w:rsidR="00000000" w:rsidRPr="00C74C51" w:rsidP="00C74C51">
            <w:pPr>
              <w:pStyle w:val="ListBullet"/>
            </w:pPr>
            <w:r w:rsidRPr="00C74C51">
              <w:t>line conditioning</w:t>
            </w:r>
          </w:p>
          <w:p w:rsidR="00000000" w:rsidRPr="00C74C51" w:rsidP="00C74C51">
            <w:pPr>
              <w:pStyle w:val="ListBullet"/>
            </w:pPr>
            <w:r w:rsidRPr="00C74C51">
              <w:t>multiplexer</w:t>
            </w:r>
          </w:p>
          <w:p w:rsidR="00000000" w:rsidRPr="00C74C51" w:rsidP="00C74C51">
            <w:pPr>
              <w:pStyle w:val="ListBullet"/>
            </w:pPr>
            <w:r w:rsidRPr="00C74C51">
              <w:t>radio optical receivers</w:t>
            </w:r>
          </w:p>
          <w:p w:rsidR="00000000" w:rsidRPr="00C74C51" w:rsidP="00C74C51">
            <w:pPr>
              <w:pStyle w:val="ListBullet"/>
            </w:pPr>
            <w:r w:rsidRPr="00C74C51">
              <w:t>switching equipment</w:t>
            </w:r>
          </w:p>
          <w:p w:rsidR="00000000" w:rsidP="00C74C51">
            <w:pPr>
              <w:pStyle w:val="ListBullet"/>
              <w:rPr>
                <w:lang w:val="en-NZ"/>
              </w:rPr>
            </w:pPr>
            <w:r w:rsidRPr="00C74C51">
              <w:t>video processor.</w:t>
            </w:r>
          </w:p>
        </w:tc>
      </w:tr>
      <w:tr w:rsidTr="00F66E4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BoldandItalics"/>
              </w:rPr>
              <w:t>Other services</w:t>
            </w:r>
            <w:r w:rsidRPr="00C74C5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availability and suitability of existing cabling trays and fixing systems</w:t>
            </w:r>
          </w:p>
          <w:p w:rsidR="00000000" w:rsidRPr="00C74C51" w:rsidP="00C74C51">
            <w:pPr>
              <w:pStyle w:val="ListBullet"/>
            </w:pPr>
            <w:r w:rsidRPr="00C74C51">
              <w:t>fire sprinkler systems</w:t>
            </w:r>
          </w:p>
          <w:p w:rsidR="00000000" w:rsidRPr="00C74C51" w:rsidP="00C74C51">
            <w:pPr>
              <w:pStyle w:val="ListBullet"/>
            </w:pPr>
            <w:r w:rsidRPr="00C74C51">
              <w:t>gas and water mains</w:t>
            </w:r>
          </w:p>
          <w:p w:rsidR="00000000" w:rsidP="00C74C51">
            <w:pPr>
              <w:pStyle w:val="ListBullet"/>
              <w:rPr>
                <w:lang w:val="en-NZ"/>
              </w:rPr>
            </w:pPr>
            <w:r w:rsidRPr="00C74C51">
              <w:t>high voltage (HV) power.</w:t>
            </w:r>
          </w:p>
        </w:tc>
      </w:tr>
      <w:tr w:rsidTr="00F66E4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BoldandItalics"/>
              </w:rPr>
              <w:t>Plant</w:t>
            </w:r>
            <w:r w:rsidRPr="00C74C51">
              <w:t xml:space="preserve">, </w:t>
            </w:r>
            <w:r w:rsidRPr="00C74C51">
              <w:rPr>
                <w:rStyle w:val="BoldandItalics"/>
              </w:rPr>
              <w:t>tools and safety equipment</w:t>
            </w:r>
            <w:r w:rsidRPr="00C74C5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plant:</w:t>
            </w:r>
          </w:p>
          <w:p w:rsidR="00000000" w:rsidRPr="00C74C51" w:rsidP="00C74C51">
            <w:pPr>
              <w:pStyle w:val="ListBullet2"/>
            </w:pPr>
            <w:r w:rsidRPr="00C74C51">
              <w:t>elevated platform vehicle</w:t>
            </w:r>
          </w:p>
          <w:p w:rsidR="00000000" w:rsidRPr="00C74C51" w:rsidP="00C74C51">
            <w:pPr>
              <w:pStyle w:val="ListBullet2"/>
            </w:pPr>
            <w:r w:rsidRPr="00C74C51">
              <w:t>ladders</w:t>
            </w:r>
          </w:p>
          <w:p w:rsidR="00000000" w:rsidRPr="00C74C51" w:rsidP="00C74C51">
            <w:pPr>
              <w:pStyle w:val="ListBullet2"/>
            </w:pPr>
            <w:r w:rsidRPr="00C74C51">
              <w:t>scissor lifts</w:t>
            </w:r>
          </w:p>
          <w:p w:rsidR="00000000" w:rsidRPr="00C74C51" w:rsidP="00C74C51">
            <w:pPr>
              <w:pStyle w:val="ListBullet2"/>
            </w:pPr>
            <w:r w:rsidRPr="00C74C51">
              <w:t>wire raising tool (insulated)</w:t>
            </w:r>
          </w:p>
          <w:p w:rsidR="00000000" w:rsidRPr="00C74C51" w:rsidP="00C74C51">
            <w:pPr>
              <w:pStyle w:val="ListBullet"/>
            </w:pPr>
            <w:r w:rsidRPr="00C74C51">
              <w:t>safety equipment:</w:t>
            </w:r>
          </w:p>
          <w:p w:rsidR="00000000" w:rsidRPr="00C74C51" w:rsidP="00C74C51">
            <w:pPr>
              <w:pStyle w:val="ListBullet2"/>
            </w:pPr>
            <w:r w:rsidRPr="00C74C51">
              <w:t>flashing lights</w:t>
            </w:r>
          </w:p>
          <w:p w:rsidR="00000000" w:rsidRPr="00C74C51" w:rsidP="00C74C51">
            <w:pPr>
              <w:pStyle w:val="ListBullet2"/>
            </w:pPr>
            <w:r w:rsidRPr="00C74C51">
              <w:t>gas and other hazard detection equipment</w:t>
            </w:r>
          </w:p>
          <w:p w:rsidR="00000000" w:rsidRPr="00C74C51" w:rsidP="00C74C51">
            <w:pPr>
              <w:pStyle w:val="ListBullet2"/>
            </w:pPr>
            <w:r w:rsidRPr="00C74C51">
              <w:t>personal protective clothing:</w:t>
            </w:r>
          </w:p>
          <w:p w:rsidR="00000000" w:rsidRPr="00C74C51" w:rsidP="00C74C51">
            <w:pPr>
              <w:pStyle w:val="ListBullet3"/>
            </w:pPr>
            <w:r w:rsidRPr="00C74C51">
              <w:t>earmuffs</w:t>
            </w:r>
          </w:p>
          <w:p w:rsidR="00000000" w:rsidRPr="00C74C51" w:rsidP="00C74C51">
            <w:pPr>
              <w:pStyle w:val="ListBullet3"/>
            </w:pPr>
            <w:r w:rsidRPr="00C74C51">
              <w:t>fall arrest systems</w:t>
            </w:r>
          </w:p>
          <w:p w:rsidR="00000000" w:rsidRPr="00C74C51" w:rsidP="00C74C51">
            <w:pPr>
              <w:pStyle w:val="ListBullet3"/>
            </w:pPr>
            <w:r w:rsidRPr="00C74C51">
              <w:t>gloves</w:t>
            </w:r>
          </w:p>
          <w:p w:rsidR="00000000" w:rsidRPr="00C74C51" w:rsidP="00C74C51">
            <w:pPr>
              <w:pStyle w:val="ListBullet3"/>
            </w:pPr>
            <w:r w:rsidRPr="00C74C51">
              <w:t>head protection</w:t>
            </w:r>
          </w:p>
          <w:p w:rsidR="00000000" w:rsidRPr="00C74C51" w:rsidP="00C74C51">
            <w:pPr>
              <w:pStyle w:val="ListBullet3"/>
            </w:pPr>
            <w:r w:rsidRPr="00C74C51">
              <w:t>kneepads</w:t>
            </w:r>
          </w:p>
          <w:p w:rsidR="00000000" w:rsidRPr="00C74C51" w:rsidP="00C74C51">
            <w:pPr>
              <w:pStyle w:val="ListBullet3"/>
            </w:pPr>
            <w:r w:rsidRPr="00C74C51">
              <w:t xml:space="preserve">masks </w:t>
            </w:r>
          </w:p>
          <w:p w:rsidR="00000000" w:rsidRPr="00C74C51" w:rsidP="00C74C51">
            <w:pPr>
              <w:pStyle w:val="ListBullet3"/>
            </w:pPr>
            <w:r w:rsidRPr="00C74C51">
              <w:t>protective suits</w:t>
            </w:r>
          </w:p>
          <w:p w:rsidR="00000000" w:rsidRPr="00C74C51" w:rsidP="00C74C51">
            <w:pPr>
              <w:pStyle w:val="ListBullet3"/>
            </w:pPr>
            <w:r w:rsidRPr="00C74C51">
              <w:t>safety boots</w:t>
            </w:r>
          </w:p>
          <w:p w:rsidR="00000000" w:rsidRPr="00C74C51" w:rsidP="00C74C51">
            <w:pPr>
              <w:pStyle w:val="ListBullet3"/>
            </w:pPr>
            <w:r w:rsidRPr="00C74C51">
              <w:t>safety glasses</w:t>
            </w:r>
          </w:p>
          <w:p w:rsidR="00000000" w:rsidRPr="00C74C51" w:rsidP="00C74C51">
            <w:pPr>
              <w:pStyle w:val="ListBullet2"/>
            </w:pPr>
            <w:r w:rsidRPr="00C74C51">
              <w:t>safety barriers</w:t>
            </w:r>
          </w:p>
          <w:p w:rsidR="00000000" w:rsidRPr="00C74C51" w:rsidP="00C74C51">
            <w:pPr>
              <w:pStyle w:val="ListBullet2"/>
            </w:pPr>
            <w:r w:rsidRPr="00C74C51">
              <w:t>trench guards</w:t>
            </w:r>
          </w:p>
          <w:p w:rsidR="00000000" w:rsidRPr="00C74C51" w:rsidP="00C74C51">
            <w:pPr>
              <w:pStyle w:val="ListBullet2"/>
            </w:pPr>
            <w:r w:rsidRPr="00C74C51">
              <w:t>warning signs and tapes</w:t>
            </w:r>
          </w:p>
          <w:p w:rsidR="00000000" w:rsidRPr="00C74C51" w:rsidP="00C74C51">
            <w:pPr>
              <w:pStyle w:val="ListBullet"/>
            </w:pPr>
            <w:r w:rsidRPr="00C74C51">
              <w:t>test equipment:</w:t>
            </w:r>
          </w:p>
          <w:p w:rsidR="00000000" w:rsidRPr="00C74C51" w:rsidP="00C74C51">
            <w:pPr>
              <w:pStyle w:val="ListBullet2"/>
            </w:pPr>
            <w:r w:rsidRPr="00C74C51">
              <w:t>cable tester</w:t>
            </w:r>
          </w:p>
          <w:p w:rsidR="00000000" w:rsidRPr="00C74C51" w:rsidP="00C74C51">
            <w:pPr>
              <w:pStyle w:val="ListBullet2"/>
            </w:pPr>
            <w:r w:rsidRPr="00C74C51">
              <w:t>continuity tester</w:t>
            </w:r>
          </w:p>
          <w:p w:rsidR="00000000" w:rsidRPr="00C74C51" w:rsidP="00C74C51">
            <w:pPr>
              <w:pStyle w:val="ListBullet2"/>
            </w:pPr>
            <w:r w:rsidRPr="00C74C51">
              <w:t>passive optical network (PON) meter</w:t>
            </w:r>
          </w:p>
          <w:p w:rsidR="00000000" w:rsidRPr="00C74C51" w:rsidP="00C74C51">
            <w:pPr>
              <w:pStyle w:val="ListBullet2"/>
            </w:pPr>
            <w:r w:rsidRPr="00C74C51">
              <w:t>LAN</w:t>
            </w:r>
            <w:r w:rsidRPr="00C74C51">
              <w:t xml:space="preserve"> Cat tester </w:t>
            </w:r>
          </w:p>
          <w:p w:rsidR="00000000" w:rsidRPr="00C74C51" w:rsidP="00C74C51">
            <w:pPr>
              <w:pStyle w:val="ListBullet"/>
            </w:pPr>
            <w:r w:rsidRPr="00C74C51">
              <w:t>tools:</w:t>
            </w:r>
          </w:p>
          <w:p w:rsidR="00000000" w:rsidRPr="00C74C51" w:rsidP="00C74C51">
            <w:pPr>
              <w:pStyle w:val="ListBullet2"/>
            </w:pPr>
            <w:r w:rsidRPr="00C74C51">
              <w:t>auger</w:t>
            </w:r>
          </w:p>
          <w:p w:rsidR="00000000" w:rsidRPr="00C74C51" w:rsidP="00C74C51">
            <w:pPr>
              <w:pStyle w:val="ListBullet2"/>
            </w:pPr>
            <w:r w:rsidRPr="00C74C51">
              <w:t>fixing brackets</w:t>
            </w:r>
          </w:p>
          <w:p w:rsidR="00000000" w:rsidP="00C74C51">
            <w:pPr>
              <w:pStyle w:val="ListBullet2"/>
              <w:rPr>
                <w:lang w:val="en-NZ"/>
              </w:rPr>
            </w:pPr>
            <w:r w:rsidRPr="00C74C51">
              <w:t>spanner.</w:t>
            </w:r>
          </w:p>
        </w:tc>
      </w:tr>
      <w:tr w:rsidTr="00F66E4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BoldandItalics"/>
              </w:rPr>
              <w:t>Customer requirements</w:t>
            </w:r>
            <w:r w:rsidRPr="00C74C5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equipment replacement</w:t>
            </w:r>
          </w:p>
          <w:p w:rsidR="00000000" w:rsidRPr="00C74C51" w:rsidP="00C74C51">
            <w:pPr>
              <w:pStyle w:val="ListBullet"/>
            </w:pPr>
            <w:r w:rsidRPr="00C74C51">
              <w:t>increase capacity</w:t>
            </w:r>
          </w:p>
          <w:p w:rsidR="00000000" w:rsidRPr="00C74C51" w:rsidP="00C74C51">
            <w:pPr>
              <w:pStyle w:val="ListBullet"/>
            </w:pPr>
            <w:r w:rsidRPr="00C74C51">
              <w:t>increase economic or cost efficiency</w:t>
            </w:r>
          </w:p>
          <w:p w:rsidR="00000000" w:rsidRPr="00C74C51" w:rsidP="00C74C51">
            <w:pPr>
              <w:pStyle w:val="ListBullet"/>
            </w:pPr>
            <w:r w:rsidRPr="00C74C51">
              <w:t>providing cable relief</w:t>
            </w:r>
          </w:p>
          <w:p w:rsidR="00000000" w:rsidRPr="00C74C51" w:rsidP="00C74C51">
            <w:pPr>
              <w:pStyle w:val="ListBullet"/>
            </w:pPr>
            <w:r w:rsidRPr="00C74C51">
              <w:t>providing new facilities or infrastructure to a customer or geographic area</w:t>
            </w:r>
          </w:p>
          <w:p w:rsidR="00000000" w:rsidP="00C74C51">
            <w:pPr>
              <w:pStyle w:val="ListBullet"/>
              <w:rPr>
                <w:lang w:val="en-NZ"/>
              </w:rPr>
            </w:pPr>
            <w:r w:rsidRPr="00C74C51">
              <w:t>providing new services.</w:t>
            </w:r>
          </w:p>
        </w:tc>
      </w:tr>
      <w:tr w:rsidTr="00F66E4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BoldandItalics"/>
              </w:rPr>
              <w:t>Other parties</w:t>
            </w:r>
            <w:r w:rsidRPr="00C74C5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customer</w:t>
            </w:r>
          </w:p>
          <w:p w:rsidR="00000000" w:rsidRPr="00C74C51" w:rsidP="00C74C51">
            <w:pPr>
              <w:pStyle w:val="ListBullet"/>
            </w:pPr>
            <w:r w:rsidRPr="00C74C51">
              <w:t>equipment and materials suppliers</w:t>
            </w:r>
          </w:p>
          <w:p w:rsidR="00000000" w:rsidRPr="00C74C51" w:rsidP="00C74C51">
            <w:pPr>
              <w:pStyle w:val="ListBullet"/>
            </w:pPr>
            <w:r w:rsidRPr="00C74C51">
              <w:t>local government</w:t>
            </w:r>
          </w:p>
          <w:p w:rsidR="00000000" w:rsidRPr="00C74C51" w:rsidP="00C74C51">
            <w:pPr>
              <w:pStyle w:val="ListBullet"/>
            </w:pPr>
            <w:r w:rsidRPr="00C74C51">
              <w:t>statutory authorities</w:t>
            </w:r>
          </w:p>
          <w:p w:rsidR="00000000" w:rsidP="00C74C51">
            <w:pPr>
              <w:pStyle w:val="ListBullet"/>
              <w:rPr>
                <w:lang w:val="en-NZ"/>
              </w:rPr>
            </w:pPr>
            <w:r w:rsidRPr="00C74C51">
              <w:t>network operation centre.</w:t>
            </w:r>
          </w:p>
        </w:tc>
      </w:tr>
      <w:tr w:rsidTr="00F66E4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BoldandItalics"/>
              </w:rPr>
              <w:t>OHS and environmental requirements</w:t>
            </w:r>
            <w:r w:rsidRPr="00C74C51">
              <w:t xml:space="preserve"> may relate to:</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decommissioning and isolating worksite and lines prior to commencement</w:t>
            </w:r>
          </w:p>
          <w:p w:rsidR="00000000" w:rsidRPr="00C74C51" w:rsidP="00C74C51">
            <w:pPr>
              <w:pStyle w:val="ListBullet"/>
            </w:pPr>
            <w:r w:rsidRPr="00C74C51">
              <w:t>identifying other services, including power and gas</w:t>
            </w:r>
          </w:p>
          <w:p w:rsidR="00000000" w:rsidRPr="00C74C51" w:rsidP="00C74C51">
            <w:pPr>
              <w:pStyle w:val="ListBullet"/>
            </w:pPr>
            <w:r w:rsidRPr="00C74C51">
              <w:t>personal protective clothing:</w:t>
            </w:r>
          </w:p>
          <w:p w:rsidR="00000000" w:rsidRPr="00C74C51" w:rsidP="00C74C51">
            <w:pPr>
              <w:pStyle w:val="ListBullet2"/>
            </w:pPr>
            <w:r w:rsidRPr="00C74C51">
              <w:t>earmuffs</w:t>
            </w:r>
          </w:p>
          <w:p w:rsidR="00000000" w:rsidRPr="00C74C51" w:rsidP="00C74C51">
            <w:pPr>
              <w:pStyle w:val="ListBullet2"/>
            </w:pPr>
            <w:r w:rsidRPr="00C74C51">
              <w:t>gloves:</w:t>
            </w:r>
          </w:p>
          <w:p w:rsidR="00000000" w:rsidRPr="00C74C51" w:rsidP="00C74C51">
            <w:pPr>
              <w:pStyle w:val="ListBullet3"/>
            </w:pPr>
            <w:r w:rsidRPr="00C74C51">
              <w:t>leather</w:t>
            </w:r>
          </w:p>
          <w:p w:rsidR="00000000" w:rsidRPr="00C74C51" w:rsidP="00C74C51">
            <w:pPr>
              <w:pStyle w:val="ListBullet3"/>
            </w:pPr>
            <w:r w:rsidRPr="00C74C51">
              <w:t>plastic</w:t>
            </w:r>
          </w:p>
          <w:p w:rsidR="00000000" w:rsidRPr="00C74C51" w:rsidP="00C74C51">
            <w:pPr>
              <w:pStyle w:val="ListBullet3"/>
            </w:pPr>
            <w:r w:rsidRPr="00C74C51">
              <w:t>rubber</w:t>
            </w:r>
          </w:p>
          <w:p w:rsidR="00000000" w:rsidRPr="00C74C51" w:rsidP="00C74C51">
            <w:pPr>
              <w:pStyle w:val="ListBullet2"/>
            </w:pPr>
            <w:r w:rsidRPr="00C74C51">
              <w:t>head protection</w:t>
            </w:r>
          </w:p>
          <w:p w:rsidR="00000000" w:rsidRPr="00C74C51" w:rsidP="00C74C51">
            <w:pPr>
              <w:pStyle w:val="ListBullet2"/>
            </w:pPr>
            <w:r w:rsidRPr="00C74C51">
              <w:t>kneepads</w:t>
            </w:r>
          </w:p>
          <w:p w:rsidR="00000000" w:rsidRPr="00C74C51" w:rsidP="00C74C51">
            <w:pPr>
              <w:pStyle w:val="ListBullet2"/>
            </w:pPr>
            <w:r w:rsidRPr="00C74C51">
              <w:t xml:space="preserve">masks </w:t>
            </w:r>
          </w:p>
          <w:p w:rsidR="00000000" w:rsidRPr="00C74C51" w:rsidP="00C74C51">
            <w:pPr>
              <w:pStyle w:val="ListBullet2"/>
            </w:pPr>
            <w:r w:rsidRPr="00C74C51">
              <w:t>protective suits</w:t>
            </w:r>
          </w:p>
          <w:p w:rsidR="00000000" w:rsidRPr="00C74C51" w:rsidP="00C74C51">
            <w:pPr>
              <w:pStyle w:val="ListBullet2"/>
            </w:pPr>
            <w:r w:rsidRPr="00C74C51">
              <w:t>safety boots</w:t>
            </w:r>
          </w:p>
          <w:p w:rsidR="00000000" w:rsidRPr="00C74C51" w:rsidP="00C74C51">
            <w:pPr>
              <w:pStyle w:val="ListBullet2"/>
            </w:pPr>
            <w:r w:rsidRPr="00C74C51">
              <w:t>safety glasses</w:t>
            </w:r>
          </w:p>
          <w:p w:rsidR="00000000" w:rsidRPr="00C74C51" w:rsidP="00C74C51">
            <w:pPr>
              <w:pStyle w:val="ListBullet2"/>
            </w:pPr>
            <w:r w:rsidRPr="00C74C51">
              <w:t>safety harness</w:t>
            </w:r>
          </w:p>
          <w:p w:rsidR="00000000" w:rsidRPr="00C74C51" w:rsidP="00C74C51">
            <w:pPr>
              <w:pStyle w:val="ListBullet2"/>
            </w:pPr>
            <w:r w:rsidRPr="00C74C51">
              <w:t>safety line</w:t>
            </w:r>
          </w:p>
          <w:p w:rsidR="00000000" w:rsidRPr="00C74C51" w:rsidP="00C74C51">
            <w:pPr>
              <w:pStyle w:val="ListBullet"/>
            </w:pPr>
            <w:r w:rsidRPr="00C74C51">
              <w:t>safe working practices, such as the safe use and handling of:</w:t>
            </w:r>
          </w:p>
          <w:p w:rsidR="00000000" w:rsidRPr="00C74C51" w:rsidP="00C74C51">
            <w:pPr>
              <w:pStyle w:val="ListBullet2"/>
            </w:pPr>
            <w:r w:rsidRPr="00C74C51">
              <w:t>asbestos</w:t>
            </w:r>
          </w:p>
          <w:p w:rsidR="00000000" w:rsidRPr="00C74C51" w:rsidP="00C74C51">
            <w:pPr>
              <w:pStyle w:val="ListBullet2"/>
            </w:pPr>
            <w:r w:rsidRPr="00C74C51">
              <w:t>chemicals</w:t>
            </w:r>
          </w:p>
          <w:p w:rsidR="00000000" w:rsidRPr="00C74C51" w:rsidP="00C74C51">
            <w:pPr>
              <w:pStyle w:val="ListBullet2"/>
            </w:pPr>
            <w:r w:rsidRPr="00C74C51">
              <w:t>materials</w:t>
            </w:r>
          </w:p>
          <w:p w:rsidR="00000000" w:rsidRPr="00C74C51" w:rsidP="00C74C51">
            <w:pPr>
              <w:pStyle w:val="ListBullet2"/>
            </w:pPr>
            <w:r w:rsidRPr="00C74C51">
              <w:t>tools and equipment</w:t>
            </w:r>
          </w:p>
          <w:p w:rsidR="00000000" w:rsidRPr="00C74C51" w:rsidP="00C74C51">
            <w:pPr>
              <w:pStyle w:val="ListBullet2"/>
            </w:pPr>
            <w:r w:rsidRPr="00C74C51">
              <w:t>work platforms</w:t>
            </w:r>
          </w:p>
          <w:p w:rsidR="00000000" w:rsidRPr="00C74C51" w:rsidP="00C74C51">
            <w:pPr>
              <w:pStyle w:val="ListBullet"/>
            </w:pPr>
            <w:r w:rsidRPr="00C74C51">
              <w:t>safety equipment:</w:t>
            </w:r>
          </w:p>
          <w:p w:rsidR="00000000" w:rsidRPr="00C74C51" w:rsidP="00C74C51">
            <w:pPr>
              <w:pStyle w:val="ListBullet2"/>
            </w:pPr>
            <w:r w:rsidRPr="00C74C51">
              <w:t>flashing lights</w:t>
            </w:r>
          </w:p>
          <w:p w:rsidR="00000000" w:rsidRPr="00C74C51" w:rsidP="00C74C51">
            <w:pPr>
              <w:pStyle w:val="ListBullet2"/>
            </w:pPr>
            <w:r w:rsidRPr="00C74C51">
              <w:t>gas and other hazard detection equipment</w:t>
            </w:r>
          </w:p>
          <w:p w:rsidR="00000000" w:rsidRPr="00C74C51" w:rsidP="00C74C51">
            <w:pPr>
              <w:pStyle w:val="ListBullet2"/>
            </w:pPr>
            <w:r w:rsidRPr="00C74C51">
              <w:t>safety barriers</w:t>
            </w:r>
          </w:p>
          <w:p w:rsidR="00000000" w:rsidRPr="00C74C51" w:rsidP="00C74C51">
            <w:pPr>
              <w:pStyle w:val="ListBullet2"/>
            </w:pPr>
            <w:r w:rsidRPr="00C74C51">
              <w:t>trench guards</w:t>
            </w:r>
          </w:p>
          <w:p w:rsidR="00000000" w:rsidRPr="00C74C51" w:rsidP="00C74C51">
            <w:pPr>
              <w:pStyle w:val="ListBullet2"/>
            </w:pPr>
            <w:r w:rsidRPr="00C74C51">
              <w:t>warning signs and tapes</w:t>
            </w:r>
          </w:p>
          <w:p w:rsidR="00000000" w:rsidRPr="00C74C51" w:rsidP="00C74C51">
            <w:pPr>
              <w:pStyle w:val="ListBullet2"/>
            </w:pPr>
            <w:r w:rsidRPr="00C74C51">
              <w:t>witches hats</w:t>
            </w:r>
          </w:p>
          <w:p w:rsidR="00000000" w:rsidRPr="00C74C51" w:rsidP="00C74C51">
            <w:pPr>
              <w:pStyle w:val="ListBullet"/>
            </w:pPr>
            <w:r w:rsidRPr="00C74C51">
              <w:t>special access requirements</w:t>
            </w:r>
          </w:p>
          <w:p w:rsidR="00000000" w:rsidRPr="00C74C51" w:rsidP="00C74C51">
            <w:pPr>
              <w:pStyle w:val="ListBullet"/>
            </w:pPr>
            <w:r w:rsidRPr="00C74C51">
              <w:t>suitable light and ventilation</w:t>
            </w:r>
          </w:p>
          <w:p w:rsidR="00000000" w:rsidRPr="00C74C51" w:rsidP="00C74C51">
            <w:pPr>
              <w:pStyle w:val="ListBullet"/>
            </w:pPr>
            <w:r w:rsidRPr="00C74C51">
              <w:t>environmental considerations:</w:t>
            </w:r>
          </w:p>
          <w:p w:rsidR="00000000" w:rsidRPr="00C74C51" w:rsidP="00C74C51">
            <w:pPr>
              <w:pStyle w:val="ListBullet2"/>
            </w:pPr>
            <w:r w:rsidRPr="00C74C51">
              <w:t>clean-up protection</w:t>
            </w:r>
          </w:p>
          <w:p w:rsidR="00000000" w:rsidRPr="00C74C51" w:rsidP="00C74C51">
            <w:pPr>
              <w:pStyle w:val="ListBullet2"/>
            </w:pPr>
            <w:r w:rsidRPr="00C74C51">
              <w:t>stormwater protection</w:t>
            </w:r>
          </w:p>
          <w:p w:rsidR="00000000" w:rsidP="00C74C51">
            <w:pPr>
              <w:pStyle w:val="ListBullet2"/>
              <w:rPr>
                <w:lang w:val="en-NZ"/>
              </w:rPr>
            </w:pPr>
            <w:r w:rsidRPr="00C74C51">
              <w:t>waste management.</w:t>
            </w:r>
          </w:p>
        </w:tc>
      </w:tr>
      <w:tr w:rsidTr="00F66E4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BoldandItalics"/>
              </w:rPr>
              <w:t>Rack</w:t>
            </w:r>
            <w:r w:rsidRPr="00C74C5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cable entries</w:t>
            </w:r>
          </w:p>
          <w:p w:rsidR="00000000" w:rsidRPr="00C74C51" w:rsidP="00C74C51">
            <w:pPr>
              <w:pStyle w:val="ListBullet"/>
            </w:pPr>
            <w:r w:rsidRPr="00C74C51">
              <w:t>frame</w:t>
            </w:r>
          </w:p>
          <w:p w:rsidR="00000000" w:rsidRPr="00C74C51" w:rsidP="00C74C51">
            <w:pPr>
              <w:pStyle w:val="ListBullet"/>
            </w:pPr>
            <w:r w:rsidRPr="00C74C51">
              <w:t>mesh tray</w:t>
            </w:r>
          </w:p>
          <w:p w:rsidR="00000000" w:rsidRPr="00C74C51" w:rsidP="00C74C51">
            <w:pPr>
              <w:pStyle w:val="ListBullet"/>
            </w:pPr>
            <w:r w:rsidRPr="00C74C51">
              <w:t>mounting supports</w:t>
            </w:r>
          </w:p>
          <w:p w:rsidR="00000000" w:rsidRPr="00C74C51" w:rsidP="00C74C51">
            <w:pPr>
              <w:pStyle w:val="ListBullet"/>
            </w:pPr>
            <w:r w:rsidRPr="00C74C51">
              <w:t>power supplies</w:t>
            </w:r>
          </w:p>
          <w:p w:rsidR="00000000" w:rsidP="00C74C51">
            <w:pPr>
              <w:pStyle w:val="ListBullet"/>
              <w:rPr>
                <w:lang w:val="en-NZ"/>
              </w:rPr>
            </w:pPr>
            <w:r w:rsidRPr="00C74C51">
              <w:t>ventilation.</w:t>
            </w:r>
          </w:p>
        </w:tc>
      </w:tr>
      <w:tr w:rsidTr="00F66E4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BoldandItalics"/>
              </w:rPr>
              <w:t>Cabling infrastructure</w:t>
            </w:r>
            <w:r w:rsidRPr="00C74C5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catenary</w:t>
            </w:r>
          </w:p>
          <w:p w:rsidR="00000000" w:rsidRPr="00C74C51" w:rsidP="00C74C51">
            <w:pPr>
              <w:pStyle w:val="ListBullet"/>
            </w:pPr>
            <w:r w:rsidRPr="00C74C51">
              <w:t>conduit</w:t>
            </w:r>
          </w:p>
          <w:p w:rsidR="00000000" w:rsidRPr="00C74C51" w:rsidP="00C74C51">
            <w:pPr>
              <w:pStyle w:val="ListBullet"/>
            </w:pPr>
            <w:r w:rsidRPr="00C74C51">
              <w:t>ducting</w:t>
            </w:r>
          </w:p>
          <w:p w:rsidR="00000000" w:rsidP="00C74C51">
            <w:pPr>
              <w:pStyle w:val="ListBullet"/>
              <w:rPr>
                <w:lang w:val="en-NZ"/>
              </w:rPr>
            </w:pPr>
            <w:r w:rsidRPr="00C74C51">
              <w:t>trays.</w:t>
            </w:r>
          </w:p>
        </w:tc>
      </w:tr>
      <w:tr w:rsidTr="00F66E4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BoldandItalics"/>
              </w:rPr>
              <w:t>Cabling requirements</w:t>
            </w:r>
            <w:r w:rsidRPr="00C74C5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inter-rack cabling and termination</w:t>
            </w:r>
          </w:p>
          <w:p w:rsidR="00000000" w:rsidRPr="00C74C51" w:rsidP="00C74C51">
            <w:pPr>
              <w:pStyle w:val="ListBullet"/>
            </w:pPr>
            <w:r w:rsidRPr="00C74C51">
              <w:t>power, alarm and interrogation requirements</w:t>
            </w:r>
          </w:p>
          <w:p w:rsidR="00000000" w:rsidP="00C74C51">
            <w:pPr>
              <w:pStyle w:val="ListBullet"/>
              <w:rPr>
                <w:lang w:val="en-NZ"/>
              </w:rPr>
            </w:pPr>
            <w:r w:rsidRPr="00C74C51">
              <w:t>rack and sub-rack to a distribution frame for network access.</w:t>
            </w:r>
          </w:p>
        </w:tc>
      </w:tr>
      <w:tr w:rsidTr="00F66E4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BoldandItalics"/>
              </w:rPr>
              <w:t>Earthing protection</w:t>
            </w:r>
            <w:r w:rsidRPr="00C74C51">
              <w:t xml:space="preserve"> may include:</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earth stake</w:t>
            </w:r>
          </w:p>
          <w:p w:rsidR="00000000" w:rsidRPr="00C74C51" w:rsidP="00C74C51">
            <w:pPr>
              <w:pStyle w:val="ListBullet"/>
            </w:pPr>
            <w:r w:rsidRPr="00C74C51">
              <w:t>equipment earthing</w:t>
            </w:r>
          </w:p>
          <w:p w:rsidR="00000000" w:rsidRPr="00C74C51" w:rsidP="00C74C51">
            <w:pPr>
              <w:pStyle w:val="ListBullet"/>
            </w:pPr>
            <w:r w:rsidRPr="00C74C51">
              <w:t>isolator</w:t>
            </w:r>
          </w:p>
          <w:p w:rsidR="00000000" w:rsidRPr="00C74C51" w:rsidP="00C74C51">
            <w:pPr>
              <w:pStyle w:val="ListBullet"/>
            </w:pPr>
            <w:r w:rsidRPr="00C74C51">
              <w:t>lightning conductor</w:t>
            </w:r>
          </w:p>
          <w:p w:rsidR="00000000" w:rsidRPr="00C74C51" w:rsidP="00C74C51">
            <w:pPr>
              <w:pStyle w:val="ListBullet"/>
            </w:pPr>
            <w:r w:rsidRPr="00C74C51">
              <w:t>link to multiple earth neutral</w:t>
            </w:r>
          </w:p>
          <w:p w:rsidR="00000000" w:rsidRPr="00C74C51" w:rsidP="00C74C51">
            <w:pPr>
              <w:pStyle w:val="ListBullet"/>
            </w:pPr>
            <w:r w:rsidRPr="00C74C51">
              <w:t>MDF bonding</w:t>
            </w:r>
          </w:p>
          <w:p w:rsidR="00000000" w:rsidRPr="00C74C51" w:rsidP="00C74C51">
            <w:pPr>
              <w:pStyle w:val="ListBullet"/>
            </w:pPr>
            <w:r w:rsidRPr="00C74C51">
              <w:t>over voltage</w:t>
            </w:r>
          </w:p>
          <w:p w:rsidR="00000000" w:rsidRPr="00C74C51" w:rsidP="00C74C51">
            <w:pPr>
              <w:pStyle w:val="ListBullet"/>
            </w:pPr>
            <w:r w:rsidRPr="00C74C51">
              <w:t>screen earth</w:t>
            </w:r>
          </w:p>
          <w:p w:rsidR="00000000" w:rsidRPr="00C74C51" w:rsidP="00C74C51">
            <w:pPr>
              <w:pStyle w:val="ListBullet"/>
            </w:pPr>
            <w:r w:rsidRPr="00C74C51">
              <w:t>screening</w:t>
            </w:r>
          </w:p>
          <w:p w:rsidR="00000000" w:rsidRPr="00C74C51" w:rsidP="00C74C51">
            <w:pPr>
              <w:pStyle w:val="ListBullet"/>
            </w:pPr>
            <w:r w:rsidRPr="00C74C51">
              <w:t>surge suppressors</w:t>
            </w:r>
          </w:p>
          <w:p w:rsidR="00000000" w:rsidRPr="00C74C51" w:rsidP="00C74C51">
            <w:pPr>
              <w:pStyle w:val="ListBullet"/>
            </w:pPr>
            <w:r w:rsidRPr="00C74C51">
              <w:t>surges and spikes</w:t>
            </w:r>
          </w:p>
          <w:p w:rsidR="00000000" w:rsidP="00C74C51">
            <w:pPr>
              <w:pStyle w:val="ListBullet"/>
              <w:rPr>
                <w:lang w:val="en-NZ"/>
              </w:rPr>
            </w:pPr>
            <w:r w:rsidRPr="00C74C51">
              <w:t>telecommunications reference conductors.</w:t>
            </w:r>
          </w:p>
        </w:tc>
      </w:tr>
      <w:tr w:rsidTr="00F66E41">
        <w:tblPrEx>
          <w:tblW w:w="0" w:type="auto"/>
          <w:tblLayout w:type="fixed"/>
          <w:tblCellMar>
            <w:left w:w="62" w:type="dxa"/>
            <w:right w:w="62" w:type="dxa"/>
          </w:tblCellMar>
          <w:tblLook w:val="0000"/>
        </w:tblPrEx>
        <w:tc>
          <w:tcPr>
            <w:tcW w:w="3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BoldandItalics"/>
              </w:rPr>
              <w:t>Connections</w:t>
            </w:r>
            <w:r w:rsidRPr="00C74C51">
              <w:t xml:space="preserve"> may be made to:</w:t>
            </w:r>
          </w:p>
        </w:tc>
        <w:tc>
          <w:tcPr>
            <w:tcW w:w="50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ListBullet"/>
            </w:pPr>
            <w:r w:rsidRPr="00C74C51">
              <w:t>cable pair</w:t>
            </w:r>
          </w:p>
          <w:p w:rsidR="00000000" w:rsidRPr="00C74C51" w:rsidP="00C74C51">
            <w:pPr>
              <w:pStyle w:val="ListBullet"/>
            </w:pPr>
            <w:r w:rsidRPr="00C74C51">
              <w:t>digital distribution frame</w:t>
            </w:r>
          </w:p>
          <w:p w:rsidR="00000000" w:rsidRPr="00C74C51" w:rsidP="00C74C51">
            <w:pPr>
              <w:pStyle w:val="ListBullet"/>
            </w:pPr>
            <w:r w:rsidRPr="00C74C51">
              <w:t>feeder or antennae system</w:t>
            </w:r>
          </w:p>
          <w:p w:rsidR="00000000" w:rsidRPr="00C74C51" w:rsidP="00C74C51">
            <w:pPr>
              <w:pStyle w:val="ListBullet"/>
            </w:pPr>
            <w:r w:rsidRPr="00C74C51">
              <w:t>mainframe</w:t>
            </w:r>
          </w:p>
          <w:p w:rsidR="00000000" w:rsidRPr="00C74C51" w:rsidP="00C74C51">
            <w:pPr>
              <w:pStyle w:val="ListBullet"/>
            </w:pPr>
            <w:r w:rsidRPr="00C74C51">
              <w:t>optical fibre frame</w:t>
            </w:r>
          </w:p>
          <w:p w:rsidR="00000000" w:rsidRPr="00C74C51" w:rsidP="00C74C51">
            <w:pPr>
              <w:pStyle w:val="ListBullet"/>
            </w:pPr>
            <w:r w:rsidRPr="00C74C51">
              <w:t>optical fibre splicing frame.</w:t>
            </w:r>
          </w:p>
        </w:tc>
      </w:tr>
    </w:tbl>
    <w:p w:rsidR="00F66E41" w:rsidP="00C74C51">
      <w:pPr>
        <w:pStyle w:val="BodyText"/>
      </w:pPr>
    </w:p>
    <w:p w:rsidR="00F66E41" w:rsidP="00C74C51">
      <w:pPr>
        <w:pStyle w:val="BodyText"/>
      </w:pPr>
    </w:p>
    <w:p w:rsidR="00000000" w:rsidRPr="00C74C51" w:rsidP="00C74C51">
      <w:pPr>
        <w:pStyle w:val="Heading1"/>
      </w:pPr>
      <w:bookmarkStart w:id="12" w:name="O_208814"/>
      <w:bookmarkEnd w:id="12"/>
      <w:r w:rsidRPr="00C74C51">
        <w:t>Unit Sector(s)</w:t>
      </w:r>
    </w:p>
    <w:tbl>
      <w:tblPr>
        <w:tblW w:w="0" w:type="auto"/>
        <w:tblLayout w:type="fixed"/>
        <w:tblCellMar>
          <w:left w:w="62" w:type="dxa"/>
          <w:right w:w="62" w:type="dxa"/>
        </w:tblCellMar>
        <w:tblLook w:val="0000"/>
      </w:tblPr>
      <w:tblGrid>
        <w:gridCol w:w="2570"/>
        <w:gridCol w:w="5952"/>
      </w:tblGrid>
      <w:tr w:rsidTr="00F66E4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BodyText"/>
            </w:pPr>
            <w:r w:rsidRPr="00C74C51">
              <w:t>Telecommunications</w:t>
            </w:r>
          </w:p>
        </w:tc>
      </w:tr>
    </w:tbl>
    <w:p w:rsidR="00F66E41" w:rsidP="00C74C51">
      <w:pPr>
        <w:pStyle w:val="BodyText"/>
      </w:pPr>
    </w:p>
    <w:p w:rsidR="00F66E41" w:rsidP="00C74C51">
      <w:pPr>
        <w:pStyle w:val="BodyText"/>
      </w:pPr>
    </w:p>
    <w:p w:rsidR="00000000" w:rsidRPr="00C74C51" w:rsidP="00C74C51">
      <w:pPr>
        <w:pStyle w:val="Heading1"/>
      </w:pPr>
      <w:bookmarkStart w:id="13" w:name="O_208811"/>
      <w:bookmarkEnd w:id="13"/>
      <w:r w:rsidRPr="00C74C51">
        <w:t>Co-requisite units</w:t>
      </w:r>
    </w:p>
    <w:tbl>
      <w:tblPr>
        <w:tblW w:w="0" w:type="auto"/>
        <w:tblLayout w:type="fixed"/>
        <w:tblCellMar>
          <w:left w:w="62" w:type="dxa"/>
          <w:right w:w="62" w:type="dxa"/>
        </w:tblCellMar>
        <w:tblLook w:val="0000"/>
      </w:tblPr>
      <w:tblGrid>
        <w:gridCol w:w="2641"/>
        <w:gridCol w:w="1322"/>
        <w:gridCol w:w="4559"/>
      </w:tblGrid>
      <w:tr w:rsidTr="00F66E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p>
        </w:tc>
      </w:tr>
      <w:tr w:rsidTr="00F66E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p>
        </w:tc>
      </w:tr>
      <w:tr w:rsidTr="00F66E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BodyText"/>
            </w:pPr>
          </w:p>
        </w:tc>
      </w:tr>
    </w:tbl>
    <w:p w:rsidR="00F66E41" w:rsidP="00C74C51">
      <w:pPr>
        <w:pStyle w:val="BodyText"/>
      </w:pPr>
    </w:p>
    <w:p w:rsidR="00F66E41" w:rsidP="00C74C51">
      <w:pPr>
        <w:pStyle w:val="BodyText"/>
      </w:pPr>
    </w:p>
    <w:p w:rsidR="00000000" w:rsidRPr="00C74C51" w:rsidP="00C74C51">
      <w:pPr>
        <w:pStyle w:val="Heading1"/>
      </w:pPr>
      <w:bookmarkStart w:id="14" w:name="O_208813"/>
      <w:bookmarkEnd w:id="14"/>
      <w:r w:rsidRPr="00C74C51">
        <w:t>Competency field</w:t>
      </w:r>
    </w:p>
    <w:tbl>
      <w:tblPr>
        <w:tblW w:w="0" w:type="auto"/>
        <w:tblLayout w:type="fixed"/>
        <w:tblCellMar>
          <w:left w:w="62" w:type="dxa"/>
          <w:right w:w="62" w:type="dxa"/>
        </w:tblCellMar>
        <w:tblLook w:val="0000"/>
      </w:tblPr>
      <w:tblGrid>
        <w:gridCol w:w="2778"/>
        <w:gridCol w:w="5744"/>
      </w:tblGrid>
      <w:tr w:rsidTr="00F66E4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C51">
            <w:pPr>
              <w:pStyle w:val="BodyText"/>
              <w:rPr>
                <w:lang w:val="en-NZ"/>
              </w:rPr>
            </w:pPr>
            <w:r w:rsidRPr="00C74C5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C51" w:rsidP="00C74C51">
            <w:pPr>
              <w:pStyle w:val="BodyText"/>
            </w:pPr>
            <w:r w:rsidRPr="00C74C51">
              <w:t>Cabling</w:t>
            </w:r>
          </w:p>
        </w:tc>
      </w:tr>
    </w:tbl>
    <w:p w:rsidR="00F66E41" w:rsidP="00C74C51">
      <w:pPr>
        <w:pStyle w:val="BodyText"/>
      </w:pPr>
    </w:p>
    <w:p w:rsidR="00F66E41" w:rsidP="00C74C51">
      <w:pPr>
        <w:pStyle w:val="BodyText"/>
      </w:pPr>
    </w:p>
    <w:p w:rsidR="00000000" w:rsidRPr="00C74C51" w:rsidP="00C74C51"/>
    <w:sectPr w:rsidSect="00C74C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E41" w:rsidP="00F66E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41" w:rsidP="00C74C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66E41" w:rsidP="00C74C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6E41" w:rsidP="00C74C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6E41" w:rsidP="00F66E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41" w:rsidP="00C74C51">
    <w:pPr>
      <w:pStyle w:val="Header"/>
      <w:framePr w:wrap="around"/>
    </w:pPr>
    <w:r>
      <w:fldChar w:fldCharType="begin"/>
    </w:r>
    <w:r>
      <w:instrText xml:space="preserve"> TITLE   \* MERGEFORMAT </w:instrText>
    </w:r>
    <w:r>
      <w:fldChar w:fldCharType="separate"/>
    </w:r>
    <w:r>
      <w:t>ICTCBL3069A Install network cable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6E41" w:rsidP="00C74C5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38E3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8E0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564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C5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4C51"/>
    <w:pPr>
      <w:spacing w:before="360" w:after="60"/>
      <w:outlineLvl w:val="0"/>
    </w:pPr>
    <w:rPr>
      <w:sz w:val="32"/>
    </w:rPr>
  </w:style>
  <w:style w:type="paragraph" w:styleId="Heading2">
    <w:name w:val="heading 2"/>
    <w:basedOn w:val="HeadingBase"/>
    <w:next w:val="BodyText"/>
    <w:link w:val="Heading2Char"/>
    <w:qFormat/>
    <w:rsid w:val="00C74C51"/>
    <w:pPr>
      <w:keepLines/>
      <w:spacing w:before="240" w:after="120"/>
      <w:outlineLvl w:val="1"/>
    </w:pPr>
    <w:rPr>
      <w:sz w:val="28"/>
      <w:szCs w:val="40"/>
    </w:rPr>
  </w:style>
  <w:style w:type="paragraph" w:styleId="Heading3">
    <w:name w:val="heading 3"/>
    <w:basedOn w:val="HeadingBase"/>
    <w:next w:val="BodyText"/>
    <w:link w:val="Heading3Char"/>
    <w:qFormat/>
    <w:rsid w:val="00C74C51"/>
    <w:pPr>
      <w:spacing w:before="180" w:after="120"/>
      <w:outlineLvl w:val="2"/>
    </w:pPr>
    <w:rPr>
      <w:spacing w:val="-10"/>
      <w:kern w:val="32"/>
    </w:rPr>
  </w:style>
  <w:style w:type="paragraph" w:styleId="Heading4">
    <w:name w:val="heading 4"/>
    <w:basedOn w:val="HeadingBase"/>
    <w:next w:val="BodyText"/>
    <w:link w:val="Heading4Char"/>
    <w:qFormat/>
    <w:rsid w:val="00C74C51"/>
    <w:pPr>
      <w:spacing w:before="160" w:after="120"/>
      <w:outlineLvl w:val="3"/>
    </w:pPr>
    <w:rPr>
      <w:sz w:val="22"/>
    </w:rPr>
  </w:style>
  <w:style w:type="paragraph" w:styleId="Heading5">
    <w:name w:val="heading 5"/>
    <w:basedOn w:val="HeadingBase"/>
    <w:next w:val="Normal"/>
    <w:link w:val="Heading5Char"/>
    <w:qFormat/>
    <w:rsid w:val="00C74C51"/>
    <w:pPr>
      <w:spacing w:before="80"/>
      <w:outlineLvl w:val="4"/>
    </w:pPr>
    <w:rPr>
      <w:color w:val="918585"/>
      <w:sz w:val="20"/>
    </w:rPr>
  </w:style>
  <w:style w:type="paragraph" w:styleId="Heading6">
    <w:name w:val="heading 6"/>
    <w:basedOn w:val="HeadingBase"/>
    <w:next w:val="Normal"/>
    <w:link w:val="Heading6Char"/>
    <w:qFormat/>
    <w:rsid w:val="00C74C51"/>
    <w:pPr>
      <w:spacing w:before="60"/>
      <w:outlineLvl w:val="5"/>
    </w:pPr>
    <w:rPr>
      <w:color w:val="918585"/>
      <w:sz w:val="20"/>
    </w:rPr>
  </w:style>
  <w:style w:type="paragraph" w:styleId="Heading7">
    <w:name w:val="heading 7"/>
    <w:basedOn w:val="Normal"/>
    <w:next w:val="Normal"/>
    <w:link w:val="Heading7Char"/>
    <w:qFormat/>
    <w:rsid w:val="00C74C51"/>
    <w:pPr>
      <w:ind w:left="720"/>
      <w:outlineLvl w:val="6"/>
    </w:pPr>
    <w:rPr>
      <w:i/>
    </w:rPr>
  </w:style>
  <w:style w:type="paragraph" w:styleId="Heading8">
    <w:name w:val="heading 8"/>
    <w:basedOn w:val="Normal"/>
    <w:next w:val="Normal"/>
    <w:link w:val="Heading8Char"/>
    <w:qFormat/>
    <w:rsid w:val="00C74C51"/>
    <w:pPr>
      <w:ind w:left="720"/>
      <w:outlineLvl w:val="7"/>
    </w:pPr>
    <w:rPr>
      <w:i/>
    </w:rPr>
  </w:style>
  <w:style w:type="paragraph" w:styleId="Heading9">
    <w:name w:val="heading 9"/>
    <w:basedOn w:val="Normal"/>
    <w:next w:val="Normal"/>
    <w:link w:val="Heading9Char"/>
    <w:qFormat/>
    <w:rsid w:val="00C74C51"/>
    <w:pPr>
      <w:ind w:left="720"/>
      <w:outlineLvl w:val="8"/>
    </w:pPr>
    <w:rPr>
      <w:i/>
    </w:rPr>
  </w:style>
  <w:style w:type="character" w:default="1" w:styleId="DefaultParagraphFont">
    <w:name w:val="Default Paragraph Font"/>
    <w:uiPriority w:val="1"/>
    <w:unhideWhenUsed/>
    <w:rsid w:val="00C74C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C51"/>
  </w:style>
  <w:style w:type="character" w:customStyle="1" w:styleId="Heading1Char">
    <w:name w:val="Heading 1 Char"/>
    <w:basedOn w:val="DefaultParagraphFont"/>
    <w:link w:val="Heading1"/>
    <w:rsid w:val="00C74C51"/>
    <w:rPr>
      <w:rFonts w:ascii="Times New Roman" w:eastAsia="Times New Roman" w:hAnsi="Times New Roman" w:cs="Times New Roman"/>
      <w:b/>
      <w:sz w:val="32"/>
      <w:szCs w:val="20"/>
      <w:lang w:eastAsia="en-US"/>
    </w:rPr>
  </w:style>
  <w:style w:type="paragraph" w:styleId="BodyText">
    <w:name w:val="Body Text"/>
    <w:basedOn w:val="Normal"/>
    <w:link w:val="BodyTextChar"/>
    <w:rsid w:val="00C74C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4C51"/>
    <w:rPr>
      <w:rFonts w:ascii="Times New Roman" w:eastAsia="Times New Roman" w:hAnsi="Times New Roman" w:cs="Times New Roman"/>
      <w:sz w:val="24"/>
      <w:lang w:val="en-US" w:eastAsia="en-US"/>
    </w:rPr>
  </w:style>
  <w:style w:type="paragraph" w:styleId="Footer">
    <w:name w:val="footer"/>
    <w:basedOn w:val="Normal"/>
    <w:link w:val="FooterChar"/>
    <w:rsid w:val="00C74C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C51"/>
    <w:rPr>
      <w:rFonts w:ascii="Times New Roman" w:eastAsia="Times New Roman" w:hAnsi="Times New Roman" w:cs="Times New Roman"/>
      <w:sz w:val="16"/>
      <w:lang w:val="en-US" w:eastAsia="en-US"/>
    </w:rPr>
  </w:style>
  <w:style w:type="paragraph" w:styleId="List">
    <w:name w:val="List"/>
    <w:basedOn w:val="BodyText"/>
    <w:next w:val="BodyText"/>
    <w:rsid w:val="00C74C51"/>
    <w:pPr>
      <w:tabs>
        <w:tab w:val="left" w:pos="340"/>
      </w:tabs>
      <w:spacing w:before="60" w:after="60"/>
      <w:ind w:left="340" w:hanging="340"/>
    </w:pPr>
  </w:style>
  <w:style w:type="paragraph" w:styleId="ListBullet">
    <w:name w:val="List Bullet"/>
    <w:basedOn w:val="List"/>
    <w:rsid w:val="00C74C51"/>
    <w:pPr>
      <w:numPr>
        <w:numId w:val="14"/>
      </w:numPr>
      <w:tabs>
        <w:tab w:val="clear" w:pos="340"/>
      </w:tabs>
      <w:spacing w:before="40" w:after="40"/>
    </w:pPr>
  </w:style>
  <w:style w:type="character" w:customStyle="1" w:styleId="SpecialBold">
    <w:name w:val="Special Bold"/>
    <w:basedOn w:val="DefaultParagraphFont"/>
    <w:rsid w:val="00C74C51"/>
    <w:rPr>
      <w:b/>
      <w:spacing w:val="0"/>
    </w:rPr>
  </w:style>
  <w:style w:type="paragraph" w:styleId="ListBullet2">
    <w:name w:val="List Bullet 2"/>
    <w:basedOn w:val="List2"/>
    <w:rsid w:val="00C74C51"/>
    <w:pPr>
      <w:numPr>
        <w:numId w:val="15"/>
      </w:numPr>
      <w:tabs>
        <w:tab w:val="clear" w:pos="680"/>
      </w:tabs>
    </w:pPr>
  </w:style>
  <w:style w:type="paragraph" w:styleId="Header">
    <w:name w:val="header"/>
    <w:basedOn w:val="Normal"/>
    <w:link w:val="HeaderChar"/>
    <w:rsid w:val="00C74C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C5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4C51"/>
    <w:pPr>
      <w:spacing w:before="240" w:after="120"/>
      <w:outlineLvl w:val="0"/>
    </w:pPr>
    <w:rPr>
      <w:rFonts w:ascii="Times New Roman" w:hAnsi="Times New Roman"/>
      <w:b/>
      <w:sz w:val="28"/>
    </w:rPr>
  </w:style>
  <w:style w:type="paragraph" w:customStyle="1" w:styleId="AllowPageBreak">
    <w:name w:val="AllowPageBreak"/>
    <w:rsid w:val="00C74C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4C51"/>
    <w:pPr>
      <w:tabs>
        <w:tab w:val="left" w:pos="680"/>
      </w:tabs>
      <w:spacing w:before="60" w:after="60"/>
      <w:ind w:left="680" w:hanging="340"/>
    </w:pPr>
  </w:style>
  <w:style w:type="paragraph" w:styleId="ListBullet3">
    <w:name w:val="List Bullet 3"/>
    <w:basedOn w:val="List3"/>
    <w:rsid w:val="00C74C51"/>
    <w:pPr>
      <w:numPr>
        <w:numId w:val="3"/>
      </w:numPr>
      <w:tabs>
        <w:tab w:val="clear" w:pos="1021"/>
      </w:tabs>
      <w:ind w:left="1037" w:hanging="357"/>
    </w:pPr>
  </w:style>
  <w:style w:type="character" w:customStyle="1" w:styleId="BoldandItalics">
    <w:name w:val="Bold and Italics"/>
    <w:qFormat/>
    <w:rsid w:val="00C74C51"/>
    <w:rPr>
      <w:b/>
      <w:i/>
      <w:u w:val="none"/>
    </w:rPr>
  </w:style>
  <w:style w:type="character" w:customStyle="1" w:styleId="Heading2Char">
    <w:name w:val="Heading 2 Char"/>
    <w:basedOn w:val="DefaultParagraphFont"/>
    <w:link w:val="Heading2"/>
    <w:rsid w:val="00C74C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C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C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C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C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C5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4C5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4C51"/>
    <w:rPr>
      <w:rFonts w:ascii="Courier New" w:eastAsia="Times New Roman" w:hAnsi="Courier New" w:cs="Times New Roman"/>
      <w:i/>
      <w:szCs w:val="20"/>
      <w:lang w:val="en-US" w:eastAsia="en-US"/>
    </w:rPr>
  </w:style>
  <w:style w:type="paragraph" w:customStyle="1" w:styleId="HeadingBase">
    <w:name w:val="Heading Base"/>
    <w:rsid w:val="00C74C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C51"/>
    <w:pPr>
      <w:tabs>
        <w:tab w:val="right" w:leader="dot" w:pos="9072"/>
      </w:tabs>
      <w:ind w:left="567"/>
    </w:pPr>
    <w:rPr>
      <w:szCs w:val="22"/>
    </w:rPr>
  </w:style>
  <w:style w:type="paragraph" w:customStyle="1" w:styleId="TOCBase">
    <w:name w:val="TOC Base"/>
    <w:rsid w:val="00C74C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C51"/>
    <w:pPr>
      <w:tabs>
        <w:tab w:val="right" w:leader="dot" w:pos="9072"/>
      </w:tabs>
      <w:spacing w:before="40" w:after="40"/>
      <w:ind w:left="284"/>
    </w:pPr>
    <w:rPr>
      <w:rFonts w:ascii="Times New Roman" w:hAnsi="Times New Roman"/>
    </w:rPr>
  </w:style>
  <w:style w:type="paragraph" w:styleId="TOC1">
    <w:name w:val="toc 1"/>
    <w:basedOn w:val="TOCBase"/>
    <w:next w:val="Normal"/>
    <w:rsid w:val="00C74C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4C51"/>
    <w:pPr>
      <w:spacing w:before="5040"/>
      <w:jc w:val="center"/>
    </w:pPr>
    <w:rPr>
      <w:sz w:val="48"/>
      <w:szCs w:val="72"/>
      <w:lang w:val="en-US"/>
    </w:rPr>
  </w:style>
  <w:style w:type="character" w:customStyle="1" w:styleId="TitleChar">
    <w:name w:val="Title Char"/>
    <w:basedOn w:val="DefaultParagraphFont"/>
    <w:link w:val="Title"/>
    <w:rsid w:val="00C74C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C51"/>
    <w:pPr>
      <w:tabs>
        <w:tab w:val="left" w:pos="3600"/>
        <w:tab w:val="left" w:pos="3958"/>
      </w:tabs>
    </w:pPr>
  </w:style>
  <w:style w:type="paragraph" w:customStyle="1" w:styleId="Note">
    <w:name w:val="Note"/>
    <w:basedOn w:val="BodyText"/>
    <w:rsid w:val="00C74C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C51"/>
    <w:pPr>
      <w:framePr w:wrap="auto" w:hAnchor="text" w:y="6049"/>
    </w:pPr>
    <w:rPr>
      <w:color w:val="000000"/>
      <w:sz w:val="40"/>
    </w:rPr>
  </w:style>
  <w:style w:type="paragraph" w:customStyle="1" w:styleId="TOCTitle">
    <w:name w:val="TOCTitle"/>
    <w:basedOn w:val="Heading1"/>
    <w:rsid w:val="00C74C51"/>
    <w:pPr>
      <w:spacing w:after="240"/>
      <w:jc w:val="center"/>
      <w:outlineLvl w:val="9"/>
    </w:pPr>
    <w:rPr>
      <w:caps/>
    </w:rPr>
  </w:style>
  <w:style w:type="paragraph" w:customStyle="1" w:styleId="Version">
    <w:name w:val="Version"/>
    <w:rsid w:val="00C74C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C51"/>
    <w:pPr>
      <w:keepNext w:val="0"/>
      <w:tabs>
        <w:tab w:val="right" w:pos="4176"/>
      </w:tabs>
      <w:ind w:left="198" w:hanging="198"/>
    </w:pPr>
    <w:rPr>
      <w:rFonts w:ascii="Garamond" w:hAnsi="Garamond"/>
    </w:rPr>
  </w:style>
  <w:style w:type="paragraph" w:styleId="IndexHeading">
    <w:name w:val="index heading"/>
    <w:basedOn w:val="Normal"/>
    <w:next w:val="Index1"/>
    <w:semiHidden/>
    <w:rsid w:val="00C74C51"/>
    <w:pPr>
      <w:spacing w:before="120" w:after="120"/>
    </w:pPr>
    <w:rPr>
      <w:rFonts w:ascii="Arial" w:hAnsi="Arial"/>
      <w:b/>
      <w:color w:val="918585"/>
      <w:sz w:val="24"/>
    </w:rPr>
  </w:style>
  <w:style w:type="paragraph" w:customStyle="1" w:styleId="Chapter">
    <w:name w:val="Chapter"/>
    <w:basedOn w:val="Normal"/>
    <w:rsid w:val="00C74C51"/>
    <w:pPr>
      <w:spacing w:before="240"/>
    </w:pPr>
    <w:rPr>
      <w:rFonts w:ascii="Times New Roman" w:hAnsi="Times New Roman"/>
      <w:smallCaps/>
      <w:spacing w:val="80"/>
      <w:sz w:val="28"/>
    </w:rPr>
  </w:style>
  <w:style w:type="paragraph" w:customStyle="1" w:styleId="InChapter">
    <w:name w:val="InChapter"/>
    <w:basedOn w:val="Heading3"/>
    <w:rsid w:val="00C74C51"/>
    <w:pPr>
      <w:spacing w:after="240"/>
      <w:outlineLvl w:val="9"/>
    </w:pPr>
    <w:rPr>
      <w:noProof/>
    </w:rPr>
  </w:style>
  <w:style w:type="paragraph" w:styleId="Index2">
    <w:name w:val="index 2"/>
    <w:basedOn w:val="Normal"/>
    <w:next w:val="Normal"/>
    <w:semiHidden/>
    <w:rsid w:val="00C74C51"/>
    <w:pPr>
      <w:tabs>
        <w:tab w:val="right" w:pos="4176"/>
      </w:tabs>
      <w:ind w:left="568" w:hanging="284"/>
    </w:pPr>
    <w:rPr>
      <w:rFonts w:ascii="Garamond" w:hAnsi="Garamond"/>
    </w:rPr>
  </w:style>
  <w:style w:type="paragraph" w:customStyle="1" w:styleId="Byline">
    <w:name w:val="Byline"/>
    <w:rsid w:val="00C74C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C51"/>
    <w:pPr>
      <w:tabs>
        <w:tab w:val="clear" w:pos="3600"/>
        <w:tab w:val="clear" w:pos="3958"/>
      </w:tabs>
      <w:jc w:val="right"/>
    </w:pPr>
  </w:style>
  <w:style w:type="character" w:styleId="Emphasis">
    <w:name w:val="Emphasis"/>
    <w:basedOn w:val="DefaultParagraphFont"/>
    <w:qFormat/>
    <w:rsid w:val="00C74C51"/>
    <w:rPr>
      <w:i/>
    </w:rPr>
  </w:style>
  <w:style w:type="paragraph" w:styleId="Caption">
    <w:name w:val="caption"/>
    <w:basedOn w:val="BodyText"/>
    <w:next w:val="Normal"/>
    <w:qFormat/>
    <w:rsid w:val="00C74C51"/>
    <w:pPr>
      <w:framePr w:w="2268" w:hSpace="181" w:vSpace="181" w:wrap="around" w:vAnchor="text" w:hAnchor="page" w:x="1135" w:y="285" w:anchorLock="1"/>
    </w:pPr>
    <w:rPr>
      <w:i/>
    </w:rPr>
  </w:style>
  <w:style w:type="paragraph" w:customStyle="1" w:styleId="MiniTOCTitle">
    <w:name w:val="MiniTOCTitle"/>
    <w:basedOn w:val="Heading4"/>
    <w:rsid w:val="00C74C51"/>
    <w:pPr>
      <w:spacing w:before="240"/>
      <w:outlineLvl w:val="9"/>
    </w:pPr>
    <w:rPr>
      <w:noProof/>
      <w:sz w:val="24"/>
    </w:rPr>
  </w:style>
  <w:style w:type="paragraph" w:customStyle="1" w:styleId="MiniTOCItem">
    <w:name w:val="MiniTOCItem"/>
    <w:basedOn w:val="ListBullet"/>
    <w:rsid w:val="00C74C51"/>
    <w:pPr>
      <w:numPr>
        <w:numId w:val="0"/>
      </w:numPr>
      <w:tabs>
        <w:tab w:val="right" w:leader="dot" w:pos="6521"/>
      </w:tabs>
      <w:spacing w:before="0" w:after="0"/>
    </w:pPr>
  </w:style>
  <w:style w:type="paragraph" w:customStyle="1" w:styleId="TOFTitle">
    <w:name w:val="TOFTitle"/>
    <w:basedOn w:val="TOCTitle"/>
    <w:rsid w:val="00C74C51"/>
  </w:style>
  <w:style w:type="paragraph" w:styleId="TableofFigures">
    <w:name w:val="table of figures"/>
    <w:basedOn w:val="Normal"/>
    <w:next w:val="Normal"/>
    <w:semiHidden/>
    <w:rsid w:val="00C74C51"/>
    <w:pPr>
      <w:tabs>
        <w:tab w:val="right" w:leader="dot" w:pos="9072"/>
      </w:tabs>
      <w:ind w:left="970" w:hanging="403"/>
    </w:pPr>
    <w:rPr>
      <w:rFonts w:ascii="Times New Roman" w:hAnsi="Times New Roman"/>
      <w:b/>
    </w:rPr>
  </w:style>
  <w:style w:type="paragraph" w:styleId="ListNumber">
    <w:name w:val="List Number"/>
    <w:basedOn w:val="List"/>
    <w:rsid w:val="00C74C51"/>
    <w:pPr>
      <w:numPr>
        <w:numId w:val="12"/>
      </w:numPr>
    </w:pPr>
  </w:style>
  <w:style w:type="character" w:customStyle="1" w:styleId="WingdingSymbols">
    <w:name w:val="Wingding Symbols"/>
    <w:rsid w:val="00C74C51"/>
    <w:rPr>
      <w:rFonts w:ascii="Wingdings" w:hAnsi="Wingdings"/>
    </w:rPr>
  </w:style>
  <w:style w:type="paragraph" w:customStyle="1" w:styleId="TableHeading">
    <w:name w:val="Table Heading"/>
    <w:basedOn w:val="HeadingBase"/>
    <w:rsid w:val="00C74C51"/>
    <w:pPr>
      <w:keepLines/>
      <w:pBdr>
        <w:bottom w:val="single" w:sz="6" w:space="1" w:color="918585"/>
      </w:pBdr>
      <w:spacing w:before="240"/>
    </w:pPr>
  </w:style>
  <w:style w:type="character" w:customStyle="1" w:styleId="HotSpot">
    <w:name w:val="HotSpot"/>
    <w:rsid w:val="00C74C51"/>
    <w:rPr>
      <w:color w:val="0033CC"/>
      <w:u w:val="none"/>
    </w:rPr>
  </w:style>
  <w:style w:type="paragraph" w:customStyle="1" w:styleId="BodyTextRight">
    <w:name w:val="Body Text Right"/>
    <w:basedOn w:val="BodyText"/>
    <w:rsid w:val="00C74C51"/>
    <w:pPr>
      <w:spacing w:before="0" w:after="0"/>
      <w:jc w:val="right"/>
    </w:pPr>
  </w:style>
  <w:style w:type="paragraph" w:styleId="Index3">
    <w:name w:val="index 3"/>
    <w:basedOn w:val="ListNumber2"/>
    <w:next w:val="Normal"/>
    <w:semiHidden/>
    <w:rsid w:val="00C74C51"/>
    <w:pPr>
      <w:numPr>
        <w:numId w:val="0"/>
      </w:numPr>
      <w:tabs>
        <w:tab w:val="right" w:leader="dot" w:pos="4176"/>
      </w:tabs>
    </w:pPr>
  </w:style>
  <w:style w:type="paragraph" w:styleId="ListNumber2">
    <w:name w:val="List Number 2"/>
    <w:basedOn w:val="List2"/>
    <w:rsid w:val="00C74C51"/>
    <w:pPr>
      <w:numPr>
        <w:numId w:val="11"/>
      </w:numPr>
      <w:tabs>
        <w:tab w:val="clear" w:pos="1060"/>
      </w:tabs>
    </w:pPr>
  </w:style>
  <w:style w:type="paragraph" w:customStyle="1" w:styleId="MarginNote">
    <w:name w:val="Margin Note"/>
    <w:basedOn w:val="BodyText"/>
    <w:rsid w:val="00C74C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C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C5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4C51"/>
    <w:rPr>
      <w:sz w:val="32"/>
    </w:rPr>
  </w:style>
  <w:style w:type="paragraph" w:customStyle="1" w:styleId="HeadingProcedure">
    <w:name w:val="Heading Procedure"/>
    <w:basedOn w:val="HeadingBase"/>
    <w:next w:val="Normal"/>
    <w:rsid w:val="00C74C51"/>
    <w:pPr>
      <w:tabs>
        <w:tab w:val="left" w:pos="0"/>
      </w:tabs>
      <w:spacing w:before="120" w:after="60"/>
    </w:pPr>
    <w:rPr>
      <w:i/>
      <w:color w:val="918585"/>
      <w:sz w:val="22"/>
    </w:rPr>
  </w:style>
  <w:style w:type="paragraph" w:customStyle="1" w:styleId="TableBodyText">
    <w:name w:val="Table Body Text"/>
    <w:basedOn w:val="BodyText"/>
    <w:rsid w:val="00C74C51"/>
    <w:pPr>
      <w:spacing w:before="60" w:after="60"/>
    </w:pPr>
  </w:style>
  <w:style w:type="paragraph" w:styleId="ListContinue">
    <w:name w:val="List Continue"/>
    <w:basedOn w:val="List"/>
    <w:rsid w:val="00C74C51"/>
    <w:pPr>
      <w:ind w:firstLine="0"/>
    </w:pPr>
  </w:style>
  <w:style w:type="paragraph" w:customStyle="1" w:styleId="ListNote">
    <w:name w:val="List Note"/>
    <w:basedOn w:val="List"/>
    <w:rsid w:val="00C74C51"/>
    <w:pPr>
      <w:pBdr>
        <w:top w:val="single" w:sz="6" w:space="2" w:color="918585"/>
        <w:bottom w:val="single" w:sz="6" w:space="2" w:color="918585"/>
      </w:pBdr>
      <w:tabs>
        <w:tab w:val="left" w:pos="1021"/>
      </w:tabs>
      <w:ind w:firstLine="0"/>
    </w:pPr>
  </w:style>
  <w:style w:type="paragraph" w:customStyle="1" w:styleId="Warning">
    <w:name w:val="Warning"/>
    <w:basedOn w:val="BodyText"/>
    <w:rsid w:val="00C74C51"/>
    <w:pPr>
      <w:shd w:val="clear" w:color="auto" w:fill="D9D9D9"/>
      <w:tabs>
        <w:tab w:val="left" w:pos="992"/>
      </w:tabs>
      <w:ind w:left="119" w:right="119"/>
    </w:pPr>
    <w:rPr>
      <w:sz w:val="20"/>
    </w:rPr>
  </w:style>
  <w:style w:type="paragraph" w:customStyle="1" w:styleId="MarginIcons">
    <w:name w:val="Margin Icons"/>
    <w:basedOn w:val="BodyText"/>
    <w:rsid w:val="00C74C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C51"/>
    <w:rPr>
      <w:rFonts w:ascii="Courier New" w:hAnsi="Courier New"/>
    </w:rPr>
  </w:style>
  <w:style w:type="paragraph" w:customStyle="1" w:styleId="NoteBullet">
    <w:name w:val="Note Bullet"/>
    <w:basedOn w:val="Note"/>
    <w:rsid w:val="00C74C51"/>
    <w:pPr>
      <w:tabs>
        <w:tab w:val="clear" w:pos="680"/>
      </w:tabs>
      <w:spacing w:before="60" w:after="60"/>
    </w:pPr>
  </w:style>
  <w:style w:type="paragraph" w:customStyle="1" w:styleId="SubHeading2">
    <w:name w:val="SubHeading2"/>
    <w:basedOn w:val="HeadingBase"/>
    <w:rsid w:val="00C74C51"/>
    <w:pPr>
      <w:spacing w:before="240" w:after="60"/>
    </w:pPr>
    <w:rPr>
      <w:sz w:val="20"/>
    </w:rPr>
  </w:style>
  <w:style w:type="paragraph" w:customStyle="1" w:styleId="SubHeading1">
    <w:name w:val="SubHeading1"/>
    <w:basedOn w:val="HeadingBase"/>
    <w:rsid w:val="00C74C51"/>
    <w:pPr>
      <w:spacing w:before="240" w:after="60"/>
    </w:pPr>
    <w:rPr>
      <w:color w:val="918585"/>
      <w:sz w:val="22"/>
    </w:rPr>
  </w:style>
  <w:style w:type="paragraph" w:customStyle="1" w:styleId="SideHeading">
    <w:name w:val="Side Heading"/>
    <w:basedOn w:val="HeadingBase"/>
    <w:rsid w:val="00C74C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C51"/>
    <w:pPr>
      <w:numPr>
        <w:numId w:val="13"/>
      </w:numPr>
    </w:pPr>
  </w:style>
  <w:style w:type="paragraph" w:styleId="PlainText">
    <w:name w:val="Plain Text"/>
    <w:basedOn w:val="Normal"/>
    <w:link w:val="PlainTextChar"/>
    <w:rsid w:val="00C74C51"/>
    <w:rPr>
      <w:sz w:val="20"/>
    </w:rPr>
  </w:style>
  <w:style w:type="character" w:customStyle="1" w:styleId="PlainTextChar">
    <w:name w:val="Plain Text Char"/>
    <w:basedOn w:val="DefaultParagraphFont"/>
    <w:link w:val="PlainText"/>
    <w:rsid w:val="00C74C5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4C51"/>
    <w:rPr>
      <w:b/>
      <w:smallCaps/>
    </w:rPr>
  </w:style>
  <w:style w:type="paragraph" w:customStyle="1" w:styleId="TableListNumber">
    <w:name w:val="Table List Number"/>
    <w:basedOn w:val="ListNumber"/>
    <w:rsid w:val="00C74C51"/>
    <w:pPr>
      <w:numPr>
        <w:numId w:val="0"/>
      </w:numPr>
    </w:pPr>
  </w:style>
  <w:style w:type="paragraph" w:styleId="TOC4">
    <w:name w:val="toc 4"/>
    <w:basedOn w:val="TOCBase"/>
    <w:next w:val="Normal"/>
    <w:semiHidden/>
    <w:rsid w:val="00C74C51"/>
    <w:pPr>
      <w:tabs>
        <w:tab w:val="right" w:leader="dot" w:pos="9071"/>
      </w:tabs>
      <w:ind w:left="1701"/>
    </w:pPr>
  </w:style>
  <w:style w:type="paragraph" w:customStyle="1" w:styleId="ListAlpha">
    <w:name w:val="List Alpha"/>
    <w:basedOn w:val="List"/>
    <w:rsid w:val="00C74C51"/>
    <w:pPr>
      <w:numPr>
        <w:numId w:val="10"/>
      </w:numPr>
    </w:pPr>
  </w:style>
  <w:style w:type="paragraph" w:customStyle="1" w:styleId="ListAlpha2">
    <w:name w:val="List Alpha 2"/>
    <w:basedOn w:val="List2"/>
    <w:rsid w:val="00C74C51"/>
    <w:pPr>
      <w:numPr>
        <w:numId w:val="9"/>
      </w:numPr>
    </w:pPr>
  </w:style>
  <w:style w:type="paragraph" w:styleId="List3">
    <w:name w:val="List 3"/>
    <w:basedOn w:val="BodyText"/>
    <w:rsid w:val="00C74C51"/>
    <w:pPr>
      <w:tabs>
        <w:tab w:val="left" w:pos="1021"/>
      </w:tabs>
      <w:spacing w:before="60" w:after="60"/>
      <w:ind w:left="1020" w:hanging="340"/>
    </w:pPr>
  </w:style>
  <w:style w:type="paragraph" w:styleId="List4">
    <w:name w:val="List 4"/>
    <w:basedOn w:val="BodyText"/>
    <w:rsid w:val="00C74C51"/>
    <w:pPr>
      <w:tabs>
        <w:tab w:val="left" w:pos="1361"/>
      </w:tabs>
      <w:spacing w:before="60" w:after="60"/>
      <w:ind w:left="1361" w:hanging="340"/>
    </w:pPr>
  </w:style>
  <w:style w:type="paragraph" w:styleId="List5">
    <w:name w:val="List 5"/>
    <w:basedOn w:val="BodyText"/>
    <w:rsid w:val="00C74C51"/>
    <w:pPr>
      <w:tabs>
        <w:tab w:val="left" w:pos="1701"/>
      </w:tabs>
      <w:spacing w:before="60" w:after="60"/>
      <w:ind w:left="1701" w:hanging="340"/>
    </w:pPr>
  </w:style>
  <w:style w:type="paragraph" w:styleId="ListBullet4">
    <w:name w:val="List Bullet 4"/>
    <w:basedOn w:val="List4"/>
    <w:rsid w:val="00C74C51"/>
    <w:pPr>
      <w:numPr>
        <w:numId w:val="4"/>
      </w:numPr>
    </w:pPr>
  </w:style>
  <w:style w:type="paragraph" w:styleId="ListBullet5">
    <w:name w:val="List Bullet 5"/>
    <w:basedOn w:val="List5"/>
    <w:rsid w:val="00C74C51"/>
    <w:pPr>
      <w:numPr>
        <w:numId w:val="5"/>
      </w:numPr>
    </w:pPr>
  </w:style>
  <w:style w:type="paragraph" w:styleId="ListContinue2">
    <w:name w:val="List Continue 2"/>
    <w:basedOn w:val="List2"/>
    <w:rsid w:val="00C74C51"/>
    <w:pPr>
      <w:ind w:firstLine="0"/>
    </w:pPr>
  </w:style>
  <w:style w:type="paragraph" w:styleId="ListContinue3">
    <w:name w:val="List Continue 3"/>
    <w:basedOn w:val="List3"/>
    <w:rsid w:val="00C74C51"/>
    <w:pPr>
      <w:ind w:left="1021" w:firstLine="0"/>
    </w:pPr>
  </w:style>
  <w:style w:type="paragraph" w:styleId="ListContinue4">
    <w:name w:val="List Continue 4"/>
    <w:basedOn w:val="List4"/>
    <w:rsid w:val="00C74C51"/>
    <w:pPr>
      <w:ind w:firstLine="0"/>
    </w:pPr>
  </w:style>
  <w:style w:type="paragraph" w:styleId="ListContinue5">
    <w:name w:val="List Continue 5"/>
    <w:basedOn w:val="List5"/>
    <w:rsid w:val="00C74C51"/>
    <w:pPr>
      <w:ind w:firstLine="0"/>
    </w:pPr>
  </w:style>
  <w:style w:type="paragraph" w:styleId="ListNumber3">
    <w:name w:val="List Number 3"/>
    <w:basedOn w:val="List3"/>
    <w:rsid w:val="00C74C51"/>
    <w:pPr>
      <w:numPr>
        <w:numId w:val="6"/>
      </w:numPr>
    </w:pPr>
  </w:style>
  <w:style w:type="paragraph" w:styleId="ListNumber4">
    <w:name w:val="List Number 4"/>
    <w:basedOn w:val="List4"/>
    <w:rsid w:val="00C74C51"/>
    <w:pPr>
      <w:numPr>
        <w:numId w:val="7"/>
      </w:numPr>
    </w:pPr>
  </w:style>
  <w:style w:type="paragraph" w:styleId="ListNumber5">
    <w:name w:val="List Number 5"/>
    <w:basedOn w:val="List5"/>
    <w:rsid w:val="00C74C51"/>
    <w:pPr>
      <w:numPr>
        <w:numId w:val="8"/>
      </w:numPr>
    </w:pPr>
  </w:style>
  <w:style w:type="paragraph" w:styleId="BlockText">
    <w:name w:val="Block Text"/>
    <w:basedOn w:val="Normal"/>
    <w:rsid w:val="00C74C51"/>
    <w:pPr>
      <w:spacing w:after="120"/>
      <w:ind w:left="1440" w:right="1440"/>
    </w:pPr>
  </w:style>
  <w:style w:type="character" w:customStyle="1" w:styleId="Subscript">
    <w:name w:val="Subscript"/>
    <w:basedOn w:val="DefaultParagraphFont"/>
    <w:rsid w:val="00C74C51"/>
    <w:rPr>
      <w:sz w:val="16"/>
      <w:vertAlign w:val="subscript"/>
    </w:rPr>
  </w:style>
  <w:style w:type="character" w:customStyle="1" w:styleId="Superscript">
    <w:name w:val="Superscript"/>
    <w:basedOn w:val="DefaultParagraphFont"/>
    <w:rsid w:val="00C74C51"/>
    <w:rPr>
      <w:sz w:val="16"/>
      <w:vertAlign w:val="superscript"/>
    </w:rPr>
  </w:style>
  <w:style w:type="character" w:customStyle="1" w:styleId="Symbols">
    <w:name w:val="Symbols"/>
    <w:basedOn w:val="DefaultParagraphFont"/>
    <w:rsid w:val="00C74C51"/>
    <w:rPr>
      <w:rFonts w:ascii="Symbol" w:hAnsi="Symbol"/>
    </w:rPr>
  </w:style>
  <w:style w:type="character" w:customStyle="1" w:styleId="MenuOptions">
    <w:name w:val="Menu Options"/>
    <w:basedOn w:val="DefaultParagraphFont"/>
    <w:rsid w:val="00C74C51"/>
    <w:rPr>
      <w:rFonts w:ascii="Arial Narrow" w:hAnsi="Arial Narrow"/>
      <w:smallCaps/>
    </w:rPr>
  </w:style>
  <w:style w:type="character" w:customStyle="1" w:styleId="Buttons">
    <w:name w:val="Buttons"/>
    <w:basedOn w:val="DefaultParagraphFont"/>
    <w:rsid w:val="00C74C51"/>
    <w:rPr>
      <w:b/>
    </w:rPr>
  </w:style>
  <w:style w:type="character" w:customStyle="1" w:styleId="Underlined">
    <w:name w:val="Underlined"/>
    <w:basedOn w:val="DefaultParagraphFont"/>
    <w:rsid w:val="00C74C51"/>
    <w:rPr>
      <w:u w:val="single"/>
    </w:rPr>
  </w:style>
  <w:style w:type="paragraph" w:customStyle="1" w:styleId="TableBodyTextRight">
    <w:name w:val="Table Body Text Right"/>
    <w:basedOn w:val="TableBodyText"/>
    <w:rsid w:val="00C74C51"/>
    <w:pPr>
      <w:widowControl w:val="0"/>
      <w:autoSpaceDE w:val="0"/>
      <w:autoSpaceDN w:val="0"/>
      <w:adjustRightInd w:val="0"/>
      <w:jc w:val="right"/>
    </w:pPr>
    <w:rPr>
      <w:rFonts w:cs="Arial"/>
      <w:szCs w:val="18"/>
    </w:rPr>
  </w:style>
  <w:style w:type="paragraph" w:customStyle="1" w:styleId="CopyrightText">
    <w:name w:val="Copyright Text"/>
    <w:basedOn w:val="BodyText"/>
    <w:rsid w:val="00C74C51"/>
    <w:rPr>
      <w:sz w:val="18"/>
    </w:rPr>
  </w:style>
  <w:style w:type="paragraph" w:customStyle="1" w:styleId="BodySmallRight">
    <w:name w:val="Body Small Right"/>
    <w:basedOn w:val="BodyTextRight"/>
    <w:rsid w:val="00C74C51"/>
    <w:rPr>
      <w:sz w:val="18"/>
      <w:szCs w:val="18"/>
    </w:rPr>
  </w:style>
  <w:style w:type="paragraph" w:customStyle="1" w:styleId="MarginEdition">
    <w:name w:val="Margin Edition"/>
    <w:basedOn w:val="MarginNote"/>
    <w:rsid w:val="00C74C51"/>
    <w:pPr>
      <w:spacing w:before="0" w:after="0"/>
    </w:pPr>
    <w:rPr>
      <w:rFonts w:ascii="Times New Roman" w:hAnsi="Times New Roman"/>
      <w:color w:val="999999"/>
    </w:rPr>
  </w:style>
  <w:style w:type="paragraph" w:customStyle="1" w:styleId="Spacer">
    <w:name w:val="Spacer"/>
    <w:basedOn w:val="Normal"/>
    <w:rsid w:val="00C74C51"/>
    <w:rPr>
      <w:sz w:val="2"/>
      <w:szCs w:val="2"/>
    </w:rPr>
  </w:style>
  <w:style w:type="character" w:customStyle="1" w:styleId="Small">
    <w:name w:val="Small"/>
    <w:basedOn w:val="DefaultParagraphFont"/>
    <w:rsid w:val="00C74C51"/>
    <w:rPr>
      <w:sz w:val="16"/>
    </w:rPr>
  </w:style>
  <w:style w:type="paragraph" w:customStyle="1" w:styleId="WideTable">
    <w:name w:val="Wide Table"/>
    <w:basedOn w:val="Normal"/>
    <w:rsid w:val="00C74C51"/>
    <w:pPr>
      <w:ind w:left="-1418"/>
    </w:pPr>
    <w:rPr>
      <w:sz w:val="2"/>
      <w:szCs w:val="2"/>
    </w:rPr>
  </w:style>
  <w:style w:type="character" w:styleId="PageNumber">
    <w:name w:val="page number"/>
    <w:basedOn w:val="DefaultParagraphFont"/>
    <w:rsid w:val="00C74C51"/>
  </w:style>
  <w:style w:type="paragraph" w:styleId="Quote">
    <w:name w:val="Quote"/>
    <w:basedOn w:val="Heading1"/>
    <w:link w:val="QuoteChar"/>
    <w:qFormat/>
    <w:rsid w:val="00C74C51"/>
    <w:rPr>
      <w:b w:val="0"/>
      <w:sz w:val="72"/>
      <w:szCs w:val="72"/>
      <w:lang w:val="en-NZ"/>
    </w:rPr>
  </w:style>
  <w:style w:type="character" w:customStyle="1" w:styleId="QuoteChar">
    <w:name w:val="Quote Char"/>
    <w:basedOn w:val="DefaultParagraphFont"/>
    <w:link w:val="Quote"/>
    <w:rsid w:val="00C74C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C51"/>
    <w:pPr>
      <w:pageBreakBefore/>
    </w:pPr>
  </w:style>
  <w:style w:type="paragraph" w:customStyle="1" w:styleId="Border">
    <w:name w:val="Border"/>
    <w:basedOn w:val="Normal"/>
    <w:qFormat/>
    <w:rsid w:val="00C74C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C51"/>
    <w:rPr>
      <w:b/>
      <w:bCs/>
      <w:i/>
      <w:iCs/>
      <w:color w:val="auto"/>
    </w:rPr>
  </w:style>
  <w:style w:type="paragraph" w:styleId="IntenseQuote">
    <w:name w:val="Intense Quote"/>
    <w:basedOn w:val="Normal"/>
    <w:next w:val="Normal"/>
    <w:link w:val="IntenseQuoteChar"/>
    <w:uiPriority w:val="30"/>
    <w:qFormat/>
    <w:rsid w:val="00C74C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C5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4C51"/>
    <w:rPr>
      <w:smallCaps/>
      <w:color w:val="auto"/>
      <w:u w:val="single"/>
    </w:rPr>
  </w:style>
  <w:style w:type="character" w:styleId="IntenseReference">
    <w:name w:val="Intense Reference"/>
    <w:basedOn w:val="DefaultParagraphFont"/>
    <w:uiPriority w:val="32"/>
    <w:qFormat/>
    <w:rsid w:val="00C74C51"/>
    <w:rPr>
      <w:b/>
      <w:bCs/>
      <w:smallCaps/>
      <w:color w:val="auto"/>
      <w:spacing w:val="5"/>
      <w:u w:val="single"/>
    </w:rPr>
  </w:style>
  <w:style w:type="paragraph" w:customStyle="1" w:styleId="2ColumnHeading">
    <w:name w:val="2Column Heading"/>
    <w:basedOn w:val="BodyText"/>
    <w:qFormat/>
    <w:rsid w:val="00C74C51"/>
    <w:pPr>
      <w:spacing w:after="60"/>
      <w:ind w:left="-2268"/>
    </w:pPr>
    <w:rPr>
      <w:b/>
    </w:rPr>
  </w:style>
  <w:style w:type="paragraph" w:customStyle="1" w:styleId="Heading1TOC">
    <w:name w:val="Heading1 TOC"/>
    <w:basedOn w:val="Normal"/>
    <w:qFormat/>
    <w:rsid w:val="00C74C51"/>
    <w:pPr>
      <w:spacing w:before="240" w:after="120"/>
    </w:pPr>
    <w:rPr>
      <w:rFonts w:ascii="Times New Roman" w:hAnsi="Times New Roman"/>
      <w:b/>
      <w:sz w:val="32"/>
    </w:rPr>
  </w:style>
  <w:style w:type="paragraph" w:customStyle="1" w:styleId="Heading2TOC">
    <w:name w:val="Heading2 TOC"/>
    <w:basedOn w:val="Normal"/>
    <w:qFormat/>
    <w:rsid w:val="00C74C51"/>
    <w:pPr>
      <w:spacing w:before="240" w:after="60"/>
    </w:pPr>
    <w:rPr>
      <w:rFonts w:ascii="Times New Roman" w:hAnsi="Times New Roman"/>
      <w:b/>
      <w:sz w:val="28"/>
    </w:rPr>
  </w:style>
  <w:style w:type="character" w:customStyle="1" w:styleId="Underline">
    <w:name w:val="Underline"/>
    <w:basedOn w:val="DefaultParagraphFont"/>
    <w:qFormat/>
    <w:rsid w:val="00C74C51"/>
    <w:rPr>
      <w:u w:val="single"/>
    </w:rPr>
  </w:style>
  <w:style w:type="paragraph" w:styleId="BalloonText">
    <w:name w:val="Balloon Text"/>
    <w:basedOn w:val="Normal"/>
    <w:link w:val="BalloonTextChar"/>
    <w:rsid w:val="00C74C51"/>
    <w:rPr>
      <w:rFonts w:ascii="Tahoma" w:hAnsi="Tahoma" w:cs="Tahoma"/>
      <w:sz w:val="16"/>
      <w:szCs w:val="16"/>
    </w:rPr>
  </w:style>
  <w:style w:type="character" w:customStyle="1" w:styleId="BalloonTextChar">
    <w:name w:val="Balloon Text Char"/>
    <w:basedOn w:val="DefaultParagraphFont"/>
    <w:link w:val="BalloonText"/>
    <w:rsid w:val="00C74C5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4C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4C5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1961</Words>
  <Characters>12710</Characters>
  <Application>Microsoft Office Word</Application>
  <DocSecurity>0</DocSecurity>
  <Lines>508</Lines>
  <Paragraphs>307</Paragraphs>
  <ScaleCrop>false</ScaleCrop>
  <Company>Author-it Software Corporation Ltd.</Company>
  <LinksUpToDate>false</LinksUpToDate>
  <CharactersWithSpaces>14587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ICTCBL3069A Install network cable equipment</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2012-05-26T07:26:00Z</dcterms:created>
  <dcterms:modified xsi:type="dcterms:W3CDTF">2012-05-26T07:26:00Z</dcterms:modified>
</cp:coreProperties>
</file>