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06B8B" w:rsidP="00C06B8B">
      <w:pPr>
        <w:pStyle w:val="Title"/>
      </w:pPr>
      <w:r>
        <w:fldChar w:fldCharType="begin"/>
      </w:r>
      <w:r>
        <w:instrText xml:space="preserve"> TITLE   \* MERGEFORMAT </w:instrText>
      </w:r>
      <w:r>
        <w:fldChar w:fldCharType="separate"/>
      </w:r>
      <w:r>
        <w:t>ICTCBL3011B Install and terminate coaxial cable</w:t>
      </w:r>
      <w:r>
        <w:fldChar w:fldCharType="end"/>
      </w:r>
    </w:p>
    <w:p w:rsidR="00C06B8B" w:rsidP="00C06B8B">
      <w:pPr>
        <w:pStyle w:val="Version"/>
        <w:sectPr w:rsidSect="00DC582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C582C" w:rsidP="00DC582C">
      <w:pPr>
        <w:pStyle w:val="SuperHeading"/>
      </w:pPr>
      <w:r w:rsidRPr="00DC582C">
        <w:t>ICTCBL3011B Install and terminate coaxial cable</w:t>
      </w:r>
    </w:p>
    <w:p w:rsidR="00000000" w:rsidRPr="00DC582C" w:rsidP="00DC582C">
      <w:pPr>
        <w:pStyle w:val="Heading1"/>
      </w:pPr>
      <w:bookmarkStart w:id="1" w:name="O_639597"/>
      <w:bookmarkEnd w:id="1"/>
      <w:r w:rsidRPr="00DC582C">
        <w:t>Modification History</w:t>
      </w:r>
    </w:p>
    <w:tbl>
      <w:tblPr>
        <w:tblW w:w="0" w:type="auto"/>
        <w:tblLayout w:type="fixed"/>
        <w:tblCellMar>
          <w:left w:w="62" w:type="dxa"/>
          <w:right w:w="62" w:type="dxa"/>
        </w:tblCellMar>
        <w:tblLook w:val="0000"/>
      </w:tblPr>
      <w:tblGrid>
        <w:gridCol w:w="2555"/>
        <w:gridCol w:w="6190"/>
      </w:tblGrid>
      <w:tr w:rsidTr="00DC582C">
        <w:tblPrEx>
          <w:tblW w:w="0" w:type="auto"/>
          <w:tblLayout w:type="fixed"/>
          <w:tblCellMar>
            <w:left w:w="62" w:type="dxa"/>
            <w:right w:w="62" w:type="dxa"/>
          </w:tblCellMar>
          <w:tblLook w:val="0000"/>
        </w:tblPrEx>
        <w:tc>
          <w:tcPr>
            <w:tcW w:w="2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582C" w:rsidP="00DC582C">
            <w:pPr>
              <w:pStyle w:val="BodyText"/>
            </w:pPr>
            <w:r w:rsidRPr="00DC582C">
              <w:rPr>
                <w:rStyle w:val="SpecialBold"/>
              </w:rPr>
              <w:t>Release</w:t>
            </w:r>
          </w:p>
        </w:tc>
        <w:tc>
          <w:tcPr>
            <w:tcW w:w="61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582C">
            <w:pPr>
              <w:pStyle w:val="BodyText"/>
              <w:rPr>
                <w:lang w:val="en-NZ"/>
              </w:rPr>
            </w:pPr>
            <w:r w:rsidRPr="00DC582C">
              <w:rPr>
                <w:rStyle w:val="SpecialBold"/>
              </w:rPr>
              <w:t>Comments</w:t>
            </w:r>
          </w:p>
        </w:tc>
      </w:tr>
      <w:tr w:rsidTr="00DC582C">
        <w:tblPrEx>
          <w:tblW w:w="0" w:type="auto"/>
          <w:tblLayout w:type="fixed"/>
          <w:tblCellMar>
            <w:left w:w="62" w:type="dxa"/>
            <w:right w:w="62" w:type="dxa"/>
          </w:tblCellMar>
          <w:tblLook w:val="0000"/>
        </w:tblPrEx>
        <w:tc>
          <w:tcPr>
            <w:tcW w:w="2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582C">
            <w:pPr>
              <w:pStyle w:val="BodyText"/>
              <w:rPr>
                <w:lang w:val="en-NZ"/>
              </w:rPr>
            </w:pPr>
            <w:r w:rsidRPr="00DC582C">
              <w:t>Release 2</w:t>
            </w:r>
          </w:p>
        </w:tc>
        <w:tc>
          <w:tcPr>
            <w:tcW w:w="61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582C" w:rsidP="00DC582C">
            <w:pPr>
              <w:pStyle w:val="BodyText"/>
            </w:pPr>
            <w:r w:rsidRPr="00DC582C">
              <w:t xml:space="preserve">This version first released with </w:t>
            </w:r>
            <w:r w:rsidRPr="00DC582C">
              <w:rPr>
                <w:rStyle w:val="Emphasis"/>
              </w:rPr>
              <w:t>ICT10 Integrated Telecommunications Training Package Version 3.0.</w:t>
            </w:r>
          </w:p>
          <w:p w:rsidR="00000000" w:rsidRPr="00DC582C" w:rsidP="00DC582C">
            <w:pPr>
              <w:pStyle w:val="BodyText"/>
            </w:pPr>
          </w:p>
          <w:p w:rsidR="00000000" w:rsidRPr="00DC582C" w:rsidP="00DC582C">
            <w:pPr>
              <w:pStyle w:val="BodyText"/>
            </w:pPr>
            <w:r w:rsidRPr="00DC582C">
              <w:t>Minor changes to an element, performance criteria, required knowledge and range statement.</w:t>
            </w:r>
          </w:p>
          <w:p w:rsidR="00000000" w:rsidRPr="00DC582C" w:rsidP="00DC582C">
            <w:pPr>
              <w:pStyle w:val="BodyText"/>
            </w:pPr>
          </w:p>
          <w:p w:rsidR="00000000" w:rsidP="00DC582C">
            <w:pPr>
              <w:pStyle w:val="BodyText"/>
              <w:rPr>
                <w:lang w:val="en-NZ"/>
              </w:rPr>
            </w:pPr>
            <w:r w:rsidRPr="00DC582C">
              <w:t>Outcome</w:t>
            </w:r>
            <w:r w:rsidRPr="00DC582C">
              <w:t>s deemed equivalent.</w:t>
            </w:r>
          </w:p>
        </w:tc>
      </w:tr>
      <w:tr w:rsidTr="00DC582C">
        <w:tblPrEx>
          <w:tblW w:w="0" w:type="auto"/>
          <w:tblLayout w:type="fixed"/>
          <w:tblCellMar>
            <w:left w:w="62" w:type="dxa"/>
            <w:right w:w="62" w:type="dxa"/>
          </w:tblCellMar>
          <w:tblLook w:val="0000"/>
        </w:tblPrEx>
        <w:tc>
          <w:tcPr>
            <w:tcW w:w="2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582C">
            <w:pPr>
              <w:pStyle w:val="BodyText"/>
              <w:rPr>
                <w:lang w:val="en-NZ"/>
              </w:rPr>
            </w:pPr>
            <w:r w:rsidRPr="00DC582C">
              <w:t>Release 1</w:t>
            </w:r>
          </w:p>
        </w:tc>
        <w:tc>
          <w:tcPr>
            <w:tcW w:w="61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582C" w:rsidP="00DC582C">
            <w:pPr>
              <w:pStyle w:val="BodyText"/>
            </w:pPr>
            <w:r w:rsidRPr="00DC582C">
              <w:t xml:space="preserve">This version first released with </w:t>
            </w:r>
            <w:r w:rsidRPr="00DC582C">
              <w:rPr>
                <w:rStyle w:val="Emphasis"/>
              </w:rPr>
              <w:t>ICT10 Integrated Telecommunications Training Package Version 1.0</w:t>
            </w:r>
            <w:r w:rsidRPr="00DC582C">
              <w:t>.</w:t>
            </w:r>
          </w:p>
        </w:tc>
      </w:tr>
    </w:tbl>
    <w:p w:rsidR="00000000" w:rsidRPr="00DC582C" w:rsidP="00DC582C">
      <w:pPr>
        <w:pStyle w:val="BodyText"/>
      </w:pPr>
    </w:p>
    <w:p w:rsidR="00000000" w:rsidRPr="00DC582C" w:rsidP="00DC582C">
      <w:pPr>
        <w:pStyle w:val="AllowPageBreak"/>
      </w:pPr>
    </w:p>
    <w:p w:rsidR="00000000" w:rsidRPr="00DC582C" w:rsidP="00DC582C">
      <w:pPr>
        <w:pStyle w:val="Heading1"/>
      </w:pPr>
      <w:bookmarkStart w:id="2" w:name="O_639598"/>
      <w:bookmarkEnd w:id="2"/>
      <w:r w:rsidRPr="00DC582C">
        <w:t>Unit Descriptor</w:t>
      </w:r>
    </w:p>
    <w:p w:rsidR="00000000" w:rsidRPr="00DC582C" w:rsidP="00DC582C">
      <w:pPr>
        <w:pStyle w:val="BodyText"/>
      </w:pPr>
      <w:r w:rsidRPr="00DC582C">
        <w:t>This unit describes the performance outcomes, skills and knowledge required to install and</w:t>
      </w:r>
      <w:r w:rsidRPr="00DC582C">
        <w:t xml:space="preserve"> terminate coaxial cable on customer premises in communications applications, digital and analog, including telephony, data and video, including digital broadcasting, computer networks, including local area networks (LAN), wide area networks (WAN) and mult</w:t>
      </w:r>
      <w:r w:rsidRPr="00DC582C">
        <w:t>imedia.</w:t>
      </w:r>
    </w:p>
    <w:p w:rsidR="00000000" w:rsidRPr="00DC582C" w:rsidP="00DC582C">
      <w:pPr>
        <w:pStyle w:val="BodyText"/>
      </w:pPr>
    </w:p>
    <w:p w:rsidR="00000000" w:rsidRPr="00DC582C" w:rsidP="00DC582C">
      <w:pPr>
        <w:pStyle w:val="BodyText"/>
      </w:pPr>
      <w:r w:rsidRPr="00DC582C">
        <w:t>Assessment by a TITAB-registered assessor is recommended.</w:t>
      </w:r>
    </w:p>
    <w:p w:rsidR="00000000" w:rsidRPr="00DC582C" w:rsidP="00DC582C">
      <w:pPr>
        <w:pStyle w:val="BodyText"/>
      </w:pPr>
    </w:p>
    <w:p w:rsidR="00000000" w:rsidRPr="00DC582C" w:rsidP="00DC582C">
      <w:pPr>
        <w:pStyle w:val="BodyText"/>
      </w:pPr>
      <w:r w:rsidRPr="00DC582C">
        <w:t>All customer cabling work in the telecommunications, fire, security and data industries must be performed by a registered cabler. All cablers are required to register with an Australian Communications and Media Authority (ACMA)-accredited registrar.</w:t>
      </w:r>
    </w:p>
    <w:p w:rsidR="00000000" w:rsidRPr="00DC582C" w:rsidP="00DC582C">
      <w:pPr>
        <w:pStyle w:val="BodyText"/>
      </w:pPr>
    </w:p>
    <w:p w:rsidR="00000000" w:rsidRPr="00DC582C" w:rsidP="00DC582C">
      <w:pPr>
        <w:pStyle w:val="BodyText"/>
      </w:pPr>
      <w:r w:rsidRPr="00DC582C">
        <w:t>Cable</w:t>
      </w:r>
      <w:r w:rsidRPr="00DC582C">
        <w:t xml:space="preserve"> and cabling products used must be compliant with appropriate ACMA technical standard requirements.</w:t>
      </w:r>
    </w:p>
    <w:p w:rsidR="00000000" w:rsidRPr="00DC582C" w:rsidP="00DC582C">
      <w:pPr>
        <w:pStyle w:val="AllowPageBreak"/>
      </w:pPr>
    </w:p>
    <w:p w:rsidR="00000000" w:rsidRPr="00DC582C" w:rsidP="00DC582C">
      <w:pPr>
        <w:pStyle w:val="Heading1"/>
      </w:pPr>
      <w:bookmarkStart w:id="3" w:name="O_639599"/>
      <w:bookmarkEnd w:id="3"/>
      <w:r w:rsidRPr="00DC582C">
        <w:t>Application of the Unit</w:t>
      </w:r>
    </w:p>
    <w:p w:rsidR="00000000" w:rsidRPr="00DC582C" w:rsidP="00DC582C">
      <w:pPr>
        <w:pStyle w:val="BodyText"/>
      </w:pPr>
      <w:r w:rsidRPr="00DC582C">
        <w:t>Technical staff who install and terminate customer premises coaxial cable apply the skills and knowledge in this un</w:t>
      </w:r>
      <w:r w:rsidRPr="00DC582C">
        <w:t>it.</w:t>
      </w:r>
    </w:p>
    <w:p w:rsidR="00000000" w:rsidRPr="00DC582C" w:rsidP="00DC582C">
      <w:pPr>
        <w:pStyle w:val="BodyText"/>
      </w:pPr>
    </w:p>
    <w:p w:rsidR="00000000" w:rsidRPr="00DC582C" w:rsidP="00DC582C">
      <w:pPr>
        <w:pStyle w:val="BodyText"/>
      </w:pPr>
      <w:r w:rsidRPr="00DC582C">
        <w:t>They may be required to do new installations or upgrades, or maintain existing networks in domestic, commercial and industrial installations.</w:t>
      </w:r>
    </w:p>
    <w:p w:rsidR="00000000" w:rsidRPr="00DC582C" w:rsidP="00DC582C">
      <w:pPr>
        <w:pStyle w:val="AllowPageBreak"/>
      </w:pPr>
    </w:p>
    <w:p w:rsidR="00000000" w:rsidRPr="00DC582C" w:rsidP="00DC582C">
      <w:pPr>
        <w:pStyle w:val="Heading1"/>
      </w:pPr>
      <w:bookmarkStart w:id="4" w:name="O_639600"/>
      <w:bookmarkEnd w:id="4"/>
      <w:r w:rsidRPr="00DC582C">
        <w:t>Licensing/Regulatory Information</w:t>
      </w:r>
    </w:p>
    <w:p w:rsidR="00000000" w:rsidRPr="00DC582C" w:rsidP="00DC582C">
      <w:pPr>
        <w:pStyle w:val="BodyText"/>
      </w:pPr>
      <w:r w:rsidRPr="00DC582C">
        <w:t>Refer to Unit Descriptor.</w:t>
      </w:r>
    </w:p>
    <w:p w:rsidR="00000000" w:rsidRPr="00DC582C" w:rsidP="00DC582C">
      <w:pPr>
        <w:pStyle w:val="AllowPageBreak"/>
      </w:pPr>
    </w:p>
    <w:p w:rsidR="00000000" w:rsidRPr="00DC582C" w:rsidP="00DC582C">
      <w:pPr>
        <w:pStyle w:val="Heading1"/>
      </w:pPr>
      <w:bookmarkStart w:id="5" w:name="O_639601"/>
      <w:bookmarkEnd w:id="5"/>
      <w:r w:rsidRPr="00DC582C">
        <w:t>Pre-Requisites</w:t>
      </w:r>
    </w:p>
    <w:p w:rsidR="00000000" w:rsidRPr="00DC582C" w:rsidP="00DC582C">
      <w:pPr>
        <w:pStyle w:val="BodyText"/>
      </w:pPr>
      <w:r w:rsidRPr="00DC582C">
        <w:t>N</w:t>
      </w:r>
      <w:r w:rsidRPr="00DC582C">
        <w:t>il</w:t>
      </w:r>
    </w:p>
    <w:p w:rsidR="00000000" w:rsidRPr="00DC582C" w:rsidP="00DC582C">
      <w:pPr>
        <w:pStyle w:val="AllowPageBreak"/>
      </w:pPr>
    </w:p>
    <w:p w:rsidR="00000000" w:rsidRPr="00DC582C" w:rsidP="00DC582C">
      <w:pPr>
        <w:pStyle w:val="Heading1"/>
      </w:pPr>
      <w:bookmarkStart w:id="6" w:name="O_639602"/>
      <w:bookmarkEnd w:id="6"/>
      <w:r w:rsidRPr="00DC582C">
        <w:t>Employability Skills Information</w:t>
      </w:r>
    </w:p>
    <w:p w:rsidR="00000000" w:rsidRPr="00DC582C" w:rsidP="00DC582C">
      <w:pPr>
        <w:pStyle w:val="BodyText"/>
      </w:pPr>
      <w:r w:rsidRPr="00DC582C">
        <w:t>This unit contains employability skills.</w:t>
      </w:r>
    </w:p>
    <w:p w:rsidR="00000000" w:rsidRPr="00DC582C" w:rsidP="00DC582C">
      <w:pPr>
        <w:pStyle w:val="AllowPageBreak"/>
      </w:pPr>
    </w:p>
    <w:p w:rsidR="00000000" w:rsidRPr="00DC582C" w:rsidP="00DC582C">
      <w:pPr>
        <w:pStyle w:val="Heading1"/>
      </w:pPr>
      <w:bookmarkStart w:id="7" w:name="O_639603"/>
      <w:bookmarkEnd w:id="7"/>
      <w:r w:rsidRPr="00DC582C">
        <w:t>Elements and Performance Criteria Pre-Content</w:t>
      </w:r>
    </w:p>
    <w:tbl>
      <w:tblPr>
        <w:tblW w:w="0" w:type="auto"/>
        <w:tblLayout w:type="fixed"/>
        <w:tblCellMar>
          <w:left w:w="62" w:type="dxa"/>
          <w:right w:w="62" w:type="dxa"/>
        </w:tblCellMar>
        <w:tblLook w:val="0000"/>
      </w:tblPr>
      <w:tblGrid>
        <w:gridCol w:w="2483"/>
        <w:gridCol w:w="6262"/>
      </w:tblGrid>
      <w:tr w:rsidTr="00DC582C">
        <w:tblPrEx>
          <w:tblW w:w="0" w:type="auto"/>
          <w:tblLayout w:type="fixed"/>
          <w:tblCellMar>
            <w:left w:w="62" w:type="dxa"/>
            <w:right w:w="62" w:type="dxa"/>
          </w:tblCellMar>
          <w:tblLook w:val="0000"/>
        </w:tblPrEx>
        <w:trPr>
          <w:tblHeader/>
        </w:trPr>
        <w:tc>
          <w:tcPr>
            <w:tcW w:w="2483"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RPr="00DC582C" w:rsidP="00DC582C">
            <w:pPr>
              <w:pStyle w:val="BodyText"/>
            </w:pPr>
            <w:r w:rsidRPr="00DC582C">
              <w:rPr>
                <w:rStyle w:val="SpecialBold"/>
              </w:rPr>
              <w:t>Elements</w:t>
            </w:r>
          </w:p>
        </w:tc>
        <w:tc>
          <w:tcPr>
            <w:tcW w:w="6262"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P="00DC582C">
            <w:pPr>
              <w:pStyle w:val="BodyText"/>
              <w:rPr>
                <w:lang w:val="en-NZ"/>
              </w:rPr>
            </w:pPr>
            <w:r w:rsidRPr="00DC582C">
              <w:rPr>
                <w:rStyle w:val="SpecialBold"/>
              </w:rPr>
              <w:t>Performance Criteria</w:t>
            </w:r>
          </w:p>
        </w:tc>
      </w:tr>
      <w:tr w:rsidTr="00DC582C">
        <w:tblPrEx>
          <w:tblW w:w="0" w:type="auto"/>
          <w:tblLayout w:type="fixed"/>
          <w:tblCellMar>
            <w:left w:w="62" w:type="dxa"/>
            <w:right w:w="62" w:type="dxa"/>
          </w:tblCellMar>
          <w:tblLook w:val="0000"/>
        </w:tblPrEx>
        <w:tc>
          <w:tcPr>
            <w:tcW w:w="2483"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DC582C" w:rsidP="00DC582C">
            <w:pPr>
              <w:pStyle w:val="BodyText"/>
            </w:pPr>
            <w:r w:rsidRPr="00DC582C">
              <w:rPr>
                <w:rStyle w:val="Emphasis"/>
              </w:rPr>
              <w:t>Elements describe the essential outcomes of a unit of competency.</w:t>
            </w:r>
          </w:p>
        </w:tc>
        <w:tc>
          <w:tcPr>
            <w:tcW w:w="6262"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DC582C" w:rsidP="00DC582C">
            <w:pPr>
              <w:pStyle w:val="BodyText"/>
            </w:pPr>
            <w:r w:rsidRPr="00DC582C">
              <w:rPr>
                <w:rStyle w:val="Emphasis"/>
              </w:rPr>
              <w:t>Performance criteria describe the performance needed to demonstrate achievement of the element. Where bold italicised text is used, further information is detailed in the required skills and knowledge section and the range statement. Assessment of performa</w:t>
            </w:r>
            <w:r w:rsidRPr="00DC582C">
              <w:rPr>
                <w:rStyle w:val="Emphasis"/>
              </w:rPr>
              <w:t>nce is to be consistent with the evidence guide.</w:t>
            </w:r>
          </w:p>
        </w:tc>
      </w:tr>
    </w:tbl>
    <w:p w:rsidR="00000000" w:rsidRPr="00DC582C" w:rsidP="00DC582C">
      <w:pPr>
        <w:pStyle w:val="BodyText"/>
      </w:pPr>
    </w:p>
    <w:p w:rsidR="00000000" w:rsidRPr="00DC582C" w:rsidP="00DC582C">
      <w:pPr>
        <w:pStyle w:val="AllowPageBreak"/>
      </w:pPr>
    </w:p>
    <w:p w:rsidR="00000000" w:rsidRPr="00DC582C" w:rsidP="00DC582C">
      <w:pPr>
        <w:pStyle w:val="Heading1"/>
      </w:pPr>
      <w:bookmarkStart w:id="8" w:name="O_639604"/>
      <w:bookmarkEnd w:id="8"/>
      <w:r w:rsidRPr="00DC582C">
        <w:t>Elements and Performance Criteria</w:t>
      </w:r>
    </w:p>
    <w:tbl>
      <w:tblPr>
        <w:tblW w:w="0" w:type="auto"/>
        <w:tblLayout w:type="fixed"/>
        <w:tblCellMar>
          <w:left w:w="62" w:type="dxa"/>
          <w:right w:w="62" w:type="dxa"/>
        </w:tblCellMar>
        <w:tblLook w:val="0000"/>
      </w:tblPr>
      <w:tblGrid>
        <w:gridCol w:w="2505"/>
        <w:gridCol w:w="6240"/>
      </w:tblGrid>
      <w:tr w:rsidTr="00DC582C">
        <w:tblPrEx>
          <w:tblW w:w="0" w:type="auto"/>
          <w:tblLayout w:type="fixed"/>
          <w:tblCellMar>
            <w:left w:w="62" w:type="dxa"/>
            <w:right w:w="62" w:type="dxa"/>
          </w:tblCellMar>
          <w:tblLook w:val="0000"/>
        </w:tblPrEx>
        <w:tc>
          <w:tcPr>
            <w:tcW w:w="25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582C">
            <w:pPr>
              <w:pStyle w:val="BodyText"/>
              <w:rPr>
                <w:lang w:val="en-NZ"/>
              </w:rPr>
            </w:pPr>
            <w:r w:rsidRPr="00DC582C">
              <w:t>1. Prepare to install and terminate coaxial cable</w:t>
            </w:r>
          </w:p>
        </w:tc>
        <w:tc>
          <w:tcPr>
            <w:tcW w:w="62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582C" w:rsidP="00DC582C">
            <w:pPr>
              <w:pStyle w:val="BodyText"/>
            </w:pPr>
            <w:r w:rsidRPr="00DC582C">
              <w:t xml:space="preserve">1.1 Prepare for given work according to requirements of </w:t>
            </w:r>
            <w:r w:rsidRPr="00DC582C">
              <w:rPr>
                <w:rStyle w:val="BoldandItalics"/>
              </w:rPr>
              <w:t>relevant legislation, codes, regulations and sta</w:t>
            </w:r>
            <w:r w:rsidRPr="00DC582C">
              <w:rPr>
                <w:rStyle w:val="BoldandItalics"/>
              </w:rPr>
              <w:t>ndards</w:t>
            </w:r>
          </w:p>
          <w:p w:rsidR="00000000" w:rsidRPr="00DC582C" w:rsidP="00DC582C">
            <w:pPr>
              <w:pStyle w:val="BodyText"/>
            </w:pPr>
            <w:r w:rsidRPr="00DC582C">
              <w:t>1.2 Arrange access to the site according to required procedure</w:t>
            </w:r>
          </w:p>
          <w:p w:rsidR="00000000" w:rsidRPr="00DC582C" w:rsidP="00DC582C">
            <w:pPr>
              <w:pStyle w:val="BodyText"/>
            </w:pPr>
            <w:r w:rsidRPr="00DC582C">
              <w:t xml:space="preserve">1.3 Inform appropriate personnel of identified </w:t>
            </w:r>
            <w:r w:rsidRPr="00DC582C">
              <w:rPr>
                <w:rStyle w:val="BoldandItalics"/>
              </w:rPr>
              <w:t xml:space="preserve">hazards </w:t>
            </w:r>
            <w:r w:rsidRPr="00DC582C">
              <w:t>on work site</w:t>
            </w:r>
          </w:p>
          <w:p w:rsidR="00000000" w:rsidRPr="00DC582C" w:rsidP="00DC582C">
            <w:pPr>
              <w:pStyle w:val="BodyText"/>
            </w:pPr>
            <w:r w:rsidRPr="00DC582C">
              <w:t xml:space="preserve">1.4 Select </w:t>
            </w:r>
            <w:r w:rsidRPr="00DC582C">
              <w:rPr>
                <w:rStyle w:val="BoldandItalics"/>
              </w:rPr>
              <w:t xml:space="preserve">coaxial cable type, connectors </w:t>
            </w:r>
            <w:r w:rsidRPr="00DC582C">
              <w:t xml:space="preserve">and </w:t>
            </w:r>
            <w:r w:rsidRPr="00DC582C">
              <w:rPr>
                <w:rStyle w:val="BoldandItalics"/>
              </w:rPr>
              <w:t xml:space="preserve">manufacturer’s tool </w:t>
            </w:r>
            <w:r w:rsidRPr="00DC582C">
              <w:t xml:space="preserve">to comply with installation environment </w:t>
            </w:r>
            <w:r w:rsidRPr="00DC582C">
              <w:t>and customer requirements</w:t>
            </w:r>
          </w:p>
          <w:p w:rsidR="00000000" w:rsidRPr="00DC582C" w:rsidP="00DC582C">
            <w:pPr>
              <w:pStyle w:val="BodyText"/>
            </w:pPr>
            <w:r w:rsidRPr="00DC582C">
              <w:t xml:space="preserve">1.5 Check proposed route and bend radius to meet </w:t>
            </w:r>
            <w:r w:rsidRPr="00DC582C">
              <w:rPr>
                <w:rStyle w:val="BoldandItalics"/>
              </w:rPr>
              <w:t xml:space="preserve">manufacturer specifications </w:t>
            </w:r>
            <w:r w:rsidRPr="00DC582C">
              <w:t>and industry standards</w:t>
            </w:r>
          </w:p>
          <w:p w:rsidR="00000000" w:rsidRPr="00DC582C" w:rsidP="00DC582C">
            <w:pPr>
              <w:pStyle w:val="BodyText"/>
            </w:pPr>
            <w:r w:rsidRPr="00DC582C">
              <w:t>1.6 Test cable on drum for continuity and inspect visually for crushing and kinks</w:t>
            </w:r>
          </w:p>
          <w:p w:rsidR="00000000" w:rsidP="00DC582C">
            <w:pPr>
              <w:pStyle w:val="BodyText"/>
              <w:rPr>
                <w:lang w:val="en-NZ"/>
              </w:rPr>
            </w:pPr>
            <w:r w:rsidRPr="00DC582C">
              <w:t xml:space="preserve">1.7 Discuss proposed method of installation and </w:t>
            </w:r>
            <w:r w:rsidRPr="00DC582C">
              <w:t>cable route with customer and adjust if necessary</w:t>
            </w:r>
          </w:p>
        </w:tc>
      </w:tr>
      <w:tr w:rsidTr="00DC582C">
        <w:tblPrEx>
          <w:tblW w:w="0" w:type="auto"/>
          <w:tblLayout w:type="fixed"/>
          <w:tblCellMar>
            <w:left w:w="62" w:type="dxa"/>
            <w:right w:w="62" w:type="dxa"/>
          </w:tblCellMar>
          <w:tblLook w:val="0000"/>
        </w:tblPrEx>
        <w:trPr>
          <w:trHeight w:val="2793"/>
        </w:trPr>
        <w:tc>
          <w:tcPr>
            <w:tcW w:w="25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582C">
            <w:pPr>
              <w:pStyle w:val="BodyText"/>
              <w:rPr>
                <w:lang w:val="en-NZ"/>
              </w:rPr>
            </w:pPr>
            <w:r w:rsidRPr="00DC582C">
              <w:t>2. Install, terminate and test coaxial cable</w:t>
            </w:r>
          </w:p>
        </w:tc>
        <w:tc>
          <w:tcPr>
            <w:tcW w:w="62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582C" w:rsidP="00DC582C">
            <w:pPr>
              <w:pStyle w:val="BodyText"/>
            </w:pPr>
            <w:r w:rsidRPr="00DC582C">
              <w:t>2.1 Maintain cable segregation to industry standards</w:t>
            </w:r>
          </w:p>
          <w:p w:rsidR="00000000" w:rsidRPr="00DC582C" w:rsidP="00DC582C">
            <w:pPr>
              <w:pStyle w:val="BodyText"/>
            </w:pPr>
            <w:r w:rsidRPr="00DC582C">
              <w:t xml:space="preserve">2.2 Protect integrity of coaxial shield cable to ensure no loss </w:t>
            </w:r>
            <w:r w:rsidRPr="00DC582C">
              <w:t>of signal during operation and maintain bend ratios to not exceed manufacturer specifications and industry standard</w:t>
            </w:r>
          </w:p>
          <w:p w:rsidR="00000000" w:rsidRPr="00DC582C" w:rsidP="00DC582C">
            <w:pPr>
              <w:pStyle w:val="BodyText"/>
            </w:pPr>
            <w:r w:rsidRPr="00DC582C">
              <w:t>2.3 Install cable securing hardware to ensure cable is not crushed or kinked while maintaining cable manufacturer’s bend radius</w:t>
            </w:r>
          </w:p>
          <w:p w:rsidR="00000000" w:rsidRPr="00DC582C" w:rsidP="00DC582C">
            <w:pPr>
              <w:pStyle w:val="BodyText"/>
            </w:pPr>
            <w:r w:rsidRPr="00DC582C">
              <w:t xml:space="preserve">2.4 Install </w:t>
            </w:r>
            <w:r w:rsidRPr="00DC582C">
              <w:t xml:space="preserve">cable following occupational health and safety </w:t>
            </w:r>
            <w:r w:rsidRPr="00DC582C">
              <w:rPr>
                <w:rStyle w:val="BoldandItalics"/>
              </w:rPr>
              <w:t xml:space="preserve">(OHS) and environmental requirements </w:t>
            </w:r>
            <w:r w:rsidRPr="00DC582C">
              <w:t>and complying with manufacturer specifications and industry standards</w:t>
            </w:r>
          </w:p>
          <w:p w:rsidR="00000000" w:rsidRPr="00DC582C" w:rsidP="00DC582C">
            <w:pPr>
              <w:pStyle w:val="BodyText"/>
            </w:pPr>
            <w:r w:rsidRPr="00DC582C">
              <w:t>2.5 Terminate the cable and perform the type of termination specified in the plan using safe work prac</w:t>
            </w:r>
            <w:r w:rsidRPr="00DC582C">
              <w:t>tices and according to manufacturer specifications</w:t>
            </w:r>
          </w:p>
          <w:p w:rsidR="00000000" w:rsidRPr="00DC582C" w:rsidP="00DC582C">
            <w:pPr>
              <w:pStyle w:val="BodyText"/>
            </w:pPr>
            <w:r w:rsidRPr="00DC582C">
              <w:t>2.6 Test termination for transmission loss and strength and re-terminate the coaxial cable if transmission loss exceeds manufacturer specifications</w:t>
            </w:r>
          </w:p>
          <w:p w:rsidR="00000000" w:rsidRPr="00DC582C" w:rsidP="00DC582C">
            <w:pPr>
              <w:pStyle w:val="BodyText"/>
            </w:pPr>
            <w:r w:rsidRPr="00DC582C">
              <w:t>2.7 Record all measurements</w:t>
            </w:r>
          </w:p>
          <w:p w:rsidR="00000000" w:rsidP="00DC582C">
            <w:pPr>
              <w:pStyle w:val="BodyText"/>
              <w:rPr>
                <w:lang w:val="en-NZ"/>
              </w:rPr>
            </w:pPr>
            <w:r w:rsidRPr="00DC582C">
              <w:t xml:space="preserve">2.8 Fit </w:t>
            </w:r>
            <w:r w:rsidRPr="00DC582C">
              <w:rPr>
                <w:rStyle w:val="BoldandItalics"/>
              </w:rPr>
              <w:t>over-voltage protecti</w:t>
            </w:r>
            <w:r w:rsidRPr="00DC582C">
              <w:rPr>
                <w:rStyle w:val="BoldandItalics"/>
              </w:rPr>
              <w:t xml:space="preserve">on devices </w:t>
            </w:r>
            <w:r w:rsidRPr="00DC582C">
              <w:t>to all cables with metallic component where required</w:t>
            </w:r>
          </w:p>
        </w:tc>
      </w:tr>
      <w:tr w:rsidTr="00DC582C">
        <w:tblPrEx>
          <w:tblW w:w="0" w:type="auto"/>
          <w:tblLayout w:type="fixed"/>
          <w:tblCellMar>
            <w:left w:w="62" w:type="dxa"/>
            <w:right w:w="62" w:type="dxa"/>
          </w:tblCellMar>
          <w:tblLook w:val="0000"/>
        </w:tblPrEx>
        <w:tc>
          <w:tcPr>
            <w:tcW w:w="25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582C">
            <w:pPr>
              <w:pStyle w:val="BodyText"/>
              <w:rPr>
                <w:lang w:val="en-NZ"/>
              </w:rPr>
            </w:pPr>
            <w:r w:rsidRPr="00DC582C">
              <w:t>3. Remove termination waste from work area</w:t>
            </w:r>
          </w:p>
        </w:tc>
        <w:tc>
          <w:tcPr>
            <w:tcW w:w="62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582C" w:rsidP="00DC582C">
            <w:pPr>
              <w:pStyle w:val="BodyText"/>
            </w:pPr>
            <w:r w:rsidRPr="00DC582C">
              <w:t>3.1 Clean work area thoroughly to minimise risk of injury from loose metal strands</w:t>
            </w:r>
          </w:p>
          <w:p w:rsidR="00000000" w:rsidRPr="00DC582C" w:rsidP="00DC582C">
            <w:pPr>
              <w:pStyle w:val="BodyText"/>
            </w:pPr>
            <w:r w:rsidRPr="00DC582C">
              <w:t>3.2 Dispose of waste safely and according to relevant environment</w:t>
            </w:r>
            <w:r w:rsidRPr="00DC582C">
              <w:t>al requirements</w:t>
            </w:r>
          </w:p>
          <w:p w:rsidR="00000000" w:rsidP="00DC582C">
            <w:pPr>
              <w:pStyle w:val="BodyText"/>
              <w:rPr>
                <w:lang w:val="en-NZ"/>
              </w:rPr>
            </w:pPr>
            <w:r w:rsidRPr="00DC582C">
              <w:t>3.3 Restore work site to original condition</w:t>
            </w:r>
          </w:p>
        </w:tc>
      </w:tr>
      <w:tr w:rsidTr="00DC582C">
        <w:tblPrEx>
          <w:tblW w:w="0" w:type="auto"/>
          <w:tblLayout w:type="fixed"/>
          <w:tblCellMar>
            <w:left w:w="62" w:type="dxa"/>
            <w:right w:w="62" w:type="dxa"/>
          </w:tblCellMar>
          <w:tblLook w:val="0000"/>
        </w:tblPrEx>
        <w:tc>
          <w:tcPr>
            <w:tcW w:w="25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582C">
            <w:pPr>
              <w:pStyle w:val="BodyText"/>
              <w:rPr>
                <w:lang w:val="en-NZ"/>
              </w:rPr>
            </w:pPr>
            <w:r w:rsidRPr="00DC582C">
              <w:t>4. Document installation</w:t>
            </w:r>
          </w:p>
        </w:tc>
        <w:tc>
          <w:tcPr>
            <w:tcW w:w="62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582C" w:rsidP="00DC582C">
            <w:pPr>
              <w:pStyle w:val="BodyText"/>
            </w:pPr>
            <w:r w:rsidRPr="00DC582C">
              <w:t>4.1 Update plans and records with details of installation and test results</w:t>
            </w:r>
          </w:p>
          <w:p w:rsidR="00000000" w:rsidRPr="00DC582C" w:rsidP="00DC582C">
            <w:pPr>
              <w:pStyle w:val="BodyText"/>
            </w:pPr>
            <w:r w:rsidRPr="00DC582C">
              <w:t>4.2 Show customer completed work and ensure work matches agreed method of installation and cable route</w:t>
            </w:r>
          </w:p>
          <w:p w:rsidR="00000000" w:rsidRPr="00DC582C" w:rsidP="00DC582C">
            <w:pPr>
              <w:pStyle w:val="BodyText"/>
            </w:pPr>
            <w:r w:rsidRPr="00DC582C">
              <w:t>4.3 Notify client of work completion and obtain sign-off</w:t>
            </w:r>
          </w:p>
        </w:tc>
      </w:tr>
    </w:tbl>
    <w:p w:rsidR="00000000" w:rsidRPr="00DC582C" w:rsidP="00DC582C">
      <w:pPr>
        <w:pStyle w:val="BodyText"/>
      </w:pPr>
    </w:p>
    <w:p w:rsidR="00000000" w:rsidRPr="00DC582C" w:rsidP="00DC582C">
      <w:pPr>
        <w:pStyle w:val="AllowPageBreak"/>
      </w:pPr>
    </w:p>
    <w:p w:rsidR="00000000" w:rsidRPr="00DC582C" w:rsidP="00DC582C">
      <w:pPr>
        <w:pStyle w:val="Heading1"/>
      </w:pPr>
      <w:bookmarkStart w:id="9" w:name="O_639605"/>
      <w:bookmarkEnd w:id="9"/>
      <w:r w:rsidRPr="00DC582C">
        <w:t>Required Skills and Knowledge</w:t>
      </w:r>
    </w:p>
    <w:p w:rsidR="00000000" w:rsidRPr="00DC582C" w:rsidP="00DC582C">
      <w:pPr>
        <w:pStyle w:val="BodyText"/>
      </w:pPr>
      <w:r w:rsidRPr="00DC582C">
        <w:rPr>
          <w:rStyle w:val="Emphasis"/>
        </w:rPr>
        <w:t>This section describes the skills and knowledge</w:t>
      </w:r>
      <w:r w:rsidRPr="00DC582C">
        <w:rPr>
          <w:rStyle w:val="Emphasis"/>
        </w:rPr>
        <w:t xml:space="preserve"> required for this unit.</w:t>
      </w:r>
    </w:p>
    <w:p w:rsidR="00000000" w:rsidRPr="00DC582C" w:rsidP="00DC582C">
      <w:pPr>
        <w:pStyle w:val="BodyText"/>
      </w:pPr>
    </w:p>
    <w:p w:rsidR="00000000" w:rsidRPr="00DC582C" w:rsidP="00DC582C">
      <w:pPr>
        <w:pStyle w:val="BodyText"/>
      </w:pPr>
      <w:r w:rsidRPr="00DC582C">
        <w:rPr>
          <w:rStyle w:val="SpecialBold"/>
        </w:rPr>
        <w:t>Required skills</w:t>
      </w:r>
    </w:p>
    <w:p w:rsidR="00000000" w:rsidRPr="00DC582C" w:rsidP="00DC582C">
      <w:pPr>
        <w:pStyle w:val="BodyText"/>
      </w:pPr>
    </w:p>
    <w:p w:rsidR="00000000" w:rsidRPr="00DC582C" w:rsidP="00DC582C">
      <w:pPr>
        <w:pStyle w:val="ListBullet"/>
      </w:pPr>
      <w:r w:rsidRPr="00DC582C">
        <w:t>communication skills to:</w:t>
      </w:r>
    </w:p>
    <w:p w:rsidR="00000000" w:rsidRPr="00DC582C" w:rsidP="00DC582C">
      <w:pPr>
        <w:pStyle w:val="ListBullet2"/>
      </w:pPr>
      <w:r w:rsidRPr="00DC582C">
        <w:t>liaise with internal and external personnel on technical and operational matters</w:t>
      </w:r>
    </w:p>
    <w:p w:rsidR="00000000" w:rsidRPr="00DC582C" w:rsidP="00DC582C">
      <w:pPr>
        <w:pStyle w:val="ListBullet2"/>
      </w:pPr>
      <w:r w:rsidRPr="00DC582C">
        <w:t>relate to work associates, supervisors, team members and clients</w:t>
      </w:r>
    </w:p>
    <w:p w:rsidR="00000000" w:rsidRPr="00DC582C" w:rsidP="00DC582C">
      <w:pPr>
        <w:pStyle w:val="ListBullet"/>
      </w:pPr>
      <w:r w:rsidRPr="00DC582C">
        <w:t>literacy skills to interpret technical documentation, such as equipment manuals, specifications and requirements for coaxial cable installation</w:t>
      </w:r>
    </w:p>
    <w:p w:rsidR="00000000" w:rsidRPr="00DC582C" w:rsidP="00DC582C">
      <w:pPr>
        <w:pStyle w:val="ListBullet"/>
      </w:pPr>
      <w:r w:rsidRPr="00DC582C">
        <w:t>numeracy skills to take and analyse measurements</w:t>
      </w:r>
    </w:p>
    <w:p w:rsidR="00000000" w:rsidRPr="00DC582C" w:rsidP="00DC582C">
      <w:pPr>
        <w:pStyle w:val="ListBullet"/>
      </w:pPr>
      <w:r w:rsidRPr="00DC582C">
        <w:t>planning and organising skills to organise and maintain equipme</w:t>
      </w:r>
      <w:r w:rsidRPr="00DC582C">
        <w:t>nt</w:t>
      </w:r>
    </w:p>
    <w:p w:rsidR="00000000" w:rsidRPr="00DC582C" w:rsidP="00DC582C">
      <w:pPr>
        <w:pStyle w:val="ListBullet"/>
      </w:pPr>
      <w:r w:rsidRPr="00DC582C">
        <w:t>problem-solving skills to solve equipment and logistics problems</w:t>
      </w:r>
    </w:p>
    <w:p w:rsidR="00000000" w:rsidRPr="00DC582C" w:rsidP="00DC582C">
      <w:pPr>
        <w:pStyle w:val="ListBullet"/>
      </w:pPr>
      <w:r w:rsidRPr="00DC582C">
        <w:t>safety awareness skills to:</w:t>
      </w:r>
    </w:p>
    <w:p w:rsidR="00000000" w:rsidRPr="00DC582C" w:rsidP="00DC582C">
      <w:pPr>
        <w:pStyle w:val="ListBullet2"/>
      </w:pPr>
      <w:r w:rsidRPr="00DC582C">
        <w:t>apply precautions and required action to minimise, control or eliminate hazards that may exist during work activities</w:t>
      </w:r>
    </w:p>
    <w:p w:rsidR="00000000" w:rsidRPr="00DC582C" w:rsidP="00DC582C">
      <w:pPr>
        <w:pStyle w:val="ListBullet2"/>
      </w:pPr>
      <w:r w:rsidRPr="00DC582C">
        <w:t>select and use required personal protecti</w:t>
      </w:r>
      <w:r w:rsidRPr="00DC582C">
        <w:t>ve equipment conforming to industry and OHS standards</w:t>
      </w:r>
    </w:p>
    <w:p w:rsidR="00000000" w:rsidRPr="00DC582C" w:rsidP="00DC582C">
      <w:pPr>
        <w:pStyle w:val="ListBullet2"/>
      </w:pPr>
      <w:r w:rsidRPr="00DC582C">
        <w:t>work systematically with required attention to detail without injury to self or others, or damage to goods or equipment</w:t>
      </w:r>
    </w:p>
    <w:p w:rsidR="00000000" w:rsidRPr="00DC582C" w:rsidP="00DC582C">
      <w:pPr>
        <w:pStyle w:val="ListBullet"/>
      </w:pPr>
      <w:r w:rsidRPr="00DC582C">
        <w:t>task-management skills to work systematically with required attention to detail a</w:t>
      </w:r>
      <w:r w:rsidRPr="00DC582C">
        <w:t>nd adherence to all safety requirements</w:t>
      </w:r>
    </w:p>
    <w:p w:rsidR="00000000" w:rsidRPr="00DC582C" w:rsidP="00DC582C">
      <w:pPr>
        <w:pStyle w:val="ListBullet"/>
      </w:pPr>
      <w:r w:rsidRPr="00DC582C">
        <w:t>technical skills to:</w:t>
      </w:r>
    </w:p>
    <w:p w:rsidR="00000000" w:rsidRPr="00DC582C" w:rsidP="00DC582C">
      <w:pPr>
        <w:pStyle w:val="ListBullet2"/>
      </w:pPr>
      <w:r w:rsidRPr="00DC582C">
        <w:t>perform fault clearance</w:t>
      </w:r>
    </w:p>
    <w:p w:rsidR="00000000" w:rsidRPr="00DC582C" w:rsidP="00DC582C">
      <w:pPr>
        <w:pStyle w:val="ListBullet2"/>
      </w:pPr>
      <w:r w:rsidRPr="00DC582C">
        <w:t>read and interpret drawings related to:</w:t>
      </w:r>
    </w:p>
    <w:p w:rsidR="00000000" w:rsidRPr="00DC582C" w:rsidP="00DC582C">
      <w:pPr>
        <w:pStyle w:val="ListBullet3"/>
      </w:pPr>
      <w:r w:rsidRPr="00DC582C">
        <w:t>cable coding system and identifiers</w:t>
      </w:r>
    </w:p>
    <w:p w:rsidR="00000000" w:rsidRPr="00DC582C" w:rsidP="00DC582C">
      <w:pPr>
        <w:pStyle w:val="ListBullet3"/>
      </w:pPr>
      <w:r w:rsidRPr="00DC582C">
        <w:t>cable layouts</w:t>
      </w:r>
    </w:p>
    <w:p w:rsidR="00000000" w:rsidRPr="00DC582C" w:rsidP="00DC582C">
      <w:pPr>
        <w:pStyle w:val="ListBullet3"/>
      </w:pPr>
      <w:r w:rsidRPr="00DC582C">
        <w:t>frame locations</w:t>
      </w:r>
    </w:p>
    <w:p w:rsidR="00000000" w:rsidRPr="00DC582C" w:rsidP="00DC582C">
      <w:pPr>
        <w:pStyle w:val="ListBullet3"/>
      </w:pPr>
      <w:r w:rsidRPr="00DC582C">
        <w:t>outlet location</w:t>
      </w:r>
    </w:p>
    <w:p w:rsidR="00000000" w:rsidRPr="00DC582C" w:rsidP="00DC582C">
      <w:pPr>
        <w:pStyle w:val="ListBullet2"/>
      </w:pPr>
      <w:r w:rsidRPr="00DC582C">
        <w:t>use diagnostic equipment</w:t>
      </w:r>
    </w:p>
    <w:p w:rsidR="00C06B8B" w:rsidP="00DC582C">
      <w:pPr>
        <w:pStyle w:val="ListBullet2"/>
      </w:pPr>
      <w:r w:rsidRPr="00DC582C">
        <w:t>use hand and power tools.</w:t>
      </w:r>
    </w:p>
    <w:p w:rsidR="00C06B8B" w:rsidP="00DC582C">
      <w:pPr>
        <w:pStyle w:val="ListBullet2"/>
      </w:pPr>
    </w:p>
    <w:p w:rsidR="00000000" w:rsidRPr="00DC582C" w:rsidP="00DC582C">
      <w:pPr>
        <w:pStyle w:val="BodyText"/>
      </w:pPr>
      <w:r w:rsidRPr="00DC582C">
        <w:rPr>
          <w:rStyle w:val="SpecialBold"/>
        </w:rPr>
        <w:t>Required knowledge</w:t>
      </w:r>
    </w:p>
    <w:p w:rsidR="00000000" w:rsidRPr="00DC582C" w:rsidP="00DC582C">
      <w:pPr>
        <w:pStyle w:val="BodyText"/>
      </w:pPr>
    </w:p>
    <w:p w:rsidR="00000000" w:rsidRPr="00DC582C" w:rsidP="00DC582C">
      <w:pPr>
        <w:pStyle w:val="ListBullet"/>
      </w:pPr>
      <w:r w:rsidRPr="00DC582C">
        <w:t>detailed knowledge of:</w:t>
      </w:r>
    </w:p>
    <w:p w:rsidR="00000000" w:rsidRPr="00DC582C" w:rsidP="00DC582C">
      <w:pPr>
        <w:pStyle w:val="ListBullet2"/>
      </w:pPr>
      <w:r w:rsidRPr="00DC582C">
        <w:t>AS/NZS 1367:2007 Coaxial cable and optical fibre systems for the RF distribution of analog and digital television and sound signals in single and multiple dwelling installations</w:t>
      </w:r>
    </w:p>
    <w:p w:rsidR="00000000" w:rsidRPr="00DC582C" w:rsidP="00DC582C">
      <w:pPr>
        <w:pStyle w:val="ListBullet2"/>
      </w:pPr>
      <w:r w:rsidRPr="00DC582C">
        <w:t>ACMA Competency Requirements for Telecommunications Cabling Provider Rules 2000</w:t>
      </w:r>
    </w:p>
    <w:p w:rsidR="00000000" w:rsidRPr="00DC582C" w:rsidP="00DC582C">
      <w:pPr>
        <w:pStyle w:val="ListBullet"/>
      </w:pPr>
      <w:r w:rsidRPr="00DC582C">
        <w:t>features and operating requirements of test equipment for coaxial cable</w:t>
      </w:r>
    </w:p>
    <w:p w:rsidR="00000000" w:rsidRPr="00DC582C" w:rsidP="00DC582C">
      <w:pPr>
        <w:pStyle w:val="ListBullet"/>
      </w:pPr>
      <w:r w:rsidRPr="00DC582C">
        <w:t>information required to operate equipment according to a test specification</w:t>
      </w:r>
    </w:p>
    <w:p w:rsidR="00000000" w:rsidRPr="00DC582C" w:rsidP="00DC582C">
      <w:pPr>
        <w:pStyle w:val="ListBullet"/>
      </w:pPr>
      <w:r w:rsidRPr="00DC582C">
        <w:t>manufacturer requirements f</w:t>
      </w:r>
      <w:r w:rsidRPr="00DC582C">
        <w:t>or safe operation of coaxial cable equipment</w:t>
      </w:r>
    </w:p>
    <w:p w:rsidR="00000000" w:rsidRPr="00DC582C" w:rsidP="00DC582C">
      <w:pPr>
        <w:pStyle w:val="ListBullet"/>
      </w:pPr>
      <w:r w:rsidRPr="00DC582C">
        <w:t>safety precautions when working with coaxial cable and RF-based systems</w:t>
      </w:r>
    </w:p>
    <w:p w:rsidR="00000000" w:rsidRPr="00DC582C" w:rsidP="00DC582C">
      <w:pPr>
        <w:pStyle w:val="ListBullet"/>
      </w:pPr>
      <w:r w:rsidRPr="00DC582C">
        <w:t>specific OHS requirements relating to the activity and site conditions</w:t>
      </w:r>
    </w:p>
    <w:p w:rsidR="00000000" w:rsidRPr="00DC582C" w:rsidP="00DC582C">
      <w:pPr>
        <w:pStyle w:val="ListBullet"/>
      </w:pPr>
      <w:r w:rsidRPr="00DC582C">
        <w:t>test methods and performance requirements</w:t>
      </w:r>
    </w:p>
    <w:p w:rsidR="00000000" w:rsidRPr="00DC582C" w:rsidP="00DC582C">
      <w:pPr>
        <w:pStyle w:val="ListBullet"/>
      </w:pPr>
      <w:r w:rsidRPr="00DC582C">
        <w:t>techniques for types of te</w:t>
      </w:r>
      <w:r w:rsidRPr="00DC582C">
        <w:t>rmination, including:</w:t>
      </w:r>
    </w:p>
    <w:p w:rsidR="00000000" w:rsidRPr="00DC582C" w:rsidP="00DC582C">
      <w:pPr>
        <w:pStyle w:val="ListBullet2"/>
      </w:pPr>
      <w:r w:rsidRPr="00DC582C">
        <w:t>direct termination</w:t>
      </w:r>
    </w:p>
    <w:p w:rsidR="00000000" w:rsidRPr="00DC582C" w:rsidP="00DC582C">
      <w:pPr>
        <w:pStyle w:val="ListBullet2"/>
      </w:pPr>
      <w:r w:rsidRPr="00DC582C">
        <w:t>crimp termination</w:t>
      </w:r>
    </w:p>
    <w:p w:rsidR="00000000" w:rsidRPr="00DC582C" w:rsidP="00DC582C">
      <w:pPr>
        <w:pStyle w:val="ListBullet2"/>
      </w:pPr>
      <w:r w:rsidRPr="00DC582C">
        <w:t>mechanical connectorisation.</w:t>
      </w:r>
    </w:p>
    <w:p w:rsidR="00000000" w:rsidRPr="00DC582C" w:rsidP="00DC582C">
      <w:pPr>
        <w:pStyle w:val="AllowPageBreak"/>
      </w:pPr>
    </w:p>
    <w:p w:rsidR="00000000" w:rsidRPr="00DC582C" w:rsidP="00DC582C">
      <w:pPr>
        <w:pStyle w:val="Heading1"/>
      </w:pPr>
      <w:bookmarkStart w:id="10" w:name="O_639606"/>
      <w:bookmarkEnd w:id="10"/>
      <w:r w:rsidRPr="00DC582C">
        <w:t>Evidence Guide</w:t>
      </w:r>
    </w:p>
    <w:p w:rsidR="00000000" w:rsidRPr="00DC582C" w:rsidP="00DC582C">
      <w:pPr>
        <w:pStyle w:val="BodyText"/>
      </w:pPr>
      <w:r w:rsidRPr="00DC582C">
        <w:rPr>
          <w:rStyle w:val="Emphasis"/>
        </w:rPr>
        <w:t>The evidence guide provides advice on assessment and must be read in conjunction with the performance criteria, required skills and knowledge, range statement and the Assessment Guidelines for the Training Package.</w:t>
      </w:r>
    </w:p>
    <w:p w:rsidR="00000000" w:rsidRPr="00DC582C" w:rsidP="00DC582C">
      <w:pPr>
        <w:pStyle w:val="BodyText"/>
      </w:pPr>
    </w:p>
    <w:tbl>
      <w:tblPr>
        <w:tblW w:w="0" w:type="auto"/>
        <w:tblLayout w:type="fixed"/>
        <w:tblCellMar>
          <w:left w:w="62" w:type="dxa"/>
          <w:right w:w="62" w:type="dxa"/>
        </w:tblCellMar>
        <w:tblLook w:val="0000"/>
      </w:tblPr>
      <w:tblGrid>
        <w:gridCol w:w="2490"/>
        <w:gridCol w:w="6255"/>
      </w:tblGrid>
      <w:tr w:rsidTr="00DC582C">
        <w:tblPrEx>
          <w:tblW w:w="0" w:type="auto"/>
          <w:tblLayout w:type="fixed"/>
          <w:tblCellMar>
            <w:left w:w="62" w:type="dxa"/>
            <w:right w:w="62" w:type="dxa"/>
          </w:tblCellMar>
          <w:tblLook w:val="0000"/>
        </w:tblPrEx>
        <w:tc>
          <w:tcPr>
            <w:tcW w:w="24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582C">
            <w:pPr>
              <w:pStyle w:val="BodyText"/>
              <w:rPr>
                <w:lang w:val="en-NZ"/>
              </w:rPr>
            </w:pPr>
            <w:r w:rsidRPr="00DC582C">
              <w:rPr>
                <w:rStyle w:val="SpecialBold"/>
              </w:rPr>
              <w:t>Overview of assessment</w:t>
            </w:r>
          </w:p>
        </w:tc>
        <w:tc>
          <w:tcPr>
            <w:tcW w:w="62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582C">
            <w:pPr>
              <w:pStyle w:val="BodyText"/>
              <w:rPr>
                <w:lang w:val="en-NZ"/>
              </w:rPr>
            </w:pPr>
          </w:p>
        </w:tc>
      </w:tr>
      <w:tr w:rsidTr="00DC582C">
        <w:tblPrEx>
          <w:tblW w:w="0" w:type="auto"/>
          <w:tblLayout w:type="fixed"/>
          <w:tblCellMar>
            <w:left w:w="62" w:type="dxa"/>
            <w:right w:w="62" w:type="dxa"/>
          </w:tblCellMar>
          <w:tblLook w:val="0000"/>
        </w:tblPrEx>
        <w:tc>
          <w:tcPr>
            <w:tcW w:w="24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582C">
            <w:pPr>
              <w:pStyle w:val="BodyText"/>
              <w:rPr>
                <w:lang w:val="en-NZ"/>
              </w:rPr>
            </w:pPr>
            <w:r w:rsidRPr="00DC582C">
              <w:rPr>
                <w:rStyle w:val="SpecialBold"/>
              </w:rPr>
              <w:t>Critical aspect</w:t>
            </w:r>
            <w:r w:rsidRPr="00DC582C">
              <w:rPr>
                <w:rStyle w:val="SpecialBold"/>
              </w:rPr>
              <w:t>s for assessment and evidence required to demonstrate competency in this unit</w:t>
            </w:r>
          </w:p>
        </w:tc>
        <w:tc>
          <w:tcPr>
            <w:tcW w:w="62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582C" w:rsidP="00DC582C">
            <w:pPr>
              <w:pStyle w:val="BodyText"/>
            </w:pPr>
            <w:r w:rsidRPr="00DC582C">
              <w:t>Evidence of the ability to:</w:t>
            </w:r>
          </w:p>
          <w:p w:rsidR="00000000" w:rsidRPr="00DC582C" w:rsidP="00DC582C">
            <w:pPr>
              <w:pStyle w:val="BodyText"/>
            </w:pPr>
          </w:p>
          <w:p w:rsidR="00000000" w:rsidRPr="00DC582C" w:rsidP="00DC582C">
            <w:pPr>
              <w:pStyle w:val="ListBullet"/>
            </w:pPr>
            <w:r w:rsidRPr="00DC582C">
              <w:t>install and terminate coaxial cable types, including hard line (internal or external) and flexible (internal or external) to industry standards, app</w:t>
            </w:r>
            <w:r w:rsidRPr="00DC582C">
              <w:t>lying related OHS requirements and work practices</w:t>
            </w:r>
          </w:p>
          <w:p w:rsidR="00000000" w:rsidRPr="00DC582C" w:rsidP="00DC582C">
            <w:pPr>
              <w:pStyle w:val="ListBullet"/>
            </w:pPr>
            <w:r w:rsidRPr="00DC582C">
              <w:t>install different connector types</w:t>
            </w:r>
          </w:p>
          <w:p w:rsidR="00000000" w:rsidRPr="00DC582C" w:rsidP="00DC582C">
            <w:pPr>
              <w:pStyle w:val="ListBullet"/>
            </w:pPr>
            <w:r w:rsidRPr="00DC582C">
              <w:t>conduct and interpret test results</w:t>
            </w:r>
          </w:p>
          <w:p w:rsidR="00000000" w:rsidRPr="00DC582C" w:rsidP="00DC582C">
            <w:pPr>
              <w:pStyle w:val="ListBullet"/>
            </w:pPr>
            <w:r w:rsidRPr="00DC582C">
              <w:t>determine compliance with manufacturer’s certification and warranties</w:t>
            </w:r>
          </w:p>
          <w:p w:rsidR="00000000" w:rsidRPr="00DC582C" w:rsidP="00DC582C">
            <w:pPr>
              <w:pStyle w:val="ListBullet"/>
            </w:pPr>
            <w:r w:rsidRPr="00DC582C">
              <w:t>provide report documenting installation and test results to client</w:t>
            </w:r>
          </w:p>
          <w:p w:rsidR="00000000" w:rsidP="00DC582C">
            <w:pPr>
              <w:pStyle w:val="ListBullet"/>
              <w:rPr>
                <w:lang w:val="en-NZ"/>
              </w:rPr>
            </w:pPr>
            <w:r w:rsidRPr="00DC582C">
              <w:t>comply with all related OHS requirements and work practices.</w:t>
            </w:r>
          </w:p>
        </w:tc>
      </w:tr>
      <w:tr w:rsidTr="00DC582C">
        <w:tblPrEx>
          <w:tblW w:w="0" w:type="auto"/>
          <w:tblLayout w:type="fixed"/>
          <w:tblCellMar>
            <w:left w:w="62" w:type="dxa"/>
            <w:right w:w="62" w:type="dxa"/>
          </w:tblCellMar>
          <w:tblLook w:val="0000"/>
        </w:tblPrEx>
        <w:tc>
          <w:tcPr>
            <w:tcW w:w="24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582C">
            <w:pPr>
              <w:pStyle w:val="BodyText"/>
              <w:rPr>
                <w:lang w:val="en-NZ"/>
              </w:rPr>
            </w:pPr>
            <w:r w:rsidRPr="00DC582C">
              <w:rPr>
                <w:rStyle w:val="SpecialBold"/>
              </w:rPr>
              <w:t>Context of and specific resources for assessment</w:t>
            </w:r>
          </w:p>
        </w:tc>
        <w:tc>
          <w:tcPr>
            <w:tcW w:w="62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582C" w:rsidP="00DC582C">
            <w:pPr>
              <w:pStyle w:val="BodyText"/>
            </w:pPr>
            <w:r w:rsidRPr="00DC582C">
              <w:t>Assessment must ensure:</w:t>
            </w:r>
          </w:p>
          <w:p w:rsidR="00000000" w:rsidRPr="00DC582C" w:rsidP="00DC582C">
            <w:pPr>
              <w:pStyle w:val="BodyText"/>
            </w:pPr>
          </w:p>
          <w:p w:rsidR="00000000" w:rsidRPr="00DC582C" w:rsidP="00DC582C">
            <w:pPr>
              <w:pStyle w:val="ListBullet"/>
            </w:pPr>
            <w:r w:rsidRPr="00DC582C">
              <w:t>sites where installation and termination of coaxial cabling may be conducted</w:t>
            </w:r>
          </w:p>
          <w:p w:rsidR="00000000" w:rsidRPr="00DC582C" w:rsidP="00DC582C">
            <w:pPr>
              <w:pStyle w:val="ListBullet"/>
            </w:pPr>
            <w:r w:rsidRPr="00DC582C">
              <w:t xml:space="preserve">use of equipment and personal protective equipment currently </w:t>
            </w:r>
            <w:r w:rsidRPr="00DC582C">
              <w:t>used in industry</w:t>
            </w:r>
          </w:p>
          <w:p w:rsidR="00000000" w:rsidRPr="00DC582C" w:rsidP="00DC582C">
            <w:pPr>
              <w:pStyle w:val="ListBullet"/>
            </w:pPr>
            <w:r w:rsidRPr="00DC582C">
              <w:t>use of testing equipment currently used in industry</w:t>
            </w:r>
          </w:p>
          <w:p w:rsidR="00000000" w:rsidP="00DC582C">
            <w:pPr>
              <w:pStyle w:val="ListBullet"/>
              <w:rPr>
                <w:lang w:val="en-NZ"/>
              </w:rPr>
            </w:pPr>
            <w:r w:rsidRPr="00DC582C">
              <w:t>relevant regulatory and equipment documentation that impacts on installation activities.</w:t>
            </w:r>
          </w:p>
        </w:tc>
      </w:tr>
      <w:tr w:rsidTr="00DC582C">
        <w:tblPrEx>
          <w:tblW w:w="0" w:type="auto"/>
          <w:tblLayout w:type="fixed"/>
          <w:tblCellMar>
            <w:left w:w="62" w:type="dxa"/>
            <w:right w:w="62" w:type="dxa"/>
          </w:tblCellMar>
          <w:tblLook w:val="0000"/>
        </w:tblPrEx>
        <w:tc>
          <w:tcPr>
            <w:tcW w:w="24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582C">
            <w:pPr>
              <w:pStyle w:val="BodyText"/>
              <w:rPr>
                <w:lang w:val="en-NZ"/>
              </w:rPr>
            </w:pPr>
            <w:r w:rsidRPr="00DC582C">
              <w:rPr>
                <w:rStyle w:val="SpecialBold"/>
              </w:rPr>
              <w:t>Method of assessment</w:t>
            </w:r>
          </w:p>
        </w:tc>
        <w:tc>
          <w:tcPr>
            <w:tcW w:w="62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582C" w:rsidP="00DC582C">
            <w:pPr>
              <w:pStyle w:val="BodyText"/>
            </w:pPr>
            <w:r w:rsidRPr="00DC582C">
              <w:t>A range of asse</w:t>
            </w:r>
            <w:r w:rsidRPr="00DC582C">
              <w:t>ssment methods should be used to assess practical skills and knowledge. The following examples are appropriate for this unit:</w:t>
            </w:r>
          </w:p>
          <w:p w:rsidR="00000000" w:rsidRPr="00DC582C" w:rsidP="00DC582C">
            <w:pPr>
              <w:pStyle w:val="BodyText"/>
            </w:pPr>
          </w:p>
          <w:p w:rsidR="00000000" w:rsidRPr="00DC582C" w:rsidP="00DC582C">
            <w:pPr>
              <w:pStyle w:val="ListBullet"/>
            </w:pPr>
            <w:r w:rsidRPr="00DC582C">
              <w:t>review of a hands-on project completed by the candidate</w:t>
            </w:r>
          </w:p>
          <w:p w:rsidR="00000000" w:rsidRPr="00DC582C" w:rsidP="00DC582C">
            <w:pPr>
              <w:pStyle w:val="ListBullet"/>
            </w:pPr>
            <w:r w:rsidRPr="00DC582C">
              <w:t>review of an oral and written report with completed documentation, inclu</w:t>
            </w:r>
            <w:r w:rsidRPr="00DC582C">
              <w:t>ding test results</w:t>
            </w:r>
          </w:p>
          <w:p w:rsidR="00000000" w:rsidP="00DC582C">
            <w:pPr>
              <w:pStyle w:val="ListBullet"/>
              <w:rPr>
                <w:lang w:val="en-NZ"/>
              </w:rPr>
            </w:pPr>
            <w:r w:rsidRPr="00DC582C">
              <w:t>direct observation of the candidate installing and terminating coaxial cable.</w:t>
            </w:r>
          </w:p>
        </w:tc>
      </w:tr>
      <w:tr w:rsidTr="00DC582C">
        <w:tblPrEx>
          <w:tblW w:w="0" w:type="auto"/>
          <w:tblLayout w:type="fixed"/>
          <w:tblCellMar>
            <w:left w:w="62" w:type="dxa"/>
            <w:right w:w="62" w:type="dxa"/>
          </w:tblCellMar>
          <w:tblLook w:val="0000"/>
        </w:tblPrEx>
        <w:tc>
          <w:tcPr>
            <w:tcW w:w="24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582C">
            <w:pPr>
              <w:pStyle w:val="BodyText"/>
              <w:rPr>
                <w:lang w:val="en-NZ"/>
              </w:rPr>
            </w:pPr>
            <w:r w:rsidRPr="00DC582C">
              <w:rPr>
                <w:rStyle w:val="SpecialBold"/>
              </w:rPr>
              <w:t>Guidance information for assessment</w:t>
            </w:r>
          </w:p>
        </w:tc>
        <w:tc>
          <w:tcPr>
            <w:tcW w:w="62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582C" w:rsidP="00DC582C">
            <w:pPr>
              <w:pStyle w:val="BodyText"/>
            </w:pPr>
            <w:r w:rsidRPr="00DC582C">
              <w:t>Holistic assessment with other units relevant to the industry sector, workplace and job role is recommended, for example:</w:t>
            </w:r>
          </w:p>
          <w:p w:rsidR="00000000" w:rsidRPr="00DC582C" w:rsidP="00DC582C">
            <w:pPr>
              <w:pStyle w:val="BodyText"/>
            </w:pPr>
          </w:p>
          <w:p w:rsidR="00000000" w:rsidRPr="00DC582C" w:rsidP="00DC582C">
            <w:pPr>
              <w:pStyle w:val="ListBullet"/>
            </w:pPr>
            <w:r w:rsidRPr="00DC582C">
              <w:t>ICTCBL3009B Install, terminate and certify structured cabling installation.</w:t>
            </w:r>
          </w:p>
          <w:p w:rsidR="00000000" w:rsidRPr="00DC582C" w:rsidP="00DC582C">
            <w:pPr>
              <w:pStyle w:val="BodyText"/>
            </w:pPr>
          </w:p>
          <w:p w:rsidR="00000000" w:rsidRPr="00DC582C" w:rsidP="00DC582C">
            <w:pPr>
              <w:pStyle w:val="BodyText"/>
            </w:pPr>
            <w:r w:rsidRPr="00DC582C">
              <w:t>Aboriginal people and other people from a non-English speaking background may have second language issues.</w:t>
            </w:r>
          </w:p>
          <w:p w:rsidR="00000000" w:rsidRPr="00DC582C" w:rsidP="00DC582C">
            <w:pPr>
              <w:pStyle w:val="BodyText"/>
            </w:pPr>
          </w:p>
          <w:p w:rsidR="00000000" w:rsidRPr="00DC582C" w:rsidP="00DC582C">
            <w:pPr>
              <w:pStyle w:val="BodyText"/>
            </w:pPr>
            <w:r w:rsidRPr="00DC582C">
              <w:t>Access must be provided to appropriate learning and assessment support</w:t>
            </w:r>
            <w:r w:rsidRPr="00DC582C">
              <w:t xml:space="preserve"> when required.</w:t>
            </w:r>
          </w:p>
          <w:p w:rsidR="00000000" w:rsidRPr="00DC582C" w:rsidP="00DC582C">
            <w:pPr>
              <w:pStyle w:val="BodyText"/>
            </w:pPr>
          </w:p>
          <w:p w:rsidR="00000000" w:rsidRPr="00DC582C" w:rsidP="00DC582C">
            <w:pPr>
              <w:pStyle w:val="BodyText"/>
            </w:pPr>
            <w:r w:rsidRPr="00DC582C">
              <w:t>Assessment processes and techniques must be culturally appropriate, and appropriate to the oral communication skill level, and language and literacy capacity of the candidate and the work being performed.</w:t>
            </w:r>
          </w:p>
          <w:p w:rsidR="00000000" w:rsidRPr="00DC582C" w:rsidP="00DC582C">
            <w:pPr>
              <w:pStyle w:val="BodyText"/>
            </w:pPr>
          </w:p>
          <w:p w:rsidR="00000000" w:rsidRPr="00DC582C" w:rsidP="00DC582C">
            <w:pPr>
              <w:pStyle w:val="BodyText"/>
            </w:pPr>
            <w:r w:rsidRPr="00DC582C">
              <w:t>In all cases where practical asse</w:t>
            </w:r>
            <w:r w:rsidRPr="00DC582C">
              <w:t>ssment is used it will be combined with targeted questioning to assess required knowledge. Questioning techniques should not require language, literacy and numeracy skills beyond those required in this unit of competency.</w:t>
            </w:r>
          </w:p>
          <w:p w:rsidR="00000000" w:rsidRPr="00DC582C" w:rsidP="00DC582C">
            <w:pPr>
              <w:pStyle w:val="BodyText"/>
            </w:pPr>
          </w:p>
          <w:p w:rsidR="00000000" w:rsidRPr="00DC582C" w:rsidP="00DC582C">
            <w:pPr>
              <w:pStyle w:val="BodyText"/>
            </w:pPr>
            <w:r w:rsidRPr="00DC582C">
              <w:t>Where applicable, physical resour</w:t>
            </w:r>
            <w:r w:rsidRPr="00DC582C">
              <w:t>ces should include equipment modified for people with special needs.</w:t>
            </w:r>
          </w:p>
        </w:tc>
      </w:tr>
    </w:tbl>
    <w:p w:rsidR="00000000" w:rsidRPr="00DC582C" w:rsidP="00DC582C">
      <w:pPr>
        <w:pStyle w:val="BodyText"/>
      </w:pPr>
    </w:p>
    <w:p w:rsidR="00000000" w:rsidRPr="00DC582C" w:rsidP="00DC582C">
      <w:pPr>
        <w:pStyle w:val="AllowPageBreak"/>
      </w:pPr>
    </w:p>
    <w:p w:rsidR="00000000" w:rsidRPr="00DC582C" w:rsidP="00DC582C">
      <w:pPr>
        <w:pStyle w:val="Heading1"/>
      </w:pPr>
      <w:bookmarkStart w:id="11" w:name="O_639607"/>
      <w:bookmarkEnd w:id="11"/>
      <w:r w:rsidRPr="00DC582C">
        <w:t>Range Statement</w:t>
      </w:r>
    </w:p>
    <w:p w:rsidR="00000000" w:rsidRPr="00DC582C" w:rsidP="00DC582C">
      <w:pPr>
        <w:pStyle w:val="BodyText"/>
      </w:pPr>
      <w:r w:rsidRPr="00DC582C">
        <w:rPr>
          <w:rStyle w:val="Emphasis"/>
        </w:rPr>
        <w:t xml:space="preserve">The range statement relates to the unit of competency as a whole. It allows for different work environments and situations that may affect </w:t>
      </w:r>
      <w:r w:rsidRPr="00DC582C">
        <w:rPr>
          <w:rStyle w:val="Emphasis"/>
        </w:rPr>
        <w:t>performance. Bold italicised wording, if used in the performance criteria, is detailed below. Essential operating conditions that may be present with training and assessment (depending on the work situation, needs of the candidate, accessibility of the ite</w:t>
      </w:r>
      <w:r w:rsidRPr="00DC582C">
        <w:rPr>
          <w:rStyle w:val="Emphasis"/>
        </w:rPr>
        <w:t>m, and local industry and regional contexts) may also be included.</w:t>
      </w:r>
    </w:p>
    <w:p w:rsidR="00000000" w:rsidRPr="00DC582C" w:rsidP="00DC582C">
      <w:pPr>
        <w:pStyle w:val="BodyText"/>
      </w:pPr>
    </w:p>
    <w:tbl>
      <w:tblPr>
        <w:tblW w:w="0" w:type="auto"/>
        <w:tblLayout w:type="fixed"/>
        <w:tblCellMar>
          <w:left w:w="62" w:type="dxa"/>
          <w:right w:w="62" w:type="dxa"/>
        </w:tblCellMar>
        <w:tblLook w:val="0000"/>
      </w:tblPr>
      <w:tblGrid>
        <w:gridCol w:w="2506"/>
        <w:gridCol w:w="6239"/>
      </w:tblGrid>
      <w:tr w:rsidTr="00DC582C">
        <w:tblPrEx>
          <w:tblW w:w="0" w:type="auto"/>
          <w:tblLayout w:type="fixed"/>
          <w:tblCellMar>
            <w:left w:w="62" w:type="dxa"/>
            <w:right w:w="62" w:type="dxa"/>
          </w:tblCellMar>
          <w:tblLook w:val="0000"/>
        </w:tblPrEx>
        <w:tc>
          <w:tcPr>
            <w:tcW w:w="25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582C">
            <w:pPr>
              <w:pStyle w:val="BodyText"/>
              <w:rPr>
                <w:lang w:val="en-NZ"/>
              </w:rPr>
            </w:pPr>
            <w:r w:rsidRPr="00DC582C">
              <w:rPr>
                <w:rStyle w:val="BoldandItalics"/>
              </w:rPr>
              <w:t xml:space="preserve">Relevant legislation, codes, </w:t>
            </w:r>
            <w:r w:rsidRPr="00DC582C">
              <w:rPr>
                <w:rStyle w:val="BoldandItalics"/>
              </w:rPr>
              <w:t xml:space="preserve">regulations and standards </w:t>
            </w:r>
            <w:r w:rsidRPr="00DC582C">
              <w:t>may include:</w:t>
            </w:r>
          </w:p>
        </w:tc>
        <w:tc>
          <w:tcPr>
            <w:tcW w:w="62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582C" w:rsidP="00DC582C">
            <w:pPr>
              <w:pStyle w:val="ListBullet"/>
            </w:pPr>
            <w:r w:rsidRPr="00DC582C">
              <w:t xml:space="preserve">Australian Communications Industry Forum (ACIF) standards </w:t>
            </w:r>
            <w:r w:rsidRPr="00DC582C">
              <w:t>and codes</w:t>
            </w:r>
          </w:p>
          <w:p w:rsidR="00000000" w:rsidRPr="00DC582C" w:rsidP="00DC582C">
            <w:pPr>
              <w:pStyle w:val="ListBullet"/>
            </w:pPr>
            <w:r w:rsidRPr="00DC582C">
              <w:t>AS Communications Cabling Manual (CCM) Volume 1</w:t>
            </w:r>
          </w:p>
          <w:p w:rsidR="00000000" w:rsidRPr="00DC582C" w:rsidP="00DC582C">
            <w:pPr>
              <w:pStyle w:val="ListBullet"/>
            </w:pPr>
            <w:r w:rsidRPr="00DC582C">
              <w:t>AS/</w:t>
            </w:r>
            <w:r w:rsidRPr="00DC582C">
              <w:t>NZS 1367:2007</w:t>
            </w:r>
          </w:p>
          <w:p w:rsidR="00000000" w:rsidRPr="00DC582C" w:rsidP="00DC582C">
            <w:pPr>
              <w:pStyle w:val="ListBullet"/>
            </w:pPr>
            <w:r w:rsidRPr="00DC582C">
              <w:t>AS/NZS 3080:2003</w:t>
            </w:r>
          </w:p>
          <w:p w:rsidR="00000000" w:rsidRPr="00DC582C" w:rsidP="00DC582C">
            <w:pPr>
              <w:pStyle w:val="ListBullet"/>
            </w:pPr>
            <w:r w:rsidRPr="00DC582C">
              <w:t>AS/NZS 3084:2003</w:t>
            </w:r>
          </w:p>
          <w:p w:rsidR="00000000" w:rsidRPr="00DC582C" w:rsidP="00DC582C">
            <w:pPr>
              <w:pStyle w:val="ListBullet"/>
            </w:pPr>
            <w:r w:rsidRPr="00DC582C">
              <w:t>AS/NZS 3085.1:2004</w:t>
            </w:r>
          </w:p>
          <w:p w:rsidR="00000000" w:rsidRPr="00DC582C" w:rsidP="00DC582C">
            <w:pPr>
              <w:pStyle w:val="ListBullet"/>
            </w:pPr>
            <w:r w:rsidRPr="00DC582C">
              <w:t>AS/NZS IEC 61935.1:2006</w:t>
            </w:r>
          </w:p>
          <w:p w:rsidR="00000000" w:rsidRPr="00DC582C" w:rsidP="00DC582C">
            <w:pPr>
              <w:pStyle w:val="ListBullet"/>
            </w:pPr>
            <w:r w:rsidRPr="00DC582C">
              <w:t>AS/NZS IEC 61935.2:2006</w:t>
            </w:r>
          </w:p>
          <w:p w:rsidR="00000000" w:rsidRPr="00DC582C" w:rsidP="00DC582C">
            <w:pPr>
              <w:pStyle w:val="ListBullet"/>
            </w:pPr>
            <w:r w:rsidRPr="00DC582C">
              <w:t>AS/NZS ISO/IEC 14763.3:2007</w:t>
            </w:r>
          </w:p>
          <w:p w:rsidR="00000000" w:rsidRPr="00DC582C" w:rsidP="00DC582C">
            <w:pPr>
              <w:pStyle w:val="ListBullet"/>
            </w:pPr>
            <w:r w:rsidRPr="00DC582C">
              <w:t>AS/NZS ISO/IEC 15018:2005</w:t>
            </w:r>
          </w:p>
          <w:p w:rsidR="00000000" w:rsidRPr="00DC582C" w:rsidP="00DC582C">
            <w:pPr>
              <w:pStyle w:val="ListBullet"/>
            </w:pPr>
            <w:r w:rsidRPr="00DC582C">
              <w:t xml:space="preserve">AS/NZS ISO/IEC 24702:2007 </w:t>
            </w:r>
          </w:p>
          <w:p w:rsidR="00000000" w:rsidRPr="00DC582C" w:rsidP="00DC582C">
            <w:pPr>
              <w:pStyle w:val="ListBullet"/>
            </w:pPr>
            <w:r w:rsidRPr="00DC582C">
              <w:t>Australian building codes and regulations</w:t>
            </w:r>
          </w:p>
          <w:p w:rsidR="00000000" w:rsidRPr="00DC582C" w:rsidP="00DC582C">
            <w:pPr>
              <w:pStyle w:val="ListBullet"/>
            </w:pPr>
            <w:r w:rsidRPr="00DC582C">
              <w:t>cabling security codes and regulations</w:t>
            </w:r>
          </w:p>
          <w:p w:rsidR="00000000" w:rsidRPr="00DC582C" w:rsidP="00DC582C">
            <w:pPr>
              <w:pStyle w:val="ListBullet"/>
            </w:pPr>
            <w:r w:rsidRPr="00DC582C">
              <w:t>OHS Acts and relevant codes and standards</w:t>
            </w:r>
          </w:p>
          <w:p w:rsidR="00000000" w:rsidRPr="00DC582C" w:rsidP="00DC582C">
            <w:pPr>
              <w:pStyle w:val="ListBullet"/>
            </w:pPr>
            <w:r w:rsidRPr="00DC582C">
              <w:t>other services and utilities codes of practice and standards:</w:t>
            </w:r>
          </w:p>
          <w:p w:rsidR="00000000" w:rsidRPr="00DC582C" w:rsidP="00DC582C">
            <w:pPr>
              <w:pStyle w:val="ListBullet2"/>
            </w:pPr>
            <w:r w:rsidRPr="00DC582C">
              <w:t>electricity</w:t>
            </w:r>
          </w:p>
          <w:p w:rsidR="00000000" w:rsidRPr="00DC582C" w:rsidP="00DC582C">
            <w:pPr>
              <w:pStyle w:val="ListBullet2"/>
            </w:pPr>
            <w:r w:rsidRPr="00DC582C">
              <w:t>gas</w:t>
            </w:r>
          </w:p>
          <w:p w:rsidR="00000000" w:rsidRPr="00DC582C" w:rsidP="00DC582C">
            <w:pPr>
              <w:pStyle w:val="ListBullet2"/>
            </w:pPr>
            <w:r w:rsidRPr="00DC582C">
              <w:t>water</w:t>
            </w:r>
          </w:p>
          <w:p w:rsidR="00000000" w:rsidRPr="00DC582C" w:rsidP="00DC582C">
            <w:pPr>
              <w:pStyle w:val="ListBullet"/>
            </w:pPr>
            <w:r w:rsidRPr="00DC582C">
              <w:t>relevant Institute of Electrical and Electronics Engineers (IEEE) standards</w:t>
            </w:r>
          </w:p>
          <w:p w:rsidR="00000000" w:rsidP="00DC582C">
            <w:pPr>
              <w:pStyle w:val="ListBullet"/>
              <w:rPr>
                <w:lang w:val="en-NZ"/>
              </w:rPr>
            </w:pPr>
            <w:r w:rsidRPr="00DC582C">
              <w:t>technical sta</w:t>
            </w:r>
            <w:r w:rsidRPr="00DC582C">
              <w:t>ndards AS/ACIF S008:2006 and AS/ACIF S009:2006.</w:t>
            </w:r>
          </w:p>
        </w:tc>
      </w:tr>
      <w:tr w:rsidTr="00DC582C">
        <w:tblPrEx>
          <w:tblW w:w="0" w:type="auto"/>
          <w:tblLayout w:type="fixed"/>
          <w:tblCellMar>
            <w:left w:w="62" w:type="dxa"/>
            <w:right w:w="62" w:type="dxa"/>
          </w:tblCellMar>
          <w:tblLook w:val="0000"/>
        </w:tblPrEx>
        <w:tc>
          <w:tcPr>
            <w:tcW w:w="25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582C">
            <w:pPr>
              <w:pStyle w:val="BodyText"/>
              <w:rPr>
                <w:lang w:val="en-NZ"/>
              </w:rPr>
            </w:pPr>
            <w:r w:rsidRPr="00DC582C">
              <w:rPr>
                <w:rStyle w:val="BoldandItalics"/>
              </w:rPr>
              <w:t xml:space="preserve">Hazards </w:t>
            </w:r>
            <w:r w:rsidRPr="00DC582C">
              <w:t>may include:</w:t>
            </w:r>
          </w:p>
        </w:tc>
        <w:tc>
          <w:tcPr>
            <w:tcW w:w="62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582C" w:rsidP="00DC582C">
            <w:pPr>
              <w:pStyle w:val="ListBullet"/>
            </w:pPr>
            <w:r w:rsidRPr="00DC582C">
              <w:t>building debris</w:t>
            </w:r>
          </w:p>
          <w:p w:rsidR="00000000" w:rsidRPr="00DC582C" w:rsidP="00DC582C">
            <w:pPr>
              <w:pStyle w:val="ListBullet"/>
            </w:pPr>
            <w:r w:rsidRPr="00DC582C">
              <w:t>earth potential rise (EPR)</w:t>
            </w:r>
          </w:p>
          <w:p w:rsidR="00000000" w:rsidRPr="00DC582C" w:rsidP="00DC582C">
            <w:pPr>
              <w:pStyle w:val="ListBullet"/>
            </w:pPr>
            <w:r w:rsidRPr="00DC582C">
              <w:t>live power lines</w:t>
            </w:r>
          </w:p>
          <w:p w:rsidR="00000000" w:rsidRPr="00DC582C" w:rsidP="00DC582C">
            <w:pPr>
              <w:pStyle w:val="ListBullet"/>
            </w:pPr>
            <w:r w:rsidRPr="00DC582C">
              <w:t>manual handling</w:t>
            </w:r>
          </w:p>
          <w:p w:rsidR="00000000" w:rsidRPr="00DC582C" w:rsidP="00DC582C">
            <w:pPr>
              <w:pStyle w:val="ListBullet"/>
            </w:pPr>
            <w:r w:rsidRPr="00DC582C">
              <w:t>mud and water</w:t>
            </w:r>
          </w:p>
          <w:p w:rsidR="00000000" w:rsidRPr="00DC582C" w:rsidP="00DC582C">
            <w:pPr>
              <w:pStyle w:val="ListBullet"/>
            </w:pPr>
            <w:r w:rsidRPr="00DC582C">
              <w:t>natural gas and other gas build-up</w:t>
            </w:r>
          </w:p>
          <w:p w:rsidR="00000000" w:rsidRPr="00DC582C" w:rsidP="00DC582C">
            <w:pPr>
              <w:pStyle w:val="ListBullet"/>
            </w:pPr>
            <w:r w:rsidRPr="00DC582C">
              <w:t>radio frequency equipment emitting radiation</w:t>
            </w:r>
          </w:p>
          <w:p w:rsidR="00000000" w:rsidRPr="00DC582C" w:rsidP="00DC582C">
            <w:pPr>
              <w:pStyle w:val="ListBullet"/>
            </w:pPr>
            <w:r w:rsidRPr="00DC582C">
              <w:t>remote power feeding services that operate at above telecommunications network voltage (TNV)</w:t>
            </w:r>
          </w:p>
          <w:p w:rsidR="00000000" w:rsidRPr="00DC582C" w:rsidP="00DC582C">
            <w:pPr>
              <w:pStyle w:val="ListBullet"/>
            </w:pPr>
            <w:r w:rsidRPr="00DC582C">
              <w:t>slippery surfaces</w:t>
            </w:r>
          </w:p>
          <w:p w:rsidR="00000000" w:rsidP="00DC582C">
            <w:pPr>
              <w:pStyle w:val="ListBullet"/>
              <w:rPr>
                <w:lang w:val="en-NZ"/>
              </w:rPr>
            </w:pPr>
            <w:r w:rsidRPr="00DC582C">
              <w:t>vermin.</w:t>
            </w:r>
          </w:p>
        </w:tc>
      </w:tr>
      <w:tr w:rsidTr="00DC582C">
        <w:tblPrEx>
          <w:tblW w:w="0" w:type="auto"/>
          <w:tblLayout w:type="fixed"/>
          <w:tblCellMar>
            <w:left w:w="62" w:type="dxa"/>
            <w:right w:w="62" w:type="dxa"/>
          </w:tblCellMar>
          <w:tblLook w:val="0000"/>
        </w:tblPrEx>
        <w:tc>
          <w:tcPr>
            <w:tcW w:w="25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582C">
            <w:pPr>
              <w:pStyle w:val="BodyText"/>
              <w:rPr>
                <w:lang w:val="en-NZ"/>
              </w:rPr>
            </w:pPr>
            <w:r w:rsidRPr="00DC582C">
              <w:rPr>
                <w:rStyle w:val="BoldandItalics"/>
              </w:rPr>
              <w:t xml:space="preserve">Coaxial cable type </w:t>
            </w:r>
            <w:r w:rsidRPr="00DC582C">
              <w:t>may relate to:</w:t>
            </w:r>
          </w:p>
        </w:tc>
        <w:tc>
          <w:tcPr>
            <w:tcW w:w="62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582C" w:rsidP="00DC582C">
            <w:pPr>
              <w:pStyle w:val="ListBullet"/>
            </w:pPr>
            <w:r w:rsidRPr="00DC582C">
              <w:t>aerial</w:t>
            </w:r>
          </w:p>
          <w:p w:rsidR="00000000" w:rsidRPr="00DC582C" w:rsidP="00DC582C">
            <w:pPr>
              <w:pStyle w:val="ListBullet"/>
            </w:pPr>
            <w:r w:rsidRPr="00DC582C">
              <w:t>compliance with appropriate ACMA technical standard requirements</w:t>
            </w:r>
          </w:p>
          <w:p w:rsidR="00000000" w:rsidRPr="00DC582C" w:rsidP="00DC582C">
            <w:pPr>
              <w:pStyle w:val="ListBullet"/>
            </w:pPr>
            <w:r w:rsidRPr="00DC582C">
              <w:t>flexible (internal and external)</w:t>
            </w:r>
          </w:p>
          <w:p w:rsidR="00000000" w:rsidRPr="00DC582C" w:rsidP="00DC582C">
            <w:pPr>
              <w:pStyle w:val="ListBullet"/>
            </w:pPr>
            <w:r w:rsidRPr="00DC582C">
              <w:t>hard line (internal and external)</w:t>
            </w:r>
          </w:p>
          <w:p w:rsidR="00000000" w:rsidRPr="00DC582C" w:rsidP="00DC582C">
            <w:pPr>
              <w:pStyle w:val="ListBullet"/>
            </w:pPr>
            <w:r w:rsidRPr="00DC582C">
              <w:t>installed individually or in small teams</w:t>
            </w:r>
          </w:p>
          <w:p w:rsidR="00000000" w:rsidRPr="00DC582C" w:rsidP="00DC582C">
            <w:pPr>
              <w:pStyle w:val="ListBullet"/>
            </w:pPr>
            <w:r w:rsidRPr="00DC582C">
              <w:t>powered and unpowered</w:t>
            </w:r>
          </w:p>
          <w:p w:rsidR="00000000" w:rsidRPr="00DC582C" w:rsidP="00DC582C">
            <w:pPr>
              <w:pStyle w:val="ListBullet"/>
            </w:pPr>
            <w:r w:rsidRPr="00DC582C">
              <w:t>underground</w:t>
            </w:r>
          </w:p>
          <w:p w:rsidR="00000000" w:rsidP="00DC582C">
            <w:pPr>
              <w:pStyle w:val="ListBullet"/>
              <w:rPr>
                <w:lang w:val="en-NZ"/>
              </w:rPr>
            </w:pPr>
            <w:r w:rsidRPr="00DC582C">
              <w:t>various grades as designed for different environments and intended uses.</w:t>
            </w:r>
          </w:p>
        </w:tc>
      </w:tr>
      <w:tr w:rsidTr="00DC582C">
        <w:tblPrEx>
          <w:tblW w:w="0" w:type="auto"/>
          <w:tblLayout w:type="fixed"/>
          <w:tblCellMar>
            <w:left w:w="62" w:type="dxa"/>
            <w:right w:w="62" w:type="dxa"/>
          </w:tblCellMar>
          <w:tblLook w:val="0000"/>
        </w:tblPrEx>
        <w:tc>
          <w:tcPr>
            <w:tcW w:w="25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582C">
            <w:pPr>
              <w:pStyle w:val="BodyText"/>
              <w:rPr>
                <w:lang w:val="en-NZ"/>
              </w:rPr>
            </w:pPr>
            <w:r w:rsidRPr="00DC582C">
              <w:rPr>
                <w:rStyle w:val="BoldandItalics"/>
              </w:rPr>
              <w:t xml:space="preserve">Connectors </w:t>
            </w:r>
            <w:r w:rsidRPr="00DC582C">
              <w:t>may relate to:</w:t>
            </w:r>
          </w:p>
        </w:tc>
        <w:tc>
          <w:tcPr>
            <w:tcW w:w="62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582C" w:rsidP="00DC582C">
            <w:pPr>
              <w:pStyle w:val="ListBullet"/>
            </w:pPr>
            <w:r w:rsidRPr="00DC582C">
              <w:t>fitting retai</w:t>
            </w:r>
            <w:r w:rsidRPr="00DC582C">
              <w:t>ns the segregation of conductor and shield</w:t>
            </w:r>
          </w:p>
          <w:p w:rsidR="00000000" w:rsidRPr="00DC582C" w:rsidP="00DC582C">
            <w:pPr>
              <w:pStyle w:val="ListBullet"/>
            </w:pPr>
            <w:r w:rsidRPr="00DC582C">
              <w:t>terminating method according to manufacturer specification</w:t>
            </w:r>
          </w:p>
          <w:p w:rsidR="00000000" w:rsidRPr="00DC582C" w:rsidP="00DC582C">
            <w:pPr>
              <w:pStyle w:val="ListBullet"/>
            </w:pPr>
            <w:r w:rsidRPr="00DC582C">
              <w:t>termination maintains a continuous reference</w:t>
            </w:r>
          </w:p>
          <w:p w:rsidR="00000000" w:rsidP="00DC582C">
            <w:pPr>
              <w:pStyle w:val="ListBullet"/>
              <w:rPr>
                <w:lang w:val="en-NZ"/>
              </w:rPr>
            </w:pPr>
            <w:r w:rsidRPr="00DC582C">
              <w:t>terminations are waterproof where appropriate to prevent risk of damage to termination and cable function.</w:t>
            </w:r>
          </w:p>
        </w:tc>
      </w:tr>
      <w:tr w:rsidTr="00DC582C">
        <w:tblPrEx>
          <w:tblW w:w="0" w:type="auto"/>
          <w:tblLayout w:type="fixed"/>
          <w:tblCellMar>
            <w:left w:w="62" w:type="dxa"/>
            <w:right w:w="62" w:type="dxa"/>
          </w:tblCellMar>
          <w:tblLook w:val="0000"/>
        </w:tblPrEx>
        <w:tc>
          <w:tcPr>
            <w:tcW w:w="25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582C">
            <w:pPr>
              <w:pStyle w:val="BodyText"/>
              <w:rPr>
                <w:lang w:val="en-NZ"/>
              </w:rPr>
            </w:pPr>
            <w:r w:rsidRPr="00DC582C">
              <w:rPr>
                <w:rStyle w:val="BoldandItalics"/>
              </w:rPr>
              <w:t>M</w:t>
            </w:r>
            <w:r w:rsidRPr="00DC582C">
              <w:rPr>
                <w:rStyle w:val="BoldandItalics"/>
              </w:rPr>
              <w:t xml:space="preserve">anufacturer’s tool </w:t>
            </w:r>
            <w:r w:rsidRPr="00DC582C">
              <w:t>may include:</w:t>
            </w:r>
          </w:p>
        </w:tc>
        <w:tc>
          <w:tcPr>
            <w:tcW w:w="62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582C" w:rsidP="00DC582C">
            <w:pPr>
              <w:pStyle w:val="ListBullet"/>
            </w:pPr>
            <w:r w:rsidRPr="00DC582C">
              <w:t>hand or power tools, including:</w:t>
            </w:r>
          </w:p>
          <w:p w:rsidR="00000000" w:rsidRPr="00DC582C" w:rsidP="00DC582C">
            <w:pPr>
              <w:pStyle w:val="ListBullet2"/>
            </w:pPr>
            <w:r w:rsidRPr="00DC582C">
              <w:t>coring</w:t>
            </w:r>
          </w:p>
          <w:p w:rsidR="00000000" w:rsidRPr="00DC582C" w:rsidP="00DC582C">
            <w:pPr>
              <w:pStyle w:val="ListBullet2"/>
            </w:pPr>
            <w:r w:rsidRPr="00DC582C">
              <w:t>crimping</w:t>
            </w:r>
          </w:p>
          <w:p w:rsidR="00000000" w:rsidRPr="00DC582C" w:rsidP="00DC582C">
            <w:pPr>
              <w:pStyle w:val="ListBullet2"/>
            </w:pPr>
            <w:r w:rsidRPr="00DC582C">
              <w:t>stripping and preparation tool</w:t>
            </w:r>
          </w:p>
          <w:p w:rsidR="00000000" w:rsidP="00DC582C">
            <w:pPr>
              <w:pStyle w:val="ListBullet2"/>
              <w:rPr>
                <w:lang w:val="en-NZ"/>
              </w:rPr>
            </w:pPr>
            <w:r w:rsidRPr="00DC582C">
              <w:t>torque spanner.</w:t>
            </w:r>
          </w:p>
        </w:tc>
      </w:tr>
      <w:tr w:rsidTr="00DC582C">
        <w:tblPrEx>
          <w:tblW w:w="0" w:type="auto"/>
          <w:tblLayout w:type="fixed"/>
          <w:tblCellMar>
            <w:left w:w="62" w:type="dxa"/>
            <w:right w:w="62" w:type="dxa"/>
          </w:tblCellMar>
          <w:tblLook w:val="0000"/>
        </w:tblPrEx>
        <w:tc>
          <w:tcPr>
            <w:tcW w:w="25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582C">
            <w:pPr>
              <w:pStyle w:val="BodyText"/>
              <w:rPr>
                <w:lang w:val="en-NZ"/>
              </w:rPr>
            </w:pPr>
            <w:r w:rsidRPr="00DC582C">
              <w:rPr>
                <w:rStyle w:val="BoldandItalics"/>
              </w:rPr>
              <w:t xml:space="preserve">Manufacturer specifications </w:t>
            </w:r>
            <w:r w:rsidRPr="00DC582C">
              <w:t>may include:</w:t>
            </w:r>
          </w:p>
        </w:tc>
        <w:tc>
          <w:tcPr>
            <w:tcW w:w="62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582C" w:rsidP="00DC582C">
            <w:pPr>
              <w:pStyle w:val="ListBullet"/>
            </w:pPr>
            <w:r w:rsidRPr="00DC582C">
              <w:t xml:space="preserve">bend radius not exceeding manufacturer placement of cable with sufficient slack </w:t>
            </w:r>
            <w:r w:rsidRPr="00DC582C">
              <w:t>to allow termination</w:t>
            </w:r>
          </w:p>
          <w:p w:rsidR="00000000" w:rsidRPr="00DC582C" w:rsidP="00DC582C">
            <w:pPr>
              <w:pStyle w:val="ListBullet"/>
            </w:pPr>
            <w:r w:rsidRPr="00DC582C">
              <w:t>cable lengths not exceeding manufacturer or design specifications and maintaining RF signal integrity</w:t>
            </w:r>
          </w:p>
          <w:p w:rsidR="00000000" w:rsidRPr="00DC582C" w:rsidP="00DC582C">
            <w:pPr>
              <w:pStyle w:val="ListBullet"/>
            </w:pPr>
            <w:r w:rsidRPr="00DC582C">
              <w:t>installation of cable safely without damage to cable or clients premises</w:t>
            </w:r>
          </w:p>
          <w:p w:rsidR="00000000" w:rsidP="00DC582C">
            <w:pPr>
              <w:pStyle w:val="ListBullet"/>
              <w:rPr>
                <w:lang w:val="en-NZ"/>
              </w:rPr>
            </w:pPr>
            <w:r w:rsidRPr="00DC582C">
              <w:t xml:space="preserve">use of cable ties and brackets that are flexible and do not </w:t>
            </w:r>
            <w:r w:rsidRPr="00DC582C">
              <w:t>damage cable.</w:t>
            </w:r>
          </w:p>
        </w:tc>
      </w:tr>
      <w:tr w:rsidTr="00DC582C">
        <w:tblPrEx>
          <w:tblW w:w="0" w:type="auto"/>
          <w:tblLayout w:type="fixed"/>
          <w:tblCellMar>
            <w:left w:w="62" w:type="dxa"/>
            <w:right w:w="62" w:type="dxa"/>
          </w:tblCellMar>
          <w:tblLook w:val="0000"/>
        </w:tblPrEx>
        <w:tc>
          <w:tcPr>
            <w:tcW w:w="25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582C">
            <w:pPr>
              <w:pStyle w:val="BodyText"/>
              <w:rPr>
                <w:lang w:val="en-NZ"/>
              </w:rPr>
            </w:pPr>
            <w:r w:rsidRPr="00DC582C">
              <w:rPr>
                <w:rStyle w:val="BoldandItalics"/>
              </w:rPr>
              <w:t xml:space="preserve">OHS and environmental requirements </w:t>
            </w:r>
            <w:r w:rsidRPr="00DC582C">
              <w:t>may relate to:</w:t>
            </w:r>
          </w:p>
        </w:tc>
        <w:tc>
          <w:tcPr>
            <w:tcW w:w="62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582C" w:rsidP="00DC582C">
            <w:pPr>
              <w:pStyle w:val="ListBullet"/>
            </w:pPr>
            <w:r w:rsidRPr="00DC582C">
              <w:t>identifying other services, including power and gas</w:t>
            </w:r>
          </w:p>
          <w:p w:rsidR="00000000" w:rsidRPr="00DC582C" w:rsidP="00DC582C">
            <w:pPr>
              <w:pStyle w:val="ListBullet"/>
            </w:pPr>
            <w:r w:rsidRPr="00DC582C">
              <w:t>need for decommissioning and isolating work site and lines before beginning work</w:t>
            </w:r>
          </w:p>
          <w:p w:rsidR="00000000" w:rsidRPr="00DC582C" w:rsidP="00DC582C">
            <w:pPr>
              <w:pStyle w:val="ListBullet"/>
            </w:pPr>
            <w:r w:rsidRPr="00DC582C">
              <w:t>personal protective clothing:</w:t>
            </w:r>
          </w:p>
          <w:p w:rsidR="00000000" w:rsidRPr="00DC582C" w:rsidP="00DC582C">
            <w:pPr>
              <w:pStyle w:val="ListBullet2"/>
            </w:pPr>
            <w:r w:rsidRPr="00DC582C">
              <w:t>earmuffs</w:t>
            </w:r>
          </w:p>
          <w:p w:rsidR="00000000" w:rsidRPr="00DC582C" w:rsidP="00DC582C">
            <w:pPr>
              <w:pStyle w:val="ListBullet2"/>
            </w:pPr>
            <w:r w:rsidRPr="00DC582C">
              <w:t>gloves:</w:t>
            </w:r>
          </w:p>
          <w:p w:rsidR="00000000" w:rsidRPr="00DC582C" w:rsidP="00DC582C">
            <w:pPr>
              <w:pStyle w:val="ListBullet3"/>
            </w:pPr>
            <w:r w:rsidRPr="00DC582C">
              <w:t>leather</w:t>
            </w:r>
          </w:p>
          <w:p w:rsidR="00000000" w:rsidRPr="00DC582C" w:rsidP="00DC582C">
            <w:pPr>
              <w:pStyle w:val="ListBullet3"/>
            </w:pPr>
            <w:r w:rsidRPr="00DC582C">
              <w:t>plastic</w:t>
            </w:r>
          </w:p>
          <w:p w:rsidR="00000000" w:rsidRPr="00DC582C" w:rsidP="00DC582C">
            <w:pPr>
              <w:pStyle w:val="ListBullet3"/>
            </w:pPr>
            <w:r w:rsidRPr="00DC582C">
              <w:t>rubber</w:t>
            </w:r>
          </w:p>
          <w:p w:rsidR="00000000" w:rsidRPr="00DC582C" w:rsidP="00DC582C">
            <w:pPr>
              <w:pStyle w:val="ListBullet2"/>
            </w:pPr>
            <w:r w:rsidRPr="00DC582C">
              <w:t>head protection</w:t>
            </w:r>
          </w:p>
          <w:p w:rsidR="00000000" w:rsidRPr="00DC582C" w:rsidP="00DC582C">
            <w:pPr>
              <w:pStyle w:val="ListBullet2"/>
            </w:pPr>
            <w:r w:rsidRPr="00DC582C">
              <w:t>kneepads</w:t>
            </w:r>
          </w:p>
          <w:p w:rsidR="00000000" w:rsidRPr="00DC582C" w:rsidP="00DC582C">
            <w:pPr>
              <w:pStyle w:val="ListBullet2"/>
            </w:pPr>
            <w:r w:rsidRPr="00DC582C">
              <w:t>masks</w:t>
            </w:r>
          </w:p>
          <w:p w:rsidR="00000000" w:rsidRPr="00DC582C" w:rsidP="00DC582C">
            <w:pPr>
              <w:pStyle w:val="ListBullet2"/>
            </w:pPr>
            <w:r w:rsidRPr="00DC582C">
              <w:t>protective suits</w:t>
            </w:r>
          </w:p>
          <w:p w:rsidR="00000000" w:rsidRPr="00DC582C" w:rsidP="00DC582C">
            <w:pPr>
              <w:pStyle w:val="ListBullet2"/>
            </w:pPr>
            <w:r w:rsidRPr="00DC582C">
              <w:t>safety boots</w:t>
            </w:r>
          </w:p>
          <w:p w:rsidR="00000000" w:rsidRPr="00DC582C" w:rsidP="00DC582C">
            <w:pPr>
              <w:pStyle w:val="ListBullet2"/>
            </w:pPr>
            <w:r w:rsidRPr="00DC582C">
              <w:t>safety glasses</w:t>
            </w:r>
          </w:p>
          <w:p w:rsidR="00000000" w:rsidRPr="00DC582C" w:rsidP="00DC582C">
            <w:pPr>
              <w:pStyle w:val="ListBullet2"/>
            </w:pPr>
            <w:r w:rsidRPr="00DC582C">
              <w:t>safety harness</w:t>
            </w:r>
          </w:p>
          <w:p w:rsidR="00000000" w:rsidRPr="00DC582C" w:rsidP="00DC582C">
            <w:pPr>
              <w:pStyle w:val="ListBullet2"/>
            </w:pPr>
            <w:r w:rsidRPr="00DC582C">
              <w:t>safety line</w:t>
            </w:r>
          </w:p>
          <w:p w:rsidR="00000000" w:rsidRPr="00DC582C" w:rsidP="00DC582C">
            <w:pPr>
              <w:pStyle w:val="ListBullet"/>
            </w:pPr>
            <w:r w:rsidRPr="00DC582C">
              <w:t>safe work practices, such as the safe use and handling of:</w:t>
            </w:r>
          </w:p>
          <w:p w:rsidR="00000000" w:rsidRPr="00DC582C" w:rsidP="00DC582C">
            <w:pPr>
              <w:pStyle w:val="ListBullet2"/>
            </w:pPr>
            <w:r w:rsidRPr="00DC582C">
              <w:t>asbestos</w:t>
            </w:r>
          </w:p>
          <w:p w:rsidR="00000000" w:rsidRPr="00DC582C" w:rsidP="00DC582C">
            <w:pPr>
              <w:pStyle w:val="ListBullet2"/>
            </w:pPr>
            <w:r w:rsidRPr="00DC582C">
              <w:t>chemicals</w:t>
            </w:r>
          </w:p>
          <w:p w:rsidR="00000000" w:rsidRPr="00DC582C" w:rsidP="00DC582C">
            <w:pPr>
              <w:pStyle w:val="ListBullet2"/>
            </w:pPr>
            <w:r w:rsidRPr="00DC582C">
              <w:t>materials</w:t>
            </w:r>
          </w:p>
          <w:p w:rsidR="00000000" w:rsidRPr="00DC582C" w:rsidP="00DC582C">
            <w:pPr>
              <w:pStyle w:val="ListBullet2"/>
            </w:pPr>
            <w:r w:rsidRPr="00DC582C">
              <w:t>tools and equipment</w:t>
            </w:r>
          </w:p>
          <w:p w:rsidR="00000000" w:rsidRPr="00DC582C" w:rsidP="00DC582C">
            <w:pPr>
              <w:pStyle w:val="ListBullet2"/>
            </w:pPr>
            <w:r w:rsidRPr="00DC582C">
              <w:t>work platforms</w:t>
            </w:r>
          </w:p>
          <w:p w:rsidR="00000000" w:rsidRPr="00DC582C" w:rsidP="00DC582C">
            <w:pPr>
              <w:pStyle w:val="ListBullet"/>
            </w:pPr>
            <w:r w:rsidRPr="00DC582C">
              <w:t>safety equipment:</w:t>
            </w:r>
          </w:p>
          <w:p w:rsidR="00000000" w:rsidRPr="00DC582C" w:rsidP="00DC582C">
            <w:pPr>
              <w:pStyle w:val="ListBullet2"/>
            </w:pPr>
            <w:r w:rsidRPr="00DC582C">
              <w:t>flashing lights</w:t>
            </w:r>
          </w:p>
          <w:p w:rsidR="00000000" w:rsidRPr="00DC582C" w:rsidP="00DC582C">
            <w:pPr>
              <w:pStyle w:val="ListBullet2"/>
            </w:pPr>
            <w:r w:rsidRPr="00DC582C">
              <w:t>gas and other hazard detection equipment</w:t>
            </w:r>
          </w:p>
          <w:p w:rsidR="00000000" w:rsidRPr="00DC582C" w:rsidP="00DC582C">
            <w:pPr>
              <w:pStyle w:val="ListBullet2"/>
            </w:pPr>
            <w:r w:rsidRPr="00DC582C">
              <w:t>safety barriers</w:t>
            </w:r>
          </w:p>
          <w:p w:rsidR="00000000" w:rsidRPr="00DC582C" w:rsidP="00DC582C">
            <w:pPr>
              <w:pStyle w:val="ListBullet2"/>
            </w:pPr>
            <w:r w:rsidRPr="00DC582C">
              <w:t>trench guards</w:t>
            </w:r>
          </w:p>
          <w:p w:rsidR="00000000" w:rsidRPr="00DC582C" w:rsidP="00DC582C">
            <w:pPr>
              <w:pStyle w:val="ListBullet2"/>
            </w:pPr>
            <w:r w:rsidRPr="00DC582C">
              <w:t>warning signs and tapes</w:t>
            </w:r>
          </w:p>
          <w:p w:rsidR="00000000" w:rsidRPr="00DC582C" w:rsidP="00DC582C">
            <w:pPr>
              <w:pStyle w:val="ListBullet2"/>
            </w:pPr>
            <w:r w:rsidRPr="00DC582C">
              <w:t>witches hats</w:t>
            </w:r>
          </w:p>
          <w:p w:rsidR="00000000" w:rsidRPr="00DC582C" w:rsidP="00DC582C">
            <w:pPr>
              <w:pStyle w:val="ListBullet"/>
            </w:pPr>
            <w:r w:rsidRPr="00DC582C">
              <w:t>special access requirements</w:t>
            </w:r>
          </w:p>
          <w:p w:rsidR="00000000" w:rsidRPr="00DC582C" w:rsidP="00DC582C">
            <w:pPr>
              <w:pStyle w:val="ListBullet"/>
            </w:pPr>
            <w:r w:rsidRPr="00DC582C">
              <w:t>suitable light and ventilation</w:t>
            </w:r>
          </w:p>
          <w:p w:rsidR="00000000" w:rsidRPr="00DC582C" w:rsidP="00DC582C">
            <w:pPr>
              <w:pStyle w:val="ListBullet"/>
            </w:pPr>
            <w:r w:rsidRPr="00DC582C">
              <w:t>environmental considerations:</w:t>
            </w:r>
          </w:p>
          <w:p w:rsidR="00000000" w:rsidRPr="00DC582C" w:rsidP="00DC582C">
            <w:pPr>
              <w:pStyle w:val="ListBullet2"/>
            </w:pPr>
            <w:r w:rsidRPr="00DC582C">
              <w:t>clean-up protection</w:t>
            </w:r>
          </w:p>
          <w:p w:rsidR="00000000" w:rsidRPr="00DC582C" w:rsidP="00DC582C">
            <w:pPr>
              <w:pStyle w:val="ListBullet2"/>
            </w:pPr>
            <w:r w:rsidRPr="00DC582C">
              <w:t>stormwater protection</w:t>
            </w:r>
          </w:p>
          <w:p w:rsidR="00000000" w:rsidP="00DC582C">
            <w:pPr>
              <w:pStyle w:val="ListBullet2"/>
              <w:rPr>
                <w:lang w:val="en-NZ"/>
              </w:rPr>
            </w:pPr>
            <w:r w:rsidRPr="00DC582C">
              <w:t>waste management.</w:t>
            </w:r>
          </w:p>
        </w:tc>
      </w:tr>
      <w:tr w:rsidTr="00DC582C">
        <w:tblPrEx>
          <w:tblW w:w="0" w:type="auto"/>
          <w:tblLayout w:type="fixed"/>
          <w:tblCellMar>
            <w:left w:w="62" w:type="dxa"/>
            <w:right w:w="62" w:type="dxa"/>
          </w:tblCellMar>
          <w:tblLook w:val="0000"/>
        </w:tblPrEx>
        <w:tc>
          <w:tcPr>
            <w:tcW w:w="25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582C">
            <w:pPr>
              <w:pStyle w:val="BodyText"/>
              <w:rPr>
                <w:lang w:val="en-NZ"/>
              </w:rPr>
            </w:pPr>
            <w:r w:rsidRPr="00DC582C">
              <w:rPr>
                <w:rStyle w:val="BoldandItalics"/>
              </w:rPr>
              <w:t xml:space="preserve">Over-voltage protection devices </w:t>
            </w:r>
            <w:r w:rsidRPr="00DC582C">
              <w:t>includes:</w:t>
            </w:r>
          </w:p>
        </w:tc>
        <w:tc>
          <w:tcPr>
            <w:tcW w:w="62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582C" w:rsidP="00DC582C">
            <w:pPr>
              <w:pStyle w:val="ListBullet"/>
            </w:pPr>
            <w:r w:rsidRPr="00DC582C">
              <w:t>ACMA standards</w:t>
            </w:r>
          </w:p>
          <w:p w:rsidR="00000000" w:rsidRPr="00DC582C" w:rsidP="00DC582C">
            <w:pPr>
              <w:pStyle w:val="ListBullet"/>
            </w:pPr>
            <w:r w:rsidRPr="00DC582C">
              <w:t>manufacturer, enterprise or local environmental hazard requirements.</w:t>
            </w:r>
          </w:p>
        </w:tc>
      </w:tr>
    </w:tbl>
    <w:p w:rsidR="00000000" w:rsidRPr="00DC582C" w:rsidP="00DC582C">
      <w:pPr>
        <w:pStyle w:val="BodyText"/>
      </w:pPr>
    </w:p>
    <w:p w:rsidR="00000000" w:rsidRPr="00DC582C" w:rsidP="00DC582C">
      <w:pPr>
        <w:pStyle w:val="AllowPageBreak"/>
      </w:pPr>
    </w:p>
    <w:p w:rsidR="00000000" w:rsidRPr="00DC582C" w:rsidP="00DC582C">
      <w:pPr>
        <w:pStyle w:val="Heading1"/>
      </w:pPr>
      <w:bookmarkStart w:id="12" w:name="O_639608"/>
      <w:bookmarkEnd w:id="12"/>
      <w:r w:rsidRPr="00DC582C">
        <w:t>Unit Sector(s)</w:t>
      </w:r>
    </w:p>
    <w:p w:rsidR="00000000" w:rsidRPr="00DC582C" w:rsidP="00DC582C">
      <w:pPr>
        <w:pStyle w:val="BodyText"/>
      </w:pPr>
      <w:r w:rsidRPr="00DC582C">
        <w:t>Telecommunications - Cabling</w:t>
      </w:r>
    </w:p>
    <w:p w:rsidR="00000000" w:rsidRPr="00DC582C" w:rsidP="00DC582C"/>
    <w:sectPr w:rsidSect="00DC582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582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582C" w:rsidRPr="00C06B8B" w:rsidP="00C06B8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582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6B8B" w:rsidP="00DC582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12</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C06B8B" w:rsidP="00DC582C">
    <w:pPr>
      <w:pStyle w:val="Footer"/>
      <w:framePr w:wrap="around"/>
    </w:pPr>
    <w:r>
      <w:t xml:space="preserve">© Commonwealth of Australia, </w:t>
    </w:r>
    <w:r>
      <w:fldChar w:fldCharType="begin"/>
    </w:r>
    <w:r>
      <w:instrText xml:space="preserve"> DATE  \@ "yyyy"  \* MERGEFORMAT </w:instrText>
    </w:r>
    <w:r>
      <w:fldChar w:fldCharType="separate"/>
    </w:r>
    <w:r>
      <w:rPr>
        <w:noProof/>
      </w:rPr>
      <w:t>2014</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C06B8B" w:rsidP="00DC582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582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582C" w:rsidRPr="00C06B8B" w:rsidP="00C06B8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582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6B8B" w:rsidRPr="002D2AF8" w:rsidP="00DC582C">
    <w:pPr>
      <w:pStyle w:val="Header"/>
      <w:framePr w:wrap="around"/>
    </w:pPr>
    <w:r>
      <w:fldChar w:fldCharType="begin"/>
    </w:r>
    <w:r>
      <w:instrText xml:space="preserve"> TITLE   \* MERGEFORMAT </w:instrText>
    </w:r>
    <w:r>
      <w:fldChar w:fldCharType="separate"/>
    </w:r>
    <w:r>
      <w:t>ICTCBL3011B Install and terminate coaxial cable</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February 2014</w:t>
    </w:r>
    <w:r>
      <w:fldChar w:fldCharType="end"/>
    </w:r>
  </w:p>
  <w:p w:rsidR="00C06B8B" w:rsidP="00DC582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5AE9B7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7923FA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26EBF9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C582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C582C"/>
    <w:pPr>
      <w:spacing w:before="360" w:after="60"/>
      <w:outlineLvl w:val="0"/>
    </w:pPr>
    <w:rPr>
      <w:sz w:val="32"/>
    </w:rPr>
  </w:style>
  <w:style w:type="paragraph" w:styleId="Heading2">
    <w:name w:val="heading 2"/>
    <w:basedOn w:val="HeadingBase"/>
    <w:next w:val="BodyText"/>
    <w:link w:val="Heading2Char"/>
    <w:qFormat/>
    <w:rsid w:val="00DC582C"/>
    <w:pPr>
      <w:keepLines/>
      <w:spacing w:before="240" w:after="120"/>
      <w:outlineLvl w:val="1"/>
    </w:pPr>
    <w:rPr>
      <w:sz w:val="28"/>
      <w:szCs w:val="40"/>
    </w:rPr>
  </w:style>
  <w:style w:type="paragraph" w:styleId="Heading3">
    <w:name w:val="heading 3"/>
    <w:basedOn w:val="HeadingBase"/>
    <w:next w:val="BodyText"/>
    <w:link w:val="Heading3Char"/>
    <w:qFormat/>
    <w:rsid w:val="00DC582C"/>
    <w:pPr>
      <w:spacing w:before="180" w:after="120"/>
      <w:outlineLvl w:val="2"/>
    </w:pPr>
    <w:rPr>
      <w:spacing w:val="-10"/>
      <w:kern w:val="32"/>
    </w:rPr>
  </w:style>
  <w:style w:type="paragraph" w:styleId="Heading4">
    <w:name w:val="heading 4"/>
    <w:basedOn w:val="HeadingBase"/>
    <w:next w:val="BodyText"/>
    <w:link w:val="Heading4Char"/>
    <w:qFormat/>
    <w:rsid w:val="00DC582C"/>
    <w:pPr>
      <w:spacing w:before="160" w:after="120"/>
      <w:outlineLvl w:val="3"/>
    </w:pPr>
    <w:rPr>
      <w:sz w:val="22"/>
    </w:rPr>
  </w:style>
  <w:style w:type="paragraph" w:styleId="Heading5">
    <w:name w:val="heading 5"/>
    <w:basedOn w:val="HeadingBase"/>
    <w:next w:val="Normal"/>
    <w:link w:val="Heading5Char"/>
    <w:qFormat/>
    <w:rsid w:val="00DC582C"/>
    <w:pPr>
      <w:spacing w:before="80"/>
      <w:outlineLvl w:val="4"/>
    </w:pPr>
    <w:rPr>
      <w:color w:val="918585"/>
      <w:sz w:val="20"/>
    </w:rPr>
  </w:style>
  <w:style w:type="paragraph" w:styleId="Heading6">
    <w:name w:val="heading 6"/>
    <w:basedOn w:val="HeadingBase"/>
    <w:next w:val="Normal"/>
    <w:link w:val="Heading6Char"/>
    <w:qFormat/>
    <w:rsid w:val="00DC582C"/>
    <w:pPr>
      <w:spacing w:before="60"/>
      <w:outlineLvl w:val="5"/>
    </w:pPr>
    <w:rPr>
      <w:color w:val="918585"/>
      <w:sz w:val="20"/>
    </w:rPr>
  </w:style>
  <w:style w:type="paragraph" w:styleId="Heading7">
    <w:name w:val="heading 7"/>
    <w:basedOn w:val="Normal"/>
    <w:next w:val="Normal"/>
    <w:link w:val="Heading7Char"/>
    <w:qFormat/>
    <w:rsid w:val="00DC582C"/>
    <w:pPr>
      <w:ind w:left="720"/>
      <w:outlineLvl w:val="6"/>
    </w:pPr>
    <w:rPr>
      <w:i/>
    </w:rPr>
  </w:style>
  <w:style w:type="paragraph" w:styleId="Heading8">
    <w:name w:val="heading 8"/>
    <w:basedOn w:val="Normal"/>
    <w:next w:val="Normal"/>
    <w:link w:val="Heading8Char"/>
    <w:qFormat/>
    <w:rsid w:val="00DC582C"/>
    <w:pPr>
      <w:ind w:left="720"/>
      <w:outlineLvl w:val="7"/>
    </w:pPr>
    <w:rPr>
      <w:i/>
    </w:rPr>
  </w:style>
  <w:style w:type="paragraph" w:styleId="Heading9">
    <w:name w:val="heading 9"/>
    <w:basedOn w:val="Normal"/>
    <w:next w:val="Normal"/>
    <w:link w:val="Heading9Char"/>
    <w:qFormat/>
    <w:rsid w:val="00DC582C"/>
    <w:pPr>
      <w:ind w:left="720"/>
      <w:outlineLvl w:val="8"/>
    </w:pPr>
    <w:rPr>
      <w:i/>
    </w:rPr>
  </w:style>
  <w:style w:type="character" w:default="1" w:styleId="DefaultParagraphFont">
    <w:name w:val="Default Paragraph Font"/>
    <w:uiPriority w:val="1"/>
    <w:unhideWhenUsed/>
    <w:rsid w:val="00DC582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C582C"/>
  </w:style>
  <w:style w:type="character" w:customStyle="1" w:styleId="Heading1Char">
    <w:name w:val="Heading 1 Char"/>
    <w:basedOn w:val="DefaultParagraphFont"/>
    <w:link w:val="Heading1"/>
    <w:rsid w:val="00DC582C"/>
    <w:rPr>
      <w:rFonts w:ascii="Times New Roman" w:eastAsia="Times New Roman" w:hAnsi="Times New Roman" w:cs="Times New Roman"/>
      <w:b/>
      <w:sz w:val="32"/>
      <w:szCs w:val="20"/>
      <w:lang w:eastAsia="en-US"/>
    </w:rPr>
  </w:style>
  <w:style w:type="paragraph" w:styleId="BodyText">
    <w:name w:val="Body Text"/>
    <w:basedOn w:val="Normal"/>
    <w:link w:val="BodyTextChar"/>
    <w:rsid w:val="00DC582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C582C"/>
    <w:rPr>
      <w:rFonts w:ascii="Times New Roman" w:eastAsia="Times New Roman" w:hAnsi="Times New Roman" w:cs="Times New Roman"/>
      <w:sz w:val="24"/>
      <w:lang w:eastAsia="en-US"/>
    </w:rPr>
  </w:style>
  <w:style w:type="paragraph" w:styleId="ListBullet">
    <w:name w:val="List Bullet"/>
    <w:basedOn w:val="List"/>
    <w:rsid w:val="00DC582C"/>
    <w:pPr>
      <w:numPr>
        <w:numId w:val="14"/>
      </w:numPr>
      <w:tabs>
        <w:tab w:val="clear" w:pos="340"/>
      </w:tabs>
      <w:spacing w:before="40" w:after="40"/>
    </w:pPr>
  </w:style>
  <w:style w:type="character" w:customStyle="1" w:styleId="SpecialBold">
    <w:name w:val="Special Bold"/>
    <w:basedOn w:val="DefaultParagraphFont"/>
    <w:rsid w:val="00DC582C"/>
    <w:rPr>
      <w:b/>
      <w:spacing w:val="0"/>
    </w:rPr>
  </w:style>
  <w:style w:type="paragraph" w:styleId="ListBullet2">
    <w:name w:val="List Bullet 2"/>
    <w:basedOn w:val="List2"/>
    <w:rsid w:val="00DC582C"/>
    <w:pPr>
      <w:numPr>
        <w:numId w:val="15"/>
      </w:numPr>
      <w:tabs>
        <w:tab w:val="clear" w:pos="680"/>
      </w:tabs>
    </w:pPr>
  </w:style>
  <w:style w:type="character" w:styleId="Emphasis">
    <w:name w:val="Emphasis"/>
    <w:basedOn w:val="DefaultParagraphFont"/>
    <w:qFormat/>
    <w:rsid w:val="00DC582C"/>
    <w:rPr>
      <w:i/>
    </w:rPr>
  </w:style>
  <w:style w:type="paragraph" w:customStyle="1" w:styleId="SuperHeading">
    <w:name w:val="SuperHeading"/>
    <w:basedOn w:val="Normal"/>
    <w:rsid w:val="00DC582C"/>
    <w:pPr>
      <w:spacing w:before="240" w:after="120"/>
      <w:outlineLvl w:val="0"/>
    </w:pPr>
    <w:rPr>
      <w:rFonts w:ascii="Times New Roman" w:hAnsi="Times New Roman"/>
      <w:b/>
      <w:sz w:val="32"/>
    </w:rPr>
  </w:style>
  <w:style w:type="paragraph" w:customStyle="1" w:styleId="AllowPageBreak">
    <w:name w:val="AllowPageBreak"/>
    <w:rsid w:val="00DC582C"/>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DC582C"/>
    <w:pPr>
      <w:numPr>
        <w:numId w:val="3"/>
      </w:numPr>
      <w:tabs>
        <w:tab w:val="clear" w:pos="1021"/>
      </w:tabs>
      <w:ind w:left="1037" w:hanging="357"/>
    </w:pPr>
  </w:style>
  <w:style w:type="character" w:customStyle="1" w:styleId="BoldandItalics">
    <w:name w:val="Bold and Italics"/>
    <w:qFormat/>
    <w:rsid w:val="00DC582C"/>
    <w:rPr>
      <w:b/>
      <w:i/>
      <w:u w:val="none"/>
    </w:rPr>
  </w:style>
  <w:style w:type="character" w:customStyle="1" w:styleId="Heading2Char">
    <w:name w:val="Heading 2 Char"/>
    <w:basedOn w:val="DefaultParagraphFont"/>
    <w:link w:val="Heading2"/>
    <w:rsid w:val="00DC582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C582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C582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C582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C582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C582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C582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C582C"/>
    <w:rPr>
      <w:rFonts w:ascii="Courier New" w:eastAsia="Times New Roman" w:hAnsi="Courier New" w:cs="Times New Roman"/>
      <w:i/>
      <w:szCs w:val="20"/>
      <w:lang w:eastAsia="en-US"/>
    </w:rPr>
  </w:style>
  <w:style w:type="paragraph" w:customStyle="1" w:styleId="HeadingBase">
    <w:name w:val="Heading Base"/>
    <w:rsid w:val="00DC582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C582C"/>
    <w:pPr>
      <w:tabs>
        <w:tab w:val="right" w:leader="dot" w:pos="9072"/>
      </w:tabs>
      <w:ind w:left="567"/>
    </w:pPr>
    <w:rPr>
      <w:szCs w:val="22"/>
    </w:rPr>
  </w:style>
  <w:style w:type="paragraph" w:customStyle="1" w:styleId="TOCBase">
    <w:name w:val="TOC Base"/>
    <w:rsid w:val="00DC582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C582C"/>
    <w:pPr>
      <w:tabs>
        <w:tab w:val="right" w:leader="dot" w:pos="9072"/>
      </w:tabs>
      <w:spacing w:before="40" w:after="40"/>
      <w:ind w:left="284"/>
    </w:pPr>
    <w:rPr>
      <w:rFonts w:ascii="Times New Roman" w:hAnsi="Times New Roman"/>
    </w:rPr>
  </w:style>
  <w:style w:type="paragraph" w:styleId="TOC1">
    <w:name w:val="toc 1"/>
    <w:basedOn w:val="TOCBase"/>
    <w:next w:val="Normal"/>
    <w:rsid w:val="00DC582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C582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C582C"/>
    <w:rPr>
      <w:rFonts w:ascii="Times New Roman" w:eastAsia="Times New Roman" w:hAnsi="Times New Roman" w:cs="Times New Roman"/>
      <w:sz w:val="16"/>
      <w:lang w:eastAsia="en-US"/>
    </w:rPr>
  </w:style>
  <w:style w:type="paragraph" w:styleId="Title">
    <w:name w:val="Title"/>
    <w:basedOn w:val="HeadingBase"/>
    <w:link w:val="TitleChar"/>
    <w:qFormat/>
    <w:rsid w:val="00DC582C"/>
    <w:pPr>
      <w:spacing w:before="5040"/>
      <w:jc w:val="center"/>
    </w:pPr>
    <w:rPr>
      <w:sz w:val="48"/>
      <w:szCs w:val="72"/>
      <w:lang w:val="en-US"/>
    </w:rPr>
  </w:style>
  <w:style w:type="character" w:customStyle="1" w:styleId="TitleChar">
    <w:name w:val="Title Char"/>
    <w:basedOn w:val="DefaultParagraphFont"/>
    <w:link w:val="Title"/>
    <w:rsid w:val="00DC582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C582C"/>
    <w:pPr>
      <w:tabs>
        <w:tab w:val="left" w:pos="3600"/>
        <w:tab w:val="left" w:pos="3958"/>
      </w:tabs>
    </w:pPr>
  </w:style>
  <w:style w:type="paragraph" w:styleId="List">
    <w:name w:val="List"/>
    <w:basedOn w:val="BodyText"/>
    <w:next w:val="BodyText"/>
    <w:rsid w:val="00DC582C"/>
    <w:pPr>
      <w:tabs>
        <w:tab w:val="left" w:pos="340"/>
      </w:tabs>
      <w:spacing w:before="60" w:after="60"/>
      <w:ind w:left="340" w:hanging="340"/>
    </w:pPr>
  </w:style>
  <w:style w:type="paragraph" w:customStyle="1" w:styleId="Note">
    <w:name w:val="Note"/>
    <w:basedOn w:val="BodyText"/>
    <w:rsid w:val="00DC582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C582C"/>
    <w:pPr>
      <w:framePr w:wrap="auto" w:hAnchor="text" w:y="6049"/>
    </w:pPr>
    <w:rPr>
      <w:color w:val="000000"/>
      <w:sz w:val="40"/>
    </w:rPr>
  </w:style>
  <w:style w:type="paragraph" w:customStyle="1" w:styleId="TOCTitle">
    <w:name w:val="TOCTitle"/>
    <w:basedOn w:val="Heading1"/>
    <w:rsid w:val="00DC582C"/>
    <w:pPr>
      <w:spacing w:after="240"/>
      <w:jc w:val="center"/>
      <w:outlineLvl w:val="9"/>
    </w:pPr>
    <w:rPr>
      <w:caps/>
    </w:rPr>
  </w:style>
  <w:style w:type="paragraph" w:customStyle="1" w:styleId="Version">
    <w:name w:val="Version"/>
    <w:rsid w:val="00DC582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C582C"/>
    <w:pPr>
      <w:keepNext w:val="0"/>
      <w:tabs>
        <w:tab w:val="right" w:pos="4176"/>
      </w:tabs>
      <w:ind w:left="198" w:hanging="198"/>
    </w:pPr>
    <w:rPr>
      <w:rFonts w:ascii="Garamond" w:hAnsi="Garamond"/>
    </w:rPr>
  </w:style>
  <w:style w:type="paragraph" w:styleId="IndexHeading">
    <w:name w:val="index heading"/>
    <w:basedOn w:val="Normal"/>
    <w:next w:val="Index1"/>
    <w:semiHidden/>
    <w:rsid w:val="00DC582C"/>
    <w:pPr>
      <w:spacing w:before="120" w:after="120"/>
    </w:pPr>
    <w:rPr>
      <w:rFonts w:ascii="Arial" w:hAnsi="Arial"/>
      <w:b/>
      <w:color w:val="918585"/>
      <w:sz w:val="24"/>
    </w:rPr>
  </w:style>
  <w:style w:type="paragraph" w:styleId="Header">
    <w:name w:val="header"/>
    <w:basedOn w:val="Normal"/>
    <w:link w:val="HeaderChar"/>
    <w:rsid w:val="00DC582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C582C"/>
    <w:rPr>
      <w:rFonts w:ascii="Times New Roman" w:eastAsia="Times New Roman" w:hAnsi="Times New Roman" w:cs="Times New Roman"/>
      <w:sz w:val="16"/>
      <w:szCs w:val="20"/>
      <w:lang w:val="en-GB" w:eastAsia="en-US"/>
    </w:rPr>
  </w:style>
  <w:style w:type="paragraph" w:customStyle="1" w:styleId="Chapter">
    <w:name w:val="Chapter"/>
    <w:basedOn w:val="Normal"/>
    <w:rsid w:val="00DC582C"/>
    <w:pPr>
      <w:spacing w:before="240"/>
    </w:pPr>
    <w:rPr>
      <w:rFonts w:ascii="Times New Roman" w:hAnsi="Times New Roman"/>
      <w:smallCaps/>
      <w:spacing w:val="80"/>
      <w:sz w:val="28"/>
    </w:rPr>
  </w:style>
  <w:style w:type="paragraph" w:customStyle="1" w:styleId="InChapter">
    <w:name w:val="InChapter"/>
    <w:basedOn w:val="Heading3"/>
    <w:rsid w:val="00DC582C"/>
    <w:pPr>
      <w:spacing w:after="240"/>
      <w:outlineLvl w:val="9"/>
    </w:pPr>
    <w:rPr>
      <w:noProof/>
    </w:rPr>
  </w:style>
  <w:style w:type="paragraph" w:styleId="Index2">
    <w:name w:val="index 2"/>
    <w:basedOn w:val="Normal"/>
    <w:next w:val="Normal"/>
    <w:semiHidden/>
    <w:rsid w:val="00DC582C"/>
    <w:pPr>
      <w:tabs>
        <w:tab w:val="right" w:pos="4176"/>
      </w:tabs>
      <w:ind w:left="568" w:hanging="284"/>
    </w:pPr>
    <w:rPr>
      <w:rFonts w:ascii="Garamond" w:hAnsi="Garamond"/>
    </w:rPr>
  </w:style>
  <w:style w:type="paragraph" w:customStyle="1" w:styleId="Byline">
    <w:name w:val="Byline"/>
    <w:rsid w:val="00DC582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C582C"/>
    <w:pPr>
      <w:tabs>
        <w:tab w:val="clear" w:pos="3600"/>
        <w:tab w:val="clear" w:pos="3958"/>
      </w:tabs>
      <w:jc w:val="right"/>
    </w:pPr>
  </w:style>
  <w:style w:type="paragraph" w:styleId="Caption">
    <w:name w:val="caption"/>
    <w:basedOn w:val="BodyText"/>
    <w:next w:val="Normal"/>
    <w:qFormat/>
    <w:rsid w:val="00DC582C"/>
    <w:pPr>
      <w:framePr w:w="2268" w:hSpace="181" w:vSpace="181" w:wrap="around" w:vAnchor="text" w:hAnchor="page" w:x="1135" w:y="285" w:anchorLock="1"/>
    </w:pPr>
    <w:rPr>
      <w:i/>
    </w:rPr>
  </w:style>
  <w:style w:type="paragraph" w:customStyle="1" w:styleId="MiniTOCTitle">
    <w:name w:val="MiniTOCTitle"/>
    <w:basedOn w:val="Heading4"/>
    <w:rsid w:val="00DC582C"/>
    <w:pPr>
      <w:spacing w:before="240"/>
      <w:outlineLvl w:val="9"/>
    </w:pPr>
    <w:rPr>
      <w:noProof/>
      <w:sz w:val="24"/>
    </w:rPr>
  </w:style>
  <w:style w:type="paragraph" w:customStyle="1" w:styleId="MiniTOCItem">
    <w:name w:val="MiniTOCItem"/>
    <w:basedOn w:val="ListBullet"/>
    <w:rsid w:val="00DC582C"/>
    <w:pPr>
      <w:numPr>
        <w:numId w:val="0"/>
      </w:numPr>
      <w:tabs>
        <w:tab w:val="right" w:leader="dot" w:pos="6521"/>
      </w:tabs>
      <w:spacing w:before="0" w:after="0"/>
    </w:pPr>
  </w:style>
  <w:style w:type="paragraph" w:customStyle="1" w:styleId="TOFTitle">
    <w:name w:val="TOFTitle"/>
    <w:basedOn w:val="TOCTitle"/>
    <w:rsid w:val="00DC582C"/>
  </w:style>
  <w:style w:type="paragraph" w:styleId="TableofFigures">
    <w:name w:val="table of figures"/>
    <w:basedOn w:val="Normal"/>
    <w:next w:val="Normal"/>
    <w:semiHidden/>
    <w:rsid w:val="00DC582C"/>
    <w:pPr>
      <w:tabs>
        <w:tab w:val="right" w:leader="dot" w:pos="9072"/>
      </w:tabs>
      <w:ind w:left="970" w:hanging="403"/>
    </w:pPr>
    <w:rPr>
      <w:rFonts w:ascii="Times New Roman" w:hAnsi="Times New Roman"/>
      <w:b/>
    </w:rPr>
  </w:style>
  <w:style w:type="paragraph" w:styleId="ListNumber">
    <w:name w:val="List Number"/>
    <w:basedOn w:val="List"/>
    <w:rsid w:val="00DC582C"/>
    <w:pPr>
      <w:numPr>
        <w:numId w:val="12"/>
      </w:numPr>
    </w:pPr>
  </w:style>
  <w:style w:type="character" w:customStyle="1" w:styleId="WingdingSymbols">
    <w:name w:val="Wingding Symbols"/>
    <w:rsid w:val="00DC582C"/>
    <w:rPr>
      <w:rFonts w:ascii="Wingdings" w:hAnsi="Wingdings"/>
    </w:rPr>
  </w:style>
  <w:style w:type="paragraph" w:customStyle="1" w:styleId="TableHeading">
    <w:name w:val="Table Heading"/>
    <w:basedOn w:val="HeadingBase"/>
    <w:rsid w:val="00DC582C"/>
    <w:pPr>
      <w:keepLines/>
      <w:pBdr>
        <w:bottom w:val="single" w:sz="6" w:space="1" w:color="918585"/>
      </w:pBdr>
      <w:spacing w:before="240"/>
    </w:pPr>
  </w:style>
  <w:style w:type="character" w:customStyle="1" w:styleId="HotSpot">
    <w:name w:val="HotSpot"/>
    <w:rsid w:val="00DC582C"/>
    <w:rPr>
      <w:color w:val="0033CC"/>
      <w:u w:val="none"/>
    </w:rPr>
  </w:style>
  <w:style w:type="paragraph" w:customStyle="1" w:styleId="BodyTextRight">
    <w:name w:val="Body Text Right"/>
    <w:basedOn w:val="BodyText"/>
    <w:rsid w:val="00DC582C"/>
    <w:pPr>
      <w:spacing w:before="0" w:after="0"/>
      <w:jc w:val="right"/>
    </w:pPr>
  </w:style>
  <w:style w:type="paragraph" w:styleId="Index3">
    <w:name w:val="index 3"/>
    <w:basedOn w:val="ListNumber2"/>
    <w:next w:val="Normal"/>
    <w:semiHidden/>
    <w:rsid w:val="00DC582C"/>
    <w:pPr>
      <w:numPr>
        <w:numId w:val="0"/>
      </w:numPr>
      <w:tabs>
        <w:tab w:val="right" w:leader="dot" w:pos="4176"/>
      </w:tabs>
    </w:pPr>
  </w:style>
  <w:style w:type="paragraph" w:styleId="ListNumber2">
    <w:name w:val="List Number 2"/>
    <w:basedOn w:val="List2"/>
    <w:rsid w:val="00DC582C"/>
    <w:pPr>
      <w:numPr>
        <w:numId w:val="11"/>
      </w:numPr>
      <w:tabs>
        <w:tab w:val="clear" w:pos="1060"/>
      </w:tabs>
    </w:pPr>
  </w:style>
  <w:style w:type="paragraph" w:customStyle="1" w:styleId="MarginNote">
    <w:name w:val="Margin Note"/>
    <w:basedOn w:val="BodyText"/>
    <w:rsid w:val="00DC582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C582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C582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C582C"/>
    <w:rPr>
      <w:sz w:val="32"/>
    </w:rPr>
  </w:style>
  <w:style w:type="paragraph" w:customStyle="1" w:styleId="HeadingProcedure">
    <w:name w:val="Heading Procedure"/>
    <w:basedOn w:val="HeadingBase"/>
    <w:next w:val="Normal"/>
    <w:rsid w:val="00DC582C"/>
    <w:pPr>
      <w:tabs>
        <w:tab w:val="left" w:pos="0"/>
      </w:tabs>
      <w:spacing w:before="120" w:after="60"/>
    </w:pPr>
    <w:rPr>
      <w:i/>
      <w:color w:val="918585"/>
      <w:sz w:val="22"/>
    </w:rPr>
  </w:style>
  <w:style w:type="paragraph" w:customStyle="1" w:styleId="TableBodyText">
    <w:name w:val="Table Body Text"/>
    <w:basedOn w:val="BodyText"/>
    <w:rsid w:val="00DC582C"/>
    <w:pPr>
      <w:spacing w:before="60" w:after="60"/>
    </w:pPr>
  </w:style>
  <w:style w:type="paragraph" w:styleId="ListContinue">
    <w:name w:val="List Continue"/>
    <w:basedOn w:val="List"/>
    <w:rsid w:val="00DC582C"/>
    <w:pPr>
      <w:ind w:firstLine="0"/>
    </w:pPr>
  </w:style>
  <w:style w:type="paragraph" w:customStyle="1" w:styleId="ListNote">
    <w:name w:val="List Note"/>
    <w:basedOn w:val="List"/>
    <w:rsid w:val="00DC582C"/>
    <w:pPr>
      <w:pBdr>
        <w:top w:val="single" w:sz="6" w:space="2" w:color="918585"/>
        <w:bottom w:val="single" w:sz="6" w:space="2" w:color="918585"/>
      </w:pBdr>
      <w:tabs>
        <w:tab w:val="left" w:pos="1021"/>
      </w:tabs>
      <w:ind w:firstLine="0"/>
    </w:pPr>
  </w:style>
  <w:style w:type="paragraph" w:customStyle="1" w:styleId="Warning">
    <w:name w:val="Warning"/>
    <w:basedOn w:val="BodyText"/>
    <w:rsid w:val="00DC582C"/>
    <w:pPr>
      <w:shd w:val="clear" w:color="auto" w:fill="D9D9D9"/>
      <w:tabs>
        <w:tab w:val="left" w:pos="992"/>
      </w:tabs>
      <w:ind w:left="119" w:right="119"/>
    </w:pPr>
    <w:rPr>
      <w:sz w:val="20"/>
    </w:rPr>
  </w:style>
  <w:style w:type="paragraph" w:customStyle="1" w:styleId="MarginIcons">
    <w:name w:val="Margin Icons"/>
    <w:basedOn w:val="BodyText"/>
    <w:rsid w:val="00DC582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C582C"/>
    <w:rPr>
      <w:rFonts w:ascii="Courier New" w:hAnsi="Courier New"/>
    </w:rPr>
  </w:style>
  <w:style w:type="paragraph" w:customStyle="1" w:styleId="NoteBullet">
    <w:name w:val="Note Bullet"/>
    <w:basedOn w:val="Note"/>
    <w:rsid w:val="00DC582C"/>
    <w:pPr>
      <w:tabs>
        <w:tab w:val="clear" w:pos="680"/>
      </w:tabs>
      <w:spacing w:before="60" w:after="60"/>
    </w:pPr>
  </w:style>
  <w:style w:type="paragraph" w:customStyle="1" w:styleId="SubHeading2">
    <w:name w:val="SubHeading2"/>
    <w:basedOn w:val="HeadingBase"/>
    <w:rsid w:val="00DC582C"/>
    <w:pPr>
      <w:spacing w:before="240" w:after="60"/>
    </w:pPr>
    <w:rPr>
      <w:sz w:val="20"/>
    </w:rPr>
  </w:style>
  <w:style w:type="paragraph" w:customStyle="1" w:styleId="SubHeading1">
    <w:name w:val="SubHeading1"/>
    <w:basedOn w:val="HeadingBase"/>
    <w:rsid w:val="00DC582C"/>
    <w:pPr>
      <w:spacing w:before="240" w:after="60"/>
    </w:pPr>
    <w:rPr>
      <w:color w:val="918585"/>
      <w:sz w:val="22"/>
    </w:rPr>
  </w:style>
  <w:style w:type="paragraph" w:customStyle="1" w:styleId="SideHeading">
    <w:name w:val="Side Heading"/>
    <w:basedOn w:val="HeadingBase"/>
    <w:rsid w:val="00DC582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C582C"/>
    <w:pPr>
      <w:numPr>
        <w:numId w:val="13"/>
      </w:numPr>
    </w:pPr>
  </w:style>
  <w:style w:type="paragraph" w:styleId="PlainText">
    <w:name w:val="Plain Text"/>
    <w:basedOn w:val="Normal"/>
    <w:link w:val="PlainTextChar"/>
    <w:rsid w:val="00DC582C"/>
    <w:rPr>
      <w:sz w:val="20"/>
    </w:rPr>
  </w:style>
  <w:style w:type="character" w:customStyle="1" w:styleId="PlainTextChar">
    <w:name w:val="Plain Text Char"/>
    <w:basedOn w:val="DefaultParagraphFont"/>
    <w:link w:val="PlainText"/>
    <w:rsid w:val="00DC582C"/>
    <w:rPr>
      <w:rFonts w:ascii="Courier New" w:eastAsia="Times New Roman" w:hAnsi="Courier New" w:cs="Times New Roman"/>
      <w:sz w:val="20"/>
      <w:szCs w:val="20"/>
      <w:lang w:eastAsia="en-US"/>
    </w:rPr>
  </w:style>
  <w:style w:type="character" w:customStyle="1" w:styleId="MenuOption">
    <w:name w:val="Menu Option"/>
    <w:basedOn w:val="DefaultParagraphFont"/>
    <w:rsid w:val="00DC582C"/>
    <w:rPr>
      <w:b/>
      <w:smallCaps/>
    </w:rPr>
  </w:style>
  <w:style w:type="paragraph" w:customStyle="1" w:styleId="TableListNumber">
    <w:name w:val="Table List Number"/>
    <w:basedOn w:val="ListNumber"/>
    <w:rsid w:val="00DC582C"/>
    <w:pPr>
      <w:numPr>
        <w:numId w:val="0"/>
      </w:numPr>
    </w:pPr>
  </w:style>
  <w:style w:type="paragraph" w:styleId="TOC4">
    <w:name w:val="toc 4"/>
    <w:basedOn w:val="TOCBase"/>
    <w:next w:val="Normal"/>
    <w:semiHidden/>
    <w:rsid w:val="00DC582C"/>
    <w:pPr>
      <w:tabs>
        <w:tab w:val="right" w:leader="dot" w:pos="9071"/>
      </w:tabs>
      <w:ind w:left="1701"/>
    </w:pPr>
  </w:style>
  <w:style w:type="paragraph" w:customStyle="1" w:styleId="ListAlpha">
    <w:name w:val="List Alpha"/>
    <w:basedOn w:val="List"/>
    <w:rsid w:val="00DC582C"/>
    <w:pPr>
      <w:numPr>
        <w:numId w:val="10"/>
      </w:numPr>
    </w:pPr>
  </w:style>
  <w:style w:type="paragraph" w:customStyle="1" w:styleId="ListAlpha2">
    <w:name w:val="List Alpha 2"/>
    <w:basedOn w:val="List2"/>
    <w:rsid w:val="00DC582C"/>
    <w:pPr>
      <w:numPr>
        <w:numId w:val="9"/>
      </w:numPr>
    </w:pPr>
  </w:style>
  <w:style w:type="paragraph" w:styleId="List2">
    <w:name w:val="List 2"/>
    <w:basedOn w:val="BodyText"/>
    <w:rsid w:val="00DC582C"/>
    <w:pPr>
      <w:tabs>
        <w:tab w:val="left" w:pos="680"/>
      </w:tabs>
      <w:spacing w:before="60" w:after="60"/>
      <w:ind w:left="680" w:hanging="340"/>
    </w:pPr>
  </w:style>
  <w:style w:type="paragraph" w:styleId="List3">
    <w:name w:val="List 3"/>
    <w:basedOn w:val="BodyText"/>
    <w:rsid w:val="00DC582C"/>
    <w:pPr>
      <w:tabs>
        <w:tab w:val="left" w:pos="1021"/>
      </w:tabs>
      <w:spacing w:before="60" w:after="60"/>
      <w:ind w:left="1020" w:hanging="340"/>
    </w:pPr>
  </w:style>
  <w:style w:type="paragraph" w:styleId="List4">
    <w:name w:val="List 4"/>
    <w:basedOn w:val="BodyText"/>
    <w:rsid w:val="00DC582C"/>
    <w:pPr>
      <w:tabs>
        <w:tab w:val="left" w:pos="1361"/>
      </w:tabs>
      <w:spacing w:before="60" w:after="60"/>
      <w:ind w:left="1361" w:hanging="340"/>
    </w:pPr>
  </w:style>
  <w:style w:type="paragraph" w:styleId="List5">
    <w:name w:val="List 5"/>
    <w:basedOn w:val="BodyText"/>
    <w:rsid w:val="00DC582C"/>
    <w:pPr>
      <w:tabs>
        <w:tab w:val="left" w:pos="1701"/>
      </w:tabs>
      <w:spacing w:before="60" w:after="60"/>
      <w:ind w:left="1701" w:hanging="340"/>
    </w:pPr>
  </w:style>
  <w:style w:type="paragraph" w:styleId="ListBullet4">
    <w:name w:val="List Bullet 4"/>
    <w:basedOn w:val="List4"/>
    <w:rsid w:val="00DC582C"/>
    <w:pPr>
      <w:numPr>
        <w:numId w:val="4"/>
      </w:numPr>
    </w:pPr>
  </w:style>
  <w:style w:type="paragraph" w:styleId="ListBullet5">
    <w:name w:val="List Bullet 5"/>
    <w:basedOn w:val="List5"/>
    <w:rsid w:val="00DC582C"/>
    <w:pPr>
      <w:numPr>
        <w:numId w:val="5"/>
      </w:numPr>
    </w:pPr>
  </w:style>
  <w:style w:type="paragraph" w:styleId="ListContinue2">
    <w:name w:val="List Continue 2"/>
    <w:basedOn w:val="List2"/>
    <w:rsid w:val="00DC582C"/>
    <w:pPr>
      <w:ind w:firstLine="0"/>
    </w:pPr>
  </w:style>
  <w:style w:type="paragraph" w:styleId="ListContinue3">
    <w:name w:val="List Continue 3"/>
    <w:basedOn w:val="List3"/>
    <w:rsid w:val="00DC582C"/>
    <w:pPr>
      <w:ind w:left="1021" w:firstLine="0"/>
    </w:pPr>
  </w:style>
  <w:style w:type="paragraph" w:styleId="ListContinue4">
    <w:name w:val="List Continue 4"/>
    <w:basedOn w:val="List4"/>
    <w:rsid w:val="00DC582C"/>
    <w:pPr>
      <w:ind w:firstLine="0"/>
    </w:pPr>
  </w:style>
  <w:style w:type="paragraph" w:styleId="ListContinue5">
    <w:name w:val="List Continue 5"/>
    <w:basedOn w:val="List5"/>
    <w:rsid w:val="00DC582C"/>
    <w:pPr>
      <w:ind w:firstLine="0"/>
    </w:pPr>
  </w:style>
  <w:style w:type="paragraph" w:styleId="ListNumber3">
    <w:name w:val="List Number 3"/>
    <w:basedOn w:val="List3"/>
    <w:rsid w:val="00DC582C"/>
    <w:pPr>
      <w:numPr>
        <w:numId w:val="6"/>
      </w:numPr>
    </w:pPr>
  </w:style>
  <w:style w:type="paragraph" w:styleId="ListNumber4">
    <w:name w:val="List Number 4"/>
    <w:basedOn w:val="List4"/>
    <w:rsid w:val="00DC582C"/>
    <w:pPr>
      <w:numPr>
        <w:numId w:val="7"/>
      </w:numPr>
    </w:pPr>
  </w:style>
  <w:style w:type="paragraph" w:styleId="ListNumber5">
    <w:name w:val="List Number 5"/>
    <w:basedOn w:val="List5"/>
    <w:rsid w:val="00DC582C"/>
    <w:pPr>
      <w:numPr>
        <w:numId w:val="8"/>
      </w:numPr>
    </w:pPr>
  </w:style>
  <w:style w:type="paragraph" w:styleId="BlockText">
    <w:name w:val="Block Text"/>
    <w:basedOn w:val="Normal"/>
    <w:rsid w:val="00DC582C"/>
    <w:pPr>
      <w:spacing w:after="120"/>
      <w:ind w:left="1440" w:right="1440"/>
    </w:pPr>
  </w:style>
  <w:style w:type="character" w:customStyle="1" w:styleId="Subscript">
    <w:name w:val="Subscript"/>
    <w:basedOn w:val="DefaultParagraphFont"/>
    <w:rsid w:val="00DC582C"/>
    <w:rPr>
      <w:sz w:val="16"/>
      <w:vertAlign w:val="subscript"/>
    </w:rPr>
  </w:style>
  <w:style w:type="character" w:customStyle="1" w:styleId="Superscript">
    <w:name w:val="Superscript"/>
    <w:basedOn w:val="DefaultParagraphFont"/>
    <w:rsid w:val="00DC582C"/>
    <w:rPr>
      <w:sz w:val="16"/>
      <w:vertAlign w:val="superscript"/>
    </w:rPr>
  </w:style>
  <w:style w:type="character" w:customStyle="1" w:styleId="Symbols">
    <w:name w:val="Symbols"/>
    <w:basedOn w:val="DefaultParagraphFont"/>
    <w:rsid w:val="00DC582C"/>
    <w:rPr>
      <w:rFonts w:ascii="Symbol" w:hAnsi="Symbol"/>
    </w:rPr>
  </w:style>
  <w:style w:type="character" w:customStyle="1" w:styleId="MenuOptions">
    <w:name w:val="Menu Options"/>
    <w:basedOn w:val="DefaultParagraphFont"/>
    <w:rsid w:val="00DC582C"/>
    <w:rPr>
      <w:rFonts w:ascii="Arial Narrow" w:hAnsi="Arial Narrow"/>
      <w:smallCaps/>
    </w:rPr>
  </w:style>
  <w:style w:type="character" w:customStyle="1" w:styleId="Buttons">
    <w:name w:val="Buttons"/>
    <w:basedOn w:val="DefaultParagraphFont"/>
    <w:rsid w:val="00DC582C"/>
    <w:rPr>
      <w:b/>
    </w:rPr>
  </w:style>
  <w:style w:type="character" w:customStyle="1" w:styleId="Underlined">
    <w:name w:val="Underlined"/>
    <w:basedOn w:val="DefaultParagraphFont"/>
    <w:rsid w:val="00DC582C"/>
    <w:rPr>
      <w:u w:val="single"/>
    </w:rPr>
  </w:style>
  <w:style w:type="paragraph" w:customStyle="1" w:styleId="TableBodyTextRight">
    <w:name w:val="Table Body Text Right"/>
    <w:basedOn w:val="TableBodyText"/>
    <w:rsid w:val="00DC582C"/>
    <w:pPr>
      <w:widowControl w:val="0"/>
      <w:autoSpaceDE w:val="0"/>
      <w:autoSpaceDN w:val="0"/>
      <w:adjustRightInd w:val="0"/>
      <w:jc w:val="right"/>
    </w:pPr>
    <w:rPr>
      <w:rFonts w:cs="Arial"/>
      <w:szCs w:val="18"/>
    </w:rPr>
  </w:style>
  <w:style w:type="paragraph" w:customStyle="1" w:styleId="CopyrightText">
    <w:name w:val="Copyright Text"/>
    <w:basedOn w:val="BodyText"/>
    <w:rsid w:val="00DC582C"/>
    <w:rPr>
      <w:sz w:val="18"/>
    </w:rPr>
  </w:style>
  <w:style w:type="paragraph" w:customStyle="1" w:styleId="BodySmallRight">
    <w:name w:val="Body Small Right"/>
    <w:basedOn w:val="BodyTextRight"/>
    <w:rsid w:val="00DC582C"/>
    <w:rPr>
      <w:sz w:val="18"/>
      <w:szCs w:val="18"/>
    </w:rPr>
  </w:style>
  <w:style w:type="paragraph" w:customStyle="1" w:styleId="MarginEdition">
    <w:name w:val="Margin Edition"/>
    <w:basedOn w:val="MarginNote"/>
    <w:rsid w:val="00DC582C"/>
    <w:pPr>
      <w:spacing w:before="0" w:after="0"/>
    </w:pPr>
    <w:rPr>
      <w:rFonts w:ascii="Times New Roman" w:hAnsi="Times New Roman"/>
      <w:color w:val="999999"/>
    </w:rPr>
  </w:style>
  <w:style w:type="paragraph" w:customStyle="1" w:styleId="Spacer">
    <w:name w:val="Spacer"/>
    <w:basedOn w:val="Normal"/>
    <w:rsid w:val="00DC582C"/>
    <w:rPr>
      <w:sz w:val="2"/>
      <w:szCs w:val="2"/>
    </w:rPr>
  </w:style>
  <w:style w:type="character" w:customStyle="1" w:styleId="Small">
    <w:name w:val="Small"/>
    <w:basedOn w:val="DefaultParagraphFont"/>
    <w:rsid w:val="00DC582C"/>
    <w:rPr>
      <w:sz w:val="16"/>
    </w:rPr>
  </w:style>
  <w:style w:type="paragraph" w:customStyle="1" w:styleId="WideTable">
    <w:name w:val="Wide Table"/>
    <w:basedOn w:val="Normal"/>
    <w:rsid w:val="00DC582C"/>
    <w:pPr>
      <w:ind w:left="-1418"/>
    </w:pPr>
    <w:rPr>
      <w:sz w:val="2"/>
      <w:szCs w:val="2"/>
    </w:rPr>
  </w:style>
  <w:style w:type="character" w:styleId="PageNumber">
    <w:name w:val="page number"/>
    <w:basedOn w:val="DefaultParagraphFont"/>
    <w:rsid w:val="00DC582C"/>
  </w:style>
  <w:style w:type="paragraph" w:styleId="Quote">
    <w:name w:val="Quote"/>
    <w:basedOn w:val="Heading1"/>
    <w:link w:val="QuoteChar"/>
    <w:qFormat/>
    <w:rsid w:val="00DC582C"/>
    <w:rPr>
      <w:b w:val="0"/>
      <w:sz w:val="72"/>
      <w:szCs w:val="72"/>
      <w:lang w:val="en-NZ"/>
    </w:rPr>
  </w:style>
  <w:style w:type="character" w:customStyle="1" w:styleId="QuoteChar">
    <w:name w:val="Quote Char"/>
    <w:basedOn w:val="DefaultParagraphFont"/>
    <w:link w:val="Quote"/>
    <w:rsid w:val="00DC582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C582C"/>
    <w:pPr>
      <w:pageBreakBefore/>
    </w:pPr>
  </w:style>
  <w:style w:type="paragraph" w:customStyle="1" w:styleId="Border">
    <w:name w:val="Border"/>
    <w:basedOn w:val="Normal"/>
    <w:qFormat/>
    <w:rsid w:val="00DC582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C582C"/>
    <w:rPr>
      <w:b/>
      <w:bCs/>
      <w:i/>
      <w:iCs/>
      <w:color w:val="auto"/>
    </w:rPr>
  </w:style>
  <w:style w:type="paragraph" w:styleId="IntenseQuote">
    <w:name w:val="Intense Quote"/>
    <w:basedOn w:val="Normal"/>
    <w:next w:val="Normal"/>
    <w:link w:val="IntenseQuoteChar"/>
    <w:uiPriority w:val="30"/>
    <w:qFormat/>
    <w:rsid w:val="00DC582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C582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C582C"/>
    <w:rPr>
      <w:smallCaps/>
      <w:color w:val="auto"/>
      <w:u w:val="single"/>
    </w:rPr>
  </w:style>
  <w:style w:type="character" w:styleId="IntenseReference">
    <w:name w:val="Intense Reference"/>
    <w:basedOn w:val="DefaultParagraphFont"/>
    <w:uiPriority w:val="32"/>
    <w:qFormat/>
    <w:rsid w:val="00DC582C"/>
    <w:rPr>
      <w:b/>
      <w:bCs/>
      <w:smallCaps/>
      <w:color w:val="auto"/>
      <w:spacing w:val="5"/>
      <w:u w:val="single"/>
    </w:rPr>
  </w:style>
  <w:style w:type="paragraph" w:customStyle="1" w:styleId="2ColumnHeading">
    <w:name w:val="2Column Heading"/>
    <w:basedOn w:val="BodyText"/>
    <w:qFormat/>
    <w:rsid w:val="00DC582C"/>
    <w:pPr>
      <w:spacing w:after="60"/>
      <w:ind w:left="-2268"/>
    </w:pPr>
    <w:rPr>
      <w:b/>
    </w:rPr>
  </w:style>
  <w:style w:type="paragraph" w:customStyle="1" w:styleId="Heading1TOC">
    <w:name w:val="Heading1 TOC"/>
    <w:basedOn w:val="Normal"/>
    <w:qFormat/>
    <w:rsid w:val="00DC582C"/>
    <w:pPr>
      <w:spacing w:before="240" w:after="120"/>
    </w:pPr>
    <w:rPr>
      <w:rFonts w:ascii="Times New Roman" w:hAnsi="Times New Roman"/>
      <w:b/>
      <w:sz w:val="32"/>
    </w:rPr>
  </w:style>
  <w:style w:type="paragraph" w:customStyle="1" w:styleId="Heading2TOC">
    <w:name w:val="Heading2 TOC"/>
    <w:basedOn w:val="Normal"/>
    <w:qFormat/>
    <w:rsid w:val="00DC582C"/>
    <w:pPr>
      <w:spacing w:before="240" w:after="60"/>
    </w:pPr>
    <w:rPr>
      <w:rFonts w:ascii="Times New Roman" w:hAnsi="Times New Roman"/>
      <w:b/>
      <w:sz w:val="28"/>
    </w:rPr>
  </w:style>
  <w:style w:type="character" w:customStyle="1" w:styleId="Underline">
    <w:name w:val="Underline"/>
    <w:basedOn w:val="DefaultParagraphFont"/>
    <w:qFormat/>
    <w:rsid w:val="00DC582C"/>
    <w:rPr>
      <w:u w:val="single"/>
    </w:rPr>
  </w:style>
  <w:style w:type="paragraph" w:styleId="BalloonText">
    <w:name w:val="Balloon Text"/>
    <w:basedOn w:val="Normal"/>
    <w:link w:val="BalloonTextChar"/>
    <w:rsid w:val="00DC582C"/>
    <w:rPr>
      <w:rFonts w:ascii="Tahoma" w:hAnsi="Tahoma" w:cs="Tahoma"/>
      <w:sz w:val="16"/>
      <w:szCs w:val="16"/>
    </w:rPr>
  </w:style>
  <w:style w:type="character" w:customStyle="1" w:styleId="BalloonTextChar">
    <w:name w:val="Balloon Text Char"/>
    <w:basedOn w:val="DefaultParagraphFont"/>
    <w:link w:val="BalloonText"/>
    <w:rsid w:val="00DC582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C582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C582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C582C"/>
    <w:rPr>
      <w:b/>
      <w:color w:val="660033"/>
      <w:spacing w:val="0"/>
    </w:rPr>
  </w:style>
  <w:style w:type="paragraph" w:customStyle="1" w:styleId="Nameditemlist">
    <w:name w:val="Named item list"/>
    <w:basedOn w:val="BodyText"/>
    <w:qFormat/>
    <w:rsid w:val="00DC582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12</Pages>
  <Words>1733</Words>
  <Characters>11096</Characters>
  <Application>Microsoft Office Word</Application>
  <DocSecurity>0</DocSecurity>
  <Lines>382</Lines>
  <Paragraphs>225</Paragraphs>
  <ScaleCrop>false</ScaleCrop>
  <Company>Author-it Software Corporation Ltd.</Company>
  <LinksUpToDate>false</LinksUpToDate>
  <CharactersWithSpaces>12742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ICTCBL3011B Install and terminate coaxial cable</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2014-02-07T09:25:17Z</dcterms:created>
  <dcterms:modified xsi:type="dcterms:W3CDTF">2014-02-06T04:23:00Z</dcterms:modified>
</cp:coreProperties>
</file>