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32D" w:rsidP="00D2532D">
      <w:pPr>
        <w:pStyle w:val="Title"/>
      </w:pPr>
      <w:r>
        <w:fldChar w:fldCharType="begin"/>
      </w:r>
      <w:r>
        <w:instrText xml:space="preserve"> TITLE   \* MERGEFORMAT </w:instrText>
      </w:r>
      <w:r>
        <w:fldChar w:fldCharType="separate"/>
      </w:r>
      <w:r>
        <w:t>ICTCBL3009B Install, terminate and certify structured cabling installation</w:t>
      </w:r>
      <w:r>
        <w:fldChar w:fldCharType="end"/>
      </w:r>
    </w:p>
    <w:p w:rsidR="00D2532D" w:rsidP="00D2532D">
      <w:pPr>
        <w:pStyle w:val="Version"/>
        <w:sectPr w:rsidSect="00C75B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B6E" w:rsidP="00C75B6E">
      <w:pPr>
        <w:pStyle w:val="SuperHeading"/>
      </w:pPr>
      <w:r w:rsidRPr="00C75B6E">
        <w:t>ICTCBL3009B Install, terminate and certify structured cabling installation</w:t>
      </w:r>
    </w:p>
    <w:p w:rsidR="00000000" w:rsidRPr="00C75B6E" w:rsidP="00C75B6E">
      <w:pPr>
        <w:pStyle w:val="Heading1"/>
      </w:pPr>
      <w:bookmarkStart w:id="1" w:name="O_639451"/>
      <w:bookmarkEnd w:id="1"/>
      <w:r w:rsidRPr="00C75B6E">
        <w:t>Modification History</w:t>
      </w:r>
    </w:p>
    <w:tbl>
      <w:tblPr>
        <w:tblW w:w="0" w:type="auto"/>
        <w:tblLayout w:type="fixed"/>
        <w:tblCellMar>
          <w:left w:w="62" w:type="dxa"/>
          <w:right w:w="62" w:type="dxa"/>
        </w:tblCellMar>
        <w:tblLook w:val="0000"/>
      </w:tblPr>
      <w:tblGrid>
        <w:gridCol w:w="2520"/>
        <w:gridCol w:w="6225"/>
      </w:tblGrid>
      <w:tr w:rsidTr="00C75B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rPr>
                <w:rStyle w:val="SpecialBold"/>
              </w:rPr>
              <w:t>Release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SpecialBold"/>
              </w:rPr>
              <w:t>Comments</w:t>
            </w:r>
          </w:p>
        </w:tc>
      </w:tr>
      <w:tr w:rsidTr="00C75B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t>Release 2</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 xml:space="preserve">This version first released with </w:t>
            </w:r>
            <w:r w:rsidRPr="00C75B6E">
              <w:rPr>
                <w:rStyle w:val="Emphasis"/>
              </w:rPr>
              <w:t>ICT10 Integrated Telecommunications Training Package Version 3.0</w:t>
            </w:r>
            <w:r w:rsidRPr="00C75B6E">
              <w:t>.</w:t>
            </w:r>
          </w:p>
          <w:p w:rsidR="00000000" w:rsidRPr="00C75B6E" w:rsidP="00C75B6E">
            <w:pPr>
              <w:pStyle w:val="BodyText"/>
            </w:pPr>
          </w:p>
          <w:p w:rsidR="00000000" w:rsidRPr="00C75B6E" w:rsidP="00C75B6E">
            <w:pPr>
              <w:pStyle w:val="BodyText"/>
            </w:pPr>
            <w:r w:rsidRPr="00C75B6E">
              <w:t>Minor changes to an element, a performance criterion and range statement.</w:t>
            </w:r>
          </w:p>
          <w:p w:rsidR="00000000" w:rsidRPr="00C75B6E" w:rsidP="00C75B6E">
            <w:pPr>
              <w:pStyle w:val="BodyText"/>
            </w:pPr>
          </w:p>
          <w:p w:rsidR="00000000" w:rsidP="00C75B6E">
            <w:pPr>
              <w:pStyle w:val="BodyText"/>
              <w:rPr>
                <w:lang w:val="en-NZ"/>
              </w:rPr>
            </w:pPr>
            <w:r w:rsidRPr="00C75B6E">
              <w:t>Outcomes deemed equivalent.</w:t>
            </w:r>
          </w:p>
        </w:tc>
      </w:tr>
      <w:tr w:rsidTr="00C75B6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t>Release 1</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 xml:space="preserve">This version first released with </w:t>
            </w:r>
            <w:r w:rsidRPr="00C75B6E">
              <w:rPr>
                <w:rStyle w:val="Emphasis"/>
              </w:rPr>
              <w:t>ICT10 Integrated Telecommunications Training Package Version 1.0</w:t>
            </w:r>
            <w:r w:rsidRPr="00C75B6E">
              <w:t>.</w:t>
            </w:r>
          </w:p>
        </w:tc>
      </w:tr>
    </w:tbl>
    <w:p w:rsidR="00000000" w:rsidRPr="00C75B6E" w:rsidP="00C75B6E">
      <w:pPr>
        <w:pStyle w:val="BodyText"/>
      </w:pPr>
    </w:p>
    <w:p w:rsidR="00000000" w:rsidRPr="00C75B6E" w:rsidP="00C75B6E">
      <w:pPr>
        <w:pStyle w:val="AllowPageBreak"/>
      </w:pPr>
    </w:p>
    <w:p w:rsidR="00000000" w:rsidRPr="00C75B6E" w:rsidP="00C75B6E">
      <w:pPr>
        <w:pStyle w:val="Heading1"/>
      </w:pPr>
      <w:bookmarkStart w:id="2" w:name="O_639452"/>
      <w:bookmarkEnd w:id="2"/>
      <w:r w:rsidRPr="00C75B6E">
        <w:t>Unit Descriptor</w:t>
      </w:r>
    </w:p>
    <w:p w:rsidR="00000000" w:rsidRPr="00C75B6E" w:rsidP="00C75B6E">
      <w:pPr>
        <w:pStyle w:val="BodyText"/>
      </w:pPr>
      <w:r w:rsidRPr="00C75B6E">
        <w:t>This uni</w:t>
      </w:r>
      <w:r w:rsidRPr="00C75B6E">
        <w:t>t describes the performance outcomes, skills and knowledge required to place, secure and terminate structured cabling and to certify installation.</w:t>
      </w:r>
    </w:p>
    <w:p w:rsidR="00000000" w:rsidRPr="00C75B6E" w:rsidP="00C75B6E">
      <w:pPr>
        <w:pStyle w:val="BodyText"/>
      </w:pPr>
    </w:p>
    <w:p w:rsidR="00000000" w:rsidRPr="00C75B6E" w:rsidP="00C75B6E">
      <w:pPr>
        <w:pStyle w:val="BodyText"/>
      </w:pPr>
      <w:r w:rsidRPr="00C75B6E">
        <w:t>Assessment by a TITAB-registered assessor is recommended.</w:t>
      </w:r>
    </w:p>
    <w:p w:rsidR="00000000" w:rsidRPr="00C75B6E" w:rsidP="00C75B6E">
      <w:pPr>
        <w:pStyle w:val="BodyText"/>
      </w:pPr>
    </w:p>
    <w:p w:rsidR="00000000" w:rsidRPr="00C75B6E" w:rsidP="00C75B6E">
      <w:pPr>
        <w:pStyle w:val="BodyText"/>
      </w:pPr>
      <w:r w:rsidRPr="00C75B6E">
        <w:t>All customer cabling work in the telecommunications, fire, security and data industries must be performed by a registered cabler. All cablers are required to register with an Australian Communications and Media (ACMA)-accredited registrar.</w:t>
      </w:r>
    </w:p>
    <w:p w:rsidR="00000000" w:rsidRPr="00C75B6E" w:rsidP="00C75B6E">
      <w:pPr>
        <w:pStyle w:val="AllowPageBreak"/>
      </w:pPr>
    </w:p>
    <w:p w:rsidR="00000000" w:rsidRPr="00C75B6E" w:rsidP="00C75B6E">
      <w:pPr>
        <w:pStyle w:val="Heading1"/>
      </w:pPr>
      <w:bookmarkStart w:id="3" w:name="O_639453"/>
      <w:bookmarkEnd w:id="3"/>
      <w:r w:rsidRPr="00C75B6E">
        <w:t>Application of the Unit</w:t>
      </w:r>
    </w:p>
    <w:p w:rsidR="00000000" w:rsidRPr="00C75B6E" w:rsidP="00C75B6E">
      <w:pPr>
        <w:pStyle w:val="BodyText"/>
      </w:pPr>
      <w:r w:rsidRPr="00C75B6E">
        <w:t>Technical staff who install, terminate and certify structured cabling installation apply the skills and knowledge in this unit.</w:t>
      </w:r>
    </w:p>
    <w:p w:rsidR="00000000" w:rsidRPr="00C75B6E" w:rsidP="00C75B6E">
      <w:pPr>
        <w:pStyle w:val="BodyText"/>
      </w:pPr>
    </w:p>
    <w:p w:rsidR="00000000" w:rsidRPr="00C75B6E" w:rsidP="00C75B6E">
      <w:pPr>
        <w:pStyle w:val="BodyText"/>
      </w:pPr>
      <w:r w:rsidRPr="00C75B6E">
        <w:t>This unit applies to indoor and outdoor installation within customer premises. It may be applied to do</w:t>
      </w:r>
      <w:r w:rsidRPr="00C75B6E">
        <w:t>mestic, commercial or industrial installations. Communications applications include digital and analog, telephony, data, video, digital broadcasting, computer networks, local area networks (LAN), wide area networks (WAN) and multimedia.</w:t>
      </w:r>
    </w:p>
    <w:p w:rsidR="00000000" w:rsidRPr="00C75B6E" w:rsidP="00C75B6E">
      <w:pPr>
        <w:pStyle w:val="AllowPageBreak"/>
      </w:pPr>
    </w:p>
    <w:p w:rsidR="00000000" w:rsidRPr="00C75B6E" w:rsidP="00C75B6E">
      <w:pPr>
        <w:pStyle w:val="Heading1"/>
      </w:pPr>
      <w:bookmarkStart w:id="4" w:name="O_639454"/>
      <w:bookmarkEnd w:id="4"/>
      <w:r w:rsidRPr="00C75B6E">
        <w:t>Li</w:t>
      </w:r>
      <w:r w:rsidRPr="00C75B6E">
        <w:t>censing/Regulatory Information</w:t>
      </w:r>
    </w:p>
    <w:p w:rsidR="00000000" w:rsidRPr="00C75B6E" w:rsidP="00C75B6E">
      <w:pPr>
        <w:pStyle w:val="BodyText"/>
      </w:pPr>
      <w:r w:rsidRPr="00C75B6E">
        <w:t>Refer to Unit Descriptor.</w:t>
      </w:r>
    </w:p>
    <w:p w:rsidR="00000000" w:rsidRPr="00C75B6E" w:rsidP="00C75B6E">
      <w:pPr>
        <w:pStyle w:val="AllowPageBreak"/>
      </w:pPr>
    </w:p>
    <w:p w:rsidR="00000000" w:rsidRPr="00C75B6E" w:rsidP="00C75B6E">
      <w:pPr>
        <w:pStyle w:val="Heading1"/>
      </w:pPr>
      <w:bookmarkStart w:id="5" w:name="O_639455"/>
      <w:bookmarkEnd w:id="5"/>
      <w:r w:rsidRPr="00C75B6E">
        <w:t>Pre-Requisites</w:t>
      </w:r>
    </w:p>
    <w:p w:rsidR="00000000" w:rsidRPr="00C75B6E" w:rsidP="00C75B6E">
      <w:pPr>
        <w:pStyle w:val="BodyText"/>
      </w:pPr>
      <w:r w:rsidRPr="00C75B6E">
        <w:t>Nil</w:t>
      </w:r>
    </w:p>
    <w:p w:rsidR="00000000" w:rsidRPr="00C75B6E" w:rsidP="00C75B6E">
      <w:pPr>
        <w:pStyle w:val="AllowPageBreak"/>
      </w:pPr>
    </w:p>
    <w:p w:rsidR="00000000" w:rsidRPr="00C75B6E" w:rsidP="00C75B6E">
      <w:pPr>
        <w:pStyle w:val="Heading1"/>
      </w:pPr>
      <w:bookmarkStart w:id="6" w:name="O_639456"/>
      <w:bookmarkEnd w:id="6"/>
      <w:r w:rsidRPr="00C75B6E">
        <w:t>Employability Skills Information</w:t>
      </w:r>
    </w:p>
    <w:p w:rsidR="00000000" w:rsidRPr="00C75B6E" w:rsidP="00C75B6E">
      <w:pPr>
        <w:pStyle w:val="BodyText"/>
      </w:pPr>
      <w:r w:rsidRPr="00C75B6E">
        <w:t>This unit contains employability skills.</w:t>
      </w:r>
    </w:p>
    <w:p w:rsidR="00000000" w:rsidRPr="00C75B6E" w:rsidP="00C75B6E">
      <w:pPr>
        <w:pStyle w:val="AllowPageBreak"/>
      </w:pPr>
    </w:p>
    <w:p w:rsidR="00000000" w:rsidRPr="00C75B6E" w:rsidP="00C75B6E">
      <w:pPr>
        <w:pStyle w:val="Heading1"/>
      </w:pPr>
      <w:bookmarkStart w:id="7" w:name="O_639457"/>
      <w:bookmarkEnd w:id="7"/>
      <w:r w:rsidRPr="00C75B6E">
        <w:t>Elements and Performance Criteria Pre-Content</w:t>
      </w:r>
    </w:p>
    <w:tbl>
      <w:tblPr>
        <w:tblW w:w="0" w:type="auto"/>
        <w:tblLayout w:type="fixed"/>
        <w:tblCellMar>
          <w:left w:w="62" w:type="dxa"/>
          <w:right w:w="62" w:type="dxa"/>
        </w:tblCellMar>
        <w:tblLook w:val="0000"/>
      </w:tblPr>
      <w:tblGrid>
        <w:gridCol w:w="2483"/>
        <w:gridCol w:w="6262"/>
      </w:tblGrid>
      <w:tr w:rsidTr="00C75B6E">
        <w:tblPrEx>
          <w:tblW w:w="0" w:type="auto"/>
          <w:tblLayout w:type="fixed"/>
          <w:tblCellMar>
            <w:left w:w="62" w:type="dxa"/>
            <w:right w:w="62" w:type="dxa"/>
          </w:tblCellMar>
          <w:tblLook w:val="0000"/>
        </w:tblPrEx>
        <w:trPr>
          <w:tblHeader/>
        </w:trPr>
        <w:tc>
          <w:tcPr>
            <w:tcW w:w="24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75B6E" w:rsidP="00C75B6E">
            <w:pPr>
              <w:pStyle w:val="BodyText"/>
            </w:pPr>
            <w:r w:rsidRPr="00C75B6E">
              <w:rPr>
                <w:rStyle w:val="SpecialBold"/>
              </w:rPr>
              <w:t>Elements</w:t>
            </w:r>
          </w:p>
        </w:tc>
        <w:tc>
          <w:tcPr>
            <w:tcW w:w="62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SpecialBold"/>
              </w:rPr>
              <w:t>Performance Criteria</w:t>
            </w:r>
          </w:p>
        </w:tc>
      </w:tr>
      <w:tr w:rsidTr="00C75B6E">
        <w:tblPrEx>
          <w:tblW w:w="0" w:type="auto"/>
          <w:tblLayout w:type="fixed"/>
          <w:tblCellMar>
            <w:left w:w="62" w:type="dxa"/>
            <w:right w:w="62" w:type="dxa"/>
          </w:tblCellMar>
          <w:tblLook w:val="0000"/>
        </w:tblPrEx>
        <w:tc>
          <w:tcPr>
            <w:tcW w:w="24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rPr>
                <w:rStyle w:val="Emphasis"/>
              </w:rPr>
              <w:t>Elements describe the essential outcomes of a unit of competency.</w:t>
            </w:r>
          </w:p>
        </w:tc>
        <w:tc>
          <w:tcPr>
            <w:tcW w:w="62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rPr>
                <w:rStyle w:val="Emphasis"/>
              </w:rPr>
              <w:t xml:space="preserve">Performance criteria describe the performance needed to demonstrate achievement of the element. Where bold italicised text is used, </w:t>
            </w:r>
            <w:r w:rsidRPr="00C75B6E">
              <w:rPr>
                <w:rStyle w:val="Emphasis"/>
              </w:rPr>
              <w:t>further information is detailed in the required skills and knowledge section and the range statement. Assessment of performance is to be consistent with the evidence guide.</w:t>
            </w:r>
          </w:p>
        </w:tc>
      </w:tr>
    </w:tbl>
    <w:p w:rsidR="00000000" w:rsidRPr="00C75B6E" w:rsidP="00C75B6E">
      <w:pPr>
        <w:pStyle w:val="BodyText"/>
      </w:pPr>
    </w:p>
    <w:p w:rsidR="00000000" w:rsidRPr="00C75B6E" w:rsidP="00C75B6E">
      <w:pPr>
        <w:pStyle w:val="AllowPageBreak"/>
      </w:pPr>
    </w:p>
    <w:p w:rsidR="00000000" w:rsidRPr="00C75B6E" w:rsidP="00C75B6E">
      <w:pPr>
        <w:pStyle w:val="Heading1"/>
      </w:pPr>
      <w:bookmarkStart w:id="8" w:name="O_639458"/>
      <w:bookmarkEnd w:id="8"/>
      <w:r w:rsidRPr="00C75B6E">
        <w:t>Elements and Performance Criteria</w:t>
      </w:r>
    </w:p>
    <w:tbl>
      <w:tblPr>
        <w:tblW w:w="0" w:type="auto"/>
        <w:tblLayout w:type="fixed"/>
        <w:tblCellMar>
          <w:left w:w="62" w:type="dxa"/>
          <w:right w:w="62" w:type="dxa"/>
        </w:tblCellMar>
        <w:tblLook w:val="0000"/>
      </w:tblPr>
      <w:tblGrid>
        <w:gridCol w:w="2544"/>
        <w:gridCol w:w="6201"/>
      </w:tblGrid>
      <w:tr w:rsidTr="00C75B6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t>1. Prepare for the installatio</w:t>
            </w:r>
            <w:r w:rsidRPr="00C75B6E">
              <w:t>n of structured cabling</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 xml:space="preserve">1.1 Confirm </w:t>
            </w:r>
            <w:r w:rsidRPr="00C75B6E">
              <w:rPr>
                <w:rStyle w:val="BoldandItalics"/>
              </w:rPr>
              <w:t xml:space="preserve">customer requirements </w:t>
            </w:r>
            <w:r w:rsidRPr="00C75B6E">
              <w:t xml:space="preserve">and ensure compliance with requirements of </w:t>
            </w:r>
            <w:r w:rsidRPr="00C75B6E">
              <w:rPr>
                <w:rStyle w:val="BoldandItalics"/>
              </w:rPr>
              <w:t>relevant legislation, codes, regulations and standards</w:t>
            </w:r>
          </w:p>
          <w:p w:rsidR="00000000" w:rsidRPr="00C75B6E" w:rsidP="00C75B6E">
            <w:pPr>
              <w:pStyle w:val="BodyText"/>
            </w:pPr>
            <w:r w:rsidRPr="00C75B6E">
              <w:t>1.2 Arrange access to the site according to required procedure</w:t>
            </w:r>
          </w:p>
          <w:p w:rsidR="00000000" w:rsidRPr="00C75B6E" w:rsidP="00C75B6E">
            <w:pPr>
              <w:pStyle w:val="BodyText"/>
            </w:pPr>
            <w:r w:rsidRPr="00C75B6E">
              <w:t xml:space="preserve">1.3 Inform appropriate personnel of identified </w:t>
            </w:r>
            <w:r w:rsidRPr="00C75B6E">
              <w:rPr>
                <w:rStyle w:val="BoldandItalics"/>
              </w:rPr>
              <w:t xml:space="preserve">hazards </w:t>
            </w:r>
            <w:r w:rsidRPr="00C75B6E">
              <w:t>on work site</w:t>
            </w:r>
          </w:p>
          <w:p w:rsidR="00000000" w:rsidRPr="00C75B6E" w:rsidP="00C75B6E">
            <w:pPr>
              <w:pStyle w:val="BodyText"/>
            </w:pPr>
            <w:r w:rsidRPr="00C75B6E">
              <w:t xml:space="preserve">1.4 Organise </w:t>
            </w:r>
            <w:r w:rsidRPr="00C75B6E">
              <w:rPr>
                <w:rStyle w:val="BoldandItalics"/>
              </w:rPr>
              <w:t xml:space="preserve">tools and equipment </w:t>
            </w:r>
            <w:r w:rsidRPr="00C75B6E">
              <w:t>for given work</w:t>
            </w:r>
          </w:p>
          <w:p w:rsidR="00000000" w:rsidRPr="00C75B6E" w:rsidP="00C75B6E">
            <w:pPr>
              <w:pStyle w:val="BodyText"/>
            </w:pPr>
            <w:r w:rsidRPr="00C75B6E">
              <w:t xml:space="preserve">1.5 Erect </w:t>
            </w:r>
            <w:r w:rsidRPr="00C75B6E">
              <w:rPr>
                <w:rStyle w:val="BoldandItalics"/>
              </w:rPr>
              <w:t xml:space="preserve">barriers </w:t>
            </w:r>
            <w:r w:rsidRPr="00C75B6E">
              <w:t>according to safety requirements</w:t>
            </w:r>
          </w:p>
          <w:p w:rsidR="00000000" w:rsidRPr="00C75B6E" w:rsidP="00C75B6E">
            <w:pPr>
              <w:pStyle w:val="BodyText"/>
            </w:pPr>
            <w:r w:rsidRPr="00C75B6E">
              <w:t xml:space="preserve">1.6 Select </w:t>
            </w:r>
            <w:r w:rsidRPr="00C75B6E">
              <w:rPr>
                <w:rStyle w:val="BoldandItalics"/>
              </w:rPr>
              <w:t xml:space="preserve">cable type </w:t>
            </w:r>
            <w:r w:rsidRPr="00C75B6E">
              <w:t xml:space="preserve">and match </w:t>
            </w:r>
            <w:r w:rsidRPr="00C75B6E">
              <w:rPr>
                <w:rStyle w:val="BoldandItalics"/>
              </w:rPr>
              <w:t xml:space="preserve">structured cabling </w:t>
            </w:r>
            <w:r w:rsidRPr="00C75B6E">
              <w:t>to installation environment and custo</w:t>
            </w:r>
            <w:r w:rsidRPr="00C75B6E">
              <w:t>mer requirements</w:t>
            </w:r>
          </w:p>
          <w:p w:rsidR="00000000" w:rsidP="00C75B6E">
            <w:pPr>
              <w:pStyle w:val="BodyText"/>
              <w:rPr>
                <w:lang w:val="en-NZ"/>
              </w:rPr>
            </w:pPr>
            <w:r w:rsidRPr="00C75B6E">
              <w:t>1.7 Verify proposed route to meet manufacturer specifications and industry standards</w:t>
            </w:r>
          </w:p>
        </w:tc>
      </w:tr>
      <w:tr w:rsidTr="00C75B6E">
        <w:tblPrEx>
          <w:tblW w:w="0" w:type="auto"/>
          <w:tblLayout w:type="fixed"/>
          <w:tblCellMar>
            <w:left w:w="62" w:type="dxa"/>
            <w:right w:w="62" w:type="dxa"/>
          </w:tblCellMar>
          <w:tblLook w:val="0000"/>
        </w:tblPrEx>
        <w:trPr>
          <w:trHeight w:val="20"/>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t>2. Install structured cable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 xml:space="preserve">2.1 Place and secure the correct type of cable following </w:t>
            </w:r>
            <w:r w:rsidRPr="00C75B6E">
              <w:rPr>
                <w:rStyle w:val="BoldandItalics"/>
              </w:rPr>
              <w:t xml:space="preserve">occupational health and safety (OHS) and environmental requirements </w:t>
            </w:r>
            <w:r w:rsidRPr="00C75B6E">
              <w:t>and according to accepted industry practice and standards</w:t>
            </w:r>
          </w:p>
          <w:p w:rsidR="00000000" w:rsidRPr="00C75B6E" w:rsidP="00C75B6E">
            <w:pPr>
              <w:pStyle w:val="BodyText"/>
            </w:pPr>
            <w:r w:rsidRPr="00C75B6E">
              <w:t>2.2 Maintain cable and services separations in runs and cross overs to meet manufacturer and industry standards</w:t>
            </w:r>
          </w:p>
          <w:p w:rsidR="00000000" w:rsidRPr="00C75B6E" w:rsidP="00C75B6E">
            <w:pPr>
              <w:pStyle w:val="BodyText"/>
            </w:pPr>
            <w:r w:rsidRPr="00C75B6E">
              <w:t xml:space="preserve">2.3 Install structured cabling to </w:t>
            </w:r>
            <w:r w:rsidRPr="00C75B6E">
              <w:rPr>
                <w:rStyle w:val="BoldandItalics"/>
              </w:rPr>
              <w:t>industry standards</w:t>
            </w:r>
          </w:p>
          <w:p w:rsidR="00000000" w:rsidRPr="00C75B6E" w:rsidP="00C75B6E">
            <w:pPr>
              <w:pStyle w:val="BodyText"/>
            </w:pPr>
            <w:r w:rsidRPr="00C75B6E">
              <w:t xml:space="preserve">2.4 Minimise twist ratio defects </w:t>
            </w:r>
            <w:r w:rsidRPr="00C75B6E">
              <w:t>to avoid accumulation effect on structured cable performance</w:t>
            </w:r>
          </w:p>
          <w:p w:rsidR="00000000" w:rsidP="00C75B6E">
            <w:pPr>
              <w:pStyle w:val="BodyText"/>
              <w:rPr>
                <w:lang w:val="en-NZ"/>
              </w:rPr>
            </w:pPr>
            <w:r w:rsidRPr="00C75B6E">
              <w:t xml:space="preserve">2.5 Fit </w:t>
            </w:r>
            <w:r w:rsidRPr="00C75B6E">
              <w:rPr>
                <w:rStyle w:val="BoldandItalics"/>
              </w:rPr>
              <w:t xml:space="preserve">over-voltage protection devices </w:t>
            </w:r>
            <w:r w:rsidRPr="00C75B6E">
              <w:t>to all cables and metallic components where required</w:t>
            </w:r>
          </w:p>
        </w:tc>
      </w:tr>
      <w:tr w:rsidTr="00C75B6E">
        <w:tblPrEx>
          <w:tblW w:w="0" w:type="auto"/>
          <w:tblLayout w:type="fixed"/>
          <w:tblCellMar>
            <w:left w:w="62" w:type="dxa"/>
            <w:right w:w="62" w:type="dxa"/>
          </w:tblCellMar>
          <w:tblLook w:val="0000"/>
        </w:tblPrEx>
        <w:trPr>
          <w:trHeight w:val="114"/>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t>3. Terminate structured cable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3.1 Terminate the cable according to accepted industry practice and sta</w:t>
            </w:r>
            <w:r w:rsidRPr="00C75B6E">
              <w:t>ndards</w:t>
            </w:r>
          </w:p>
          <w:p w:rsidR="00000000" w:rsidRPr="00C75B6E" w:rsidP="00C75B6E">
            <w:pPr>
              <w:pStyle w:val="BodyText"/>
            </w:pPr>
            <w:r w:rsidRPr="00C75B6E">
              <w:t>3.2 Maintain correct twist ratio to optimise system performance at rated level</w:t>
            </w:r>
          </w:p>
          <w:p w:rsidR="00000000" w:rsidRPr="00C75B6E" w:rsidP="00C75B6E">
            <w:pPr>
              <w:pStyle w:val="BodyText"/>
            </w:pPr>
            <w:r w:rsidRPr="00C75B6E">
              <w:t xml:space="preserve">3.3 Use correctly rated </w:t>
            </w:r>
            <w:r w:rsidRPr="00C75B6E">
              <w:rPr>
                <w:rStyle w:val="BoldandItalics"/>
              </w:rPr>
              <w:t xml:space="preserve">termination hardware </w:t>
            </w:r>
            <w:r w:rsidRPr="00C75B6E">
              <w:t>with appropriate termination tool to ensure integrity and performance of termination</w:t>
            </w:r>
          </w:p>
          <w:p w:rsidR="00000000" w:rsidP="00C75B6E">
            <w:pPr>
              <w:pStyle w:val="BodyText"/>
              <w:rPr>
                <w:lang w:val="en-NZ"/>
              </w:rPr>
            </w:pPr>
            <w:r w:rsidRPr="00C75B6E">
              <w:t>3.4 Earth cable shield to manufacturer s</w:t>
            </w:r>
            <w:r w:rsidRPr="00C75B6E">
              <w:t>pecifications and relevant industry standards if applicable</w:t>
            </w:r>
          </w:p>
        </w:tc>
      </w:tr>
      <w:tr w:rsidTr="00C75B6E">
        <w:tblPrEx>
          <w:tblW w:w="0" w:type="auto"/>
          <w:tblLayout w:type="fixed"/>
          <w:tblCellMar>
            <w:left w:w="62" w:type="dxa"/>
            <w:right w:w="62" w:type="dxa"/>
          </w:tblCellMar>
          <w:tblLook w:val="0000"/>
        </w:tblPrEx>
        <w:trPr>
          <w:trHeight w:val="90"/>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t>4. Certify system performance to required level and complete customer documentation</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 xml:space="preserve">4.1 Test installation and termination to comply with </w:t>
            </w:r>
            <w:r w:rsidRPr="00C75B6E">
              <w:rPr>
                <w:rStyle w:val="BoldandItalics"/>
              </w:rPr>
              <w:t>certification requirements</w:t>
            </w:r>
          </w:p>
          <w:p w:rsidR="00000000" w:rsidRPr="00C75B6E" w:rsidP="00C75B6E">
            <w:pPr>
              <w:pStyle w:val="BodyText"/>
            </w:pPr>
            <w:r w:rsidRPr="00C75B6E">
              <w:t>4.2 Record and verify system performance promptly where required</w:t>
            </w:r>
          </w:p>
          <w:p w:rsidR="00000000" w:rsidRPr="00C75B6E" w:rsidP="00C75B6E">
            <w:pPr>
              <w:pStyle w:val="BodyText"/>
            </w:pPr>
            <w:r w:rsidRPr="00C75B6E">
              <w:t xml:space="preserve">4.3 Authorise and issue appropriate documentation to client to certify system performance and complete </w:t>
            </w:r>
            <w:r w:rsidRPr="00C75B6E">
              <w:rPr>
                <w:rStyle w:val="BoldandItalics"/>
              </w:rPr>
              <w:t xml:space="preserve">records </w:t>
            </w:r>
            <w:r w:rsidRPr="00C75B6E">
              <w:t>where required</w:t>
            </w:r>
          </w:p>
          <w:p w:rsidR="00000000" w:rsidRPr="00C75B6E" w:rsidP="00C75B6E">
            <w:pPr>
              <w:pStyle w:val="BodyText"/>
            </w:pPr>
            <w:r w:rsidRPr="00C75B6E">
              <w:t xml:space="preserve">4.4 Reinstate site to original condition and dispose of waste in </w:t>
            </w:r>
            <w:r w:rsidRPr="00C75B6E">
              <w:t>an environmentally safe manner</w:t>
            </w:r>
          </w:p>
          <w:p w:rsidR="00000000" w:rsidRPr="00C75B6E" w:rsidP="00C75B6E">
            <w:pPr>
              <w:pStyle w:val="BodyText"/>
            </w:pPr>
            <w:r w:rsidRPr="00C75B6E">
              <w:t>4.5 Notify customer and obtain sign-off</w:t>
            </w:r>
          </w:p>
        </w:tc>
      </w:tr>
    </w:tbl>
    <w:p w:rsidR="00000000" w:rsidRPr="00C75B6E" w:rsidP="00C75B6E">
      <w:pPr>
        <w:pStyle w:val="BodyText"/>
      </w:pPr>
    </w:p>
    <w:p w:rsidR="00000000" w:rsidRPr="00C75B6E" w:rsidP="00C75B6E">
      <w:pPr>
        <w:pStyle w:val="AllowPageBreak"/>
      </w:pPr>
    </w:p>
    <w:p w:rsidR="00000000" w:rsidRPr="00C75B6E" w:rsidP="00C75B6E">
      <w:pPr>
        <w:pStyle w:val="Heading1"/>
      </w:pPr>
      <w:bookmarkStart w:id="9" w:name="O_639459"/>
      <w:bookmarkEnd w:id="9"/>
      <w:r w:rsidRPr="00C75B6E">
        <w:t>Required Skills and Knowledge</w:t>
      </w:r>
    </w:p>
    <w:p w:rsidR="00000000" w:rsidRPr="00C75B6E" w:rsidP="00C75B6E">
      <w:pPr>
        <w:pStyle w:val="BodyText"/>
      </w:pPr>
      <w:r w:rsidRPr="00C75B6E">
        <w:rPr>
          <w:rStyle w:val="Emphasis"/>
        </w:rPr>
        <w:t>This section describes the skills and knowledge required for this unit.</w:t>
      </w:r>
    </w:p>
    <w:p w:rsidR="00000000" w:rsidRPr="00C75B6E" w:rsidP="00C75B6E">
      <w:pPr>
        <w:pStyle w:val="BodyText"/>
      </w:pPr>
    </w:p>
    <w:p w:rsidR="00000000" w:rsidRPr="00C75B6E" w:rsidP="00C75B6E">
      <w:pPr>
        <w:pStyle w:val="BodyText"/>
      </w:pPr>
      <w:r w:rsidRPr="00C75B6E">
        <w:rPr>
          <w:rStyle w:val="SpecialBold"/>
        </w:rPr>
        <w:t>Required skills</w:t>
      </w:r>
    </w:p>
    <w:p w:rsidR="00000000" w:rsidRPr="00C75B6E" w:rsidP="00C75B6E">
      <w:pPr>
        <w:pStyle w:val="BodyText"/>
      </w:pPr>
    </w:p>
    <w:p w:rsidR="00000000" w:rsidRPr="00C75B6E" w:rsidP="00C75B6E">
      <w:pPr>
        <w:pStyle w:val="ListBullet"/>
      </w:pPr>
      <w:r w:rsidRPr="00C75B6E">
        <w:t xml:space="preserve">communication skills to liaise with internal </w:t>
      </w:r>
      <w:r w:rsidRPr="00C75B6E">
        <w:t>and external personnel on technical and operational matters</w:t>
      </w:r>
    </w:p>
    <w:p w:rsidR="00000000" w:rsidRPr="00C75B6E" w:rsidP="00C75B6E">
      <w:pPr>
        <w:pStyle w:val="ListBullet"/>
      </w:pPr>
      <w:r w:rsidRPr="00C75B6E">
        <w:t>literacy skills to read and interpret:</w:t>
      </w:r>
    </w:p>
    <w:p w:rsidR="00000000" w:rsidRPr="00C75B6E" w:rsidP="00C75B6E">
      <w:pPr>
        <w:pStyle w:val="ListBullet2"/>
      </w:pPr>
      <w:r w:rsidRPr="00C75B6E">
        <w:t>technical documentation, such as equipment manuals and specifications</w:t>
      </w:r>
    </w:p>
    <w:p w:rsidR="00000000" w:rsidRPr="00C75B6E" w:rsidP="00C75B6E">
      <w:pPr>
        <w:pStyle w:val="ListBullet2"/>
      </w:pPr>
      <w:r w:rsidRPr="00C75B6E">
        <w:t>drawings related to:</w:t>
      </w:r>
    </w:p>
    <w:p w:rsidR="00000000" w:rsidRPr="00C75B6E" w:rsidP="00C75B6E">
      <w:pPr>
        <w:pStyle w:val="ListBullet3"/>
      </w:pPr>
      <w:r w:rsidRPr="00C75B6E">
        <w:t>cable coding system and identifiers</w:t>
      </w:r>
    </w:p>
    <w:p w:rsidR="00000000" w:rsidRPr="00C75B6E" w:rsidP="00C75B6E">
      <w:pPr>
        <w:pStyle w:val="ListBullet3"/>
      </w:pPr>
      <w:r w:rsidRPr="00C75B6E">
        <w:t>cable layouts</w:t>
      </w:r>
    </w:p>
    <w:p w:rsidR="00000000" w:rsidRPr="00C75B6E" w:rsidP="00C75B6E">
      <w:pPr>
        <w:pStyle w:val="ListBullet3"/>
      </w:pPr>
      <w:r w:rsidRPr="00C75B6E">
        <w:t>frame locations</w:t>
      </w:r>
    </w:p>
    <w:p w:rsidR="00000000" w:rsidRPr="00C75B6E" w:rsidP="00C75B6E">
      <w:pPr>
        <w:pStyle w:val="ListBullet3"/>
      </w:pPr>
      <w:r w:rsidRPr="00C75B6E">
        <w:t>outlet location</w:t>
      </w:r>
    </w:p>
    <w:p w:rsidR="00000000" w:rsidRPr="00C75B6E" w:rsidP="00C75B6E">
      <w:pPr>
        <w:pStyle w:val="ListBullet"/>
      </w:pPr>
      <w:r w:rsidRPr="00C75B6E">
        <w:t>numeracy skills to take and analyse measurements</w:t>
      </w:r>
    </w:p>
    <w:p w:rsidR="00000000" w:rsidRPr="00C75B6E" w:rsidP="00C75B6E">
      <w:pPr>
        <w:pStyle w:val="ListBullet"/>
      </w:pPr>
      <w:r w:rsidRPr="00C75B6E">
        <w:t>planning and organising skills to organise and maintain equipment</w:t>
      </w:r>
    </w:p>
    <w:p w:rsidR="00000000" w:rsidRPr="00C75B6E" w:rsidP="00C75B6E">
      <w:pPr>
        <w:pStyle w:val="ListBullet"/>
      </w:pPr>
      <w:r w:rsidRPr="00C75B6E">
        <w:t>problem-solving skills to solve equipment and logistics problems</w:t>
      </w:r>
    </w:p>
    <w:p w:rsidR="00000000" w:rsidRPr="00C75B6E" w:rsidP="00C75B6E">
      <w:pPr>
        <w:pStyle w:val="ListBullet"/>
      </w:pPr>
      <w:r w:rsidRPr="00C75B6E">
        <w:t>safety awareness skills to:</w:t>
      </w:r>
    </w:p>
    <w:p w:rsidR="00000000" w:rsidRPr="00C75B6E" w:rsidP="00C75B6E">
      <w:pPr>
        <w:pStyle w:val="ListBullet2"/>
      </w:pPr>
      <w:r w:rsidRPr="00C75B6E">
        <w:t>apply precautions and required action to minimise, control or eliminate hazards that may exist during work activities</w:t>
      </w:r>
    </w:p>
    <w:p w:rsidR="00000000" w:rsidRPr="00C75B6E" w:rsidP="00C75B6E">
      <w:pPr>
        <w:pStyle w:val="ListBullet2"/>
      </w:pPr>
      <w:r w:rsidRPr="00C75B6E">
        <w:t>select and use required personal protective equipment conforming to industry and OHS standards</w:t>
      </w:r>
    </w:p>
    <w:p w:rsidR="00000000" w:rsidRPr="00C75B6E" w:rsidP="00C75B6E">
      <w:pPr>
        <w:pStyle w:val="ListBullet2"/>
      </w:pPr>
      <w:r w:rsidRPr="00C75B6E">
        <w:t>work systematically with required attention to detail without injury to self or others, or damage to goods or equipment</w:t>
      </w:r>
    </w:p>
    <w:p w:rsidR="00000000" w:rsidRPr="00C75B6E" w:rsidP="00C75B6E">
      <w:pPr>
        <w:pStyle w:val="ListBullet"/>
      </w:pPr>
      <w:r w:rsidRPr="00C75B6E">
        <w:t>task-management skills to work systematically with required attention to detail and adherence to all safety requirements</w:t>
      </w:r>
    </w:p>
    <w:p w:rsidR="00000000" w:rsidRPr="00C75B6E" w:rsidP="00C75B6E">
      <w:pPr>
        <w:pStyle w:val="ListBullet"/>
      </w:pPr>
      <w:r w:rsidRPr="00C75B6E">
        <w:t>technical skil</w:t>
      </w:r>
      <w:r w:rsidRPr="00C75B6E">
        <w:t>ls to:</w:t>
      </w:r>
    </w:p>
    <w:p w:rsidR="00000000" w:rsidRPr="00C75B6E" w:rsidP="00C75B6E">
      <w:pPr>
        <w:pStyle w:val="ListBullet2"/>
      </w:pPr>
      <w:r w:rsidRPr="00C75B6E">
        <w:t>use hand and power tools</w:t>
      </w:r>
    </w:p>
    <w:p w:rsidR="00000000" w:rsidRPr="00C75B6E" w:rsidP="00C75B6E">
      <w:pPr>
        <w:pStyle w:val="ListBullet2"/>
      </w:pPr>
      <w:r w:rsidRPr="00C75B6E">
        <w:t>use diagnostic equipment</w:t>
      </w:r>
    </w:p>
    <w:p w:rsidR="00D2532D" w:rsidP="00C75B6E">
      <w:pPr>
        <w:pStyle w:val="ListBullet2"/>
      </w:pPr>
      <w:r w:rsidRPr="00C75B6E">
        <w:t>perform fault clearance.</w:t>
      </w:r>
    </w:p>
    <w:p w:rsidR="00D2532D" w:rsidP="00C75B6E">
      <w:pPr>
        <w:pStyle w:val="ListBullet2"/>
      </w:pPr>
    </w:p>
    <w:p w:rsidR="00000000" w:rsidRPr="00C75B6E" w:rsidP="00C75B6E">
      <w:pPr>
        <w:pStyle w:val="BodyText"/>
      </w:pPr>
      <w:r w:rsidRPr="00C75B6E">
        <w:rPr>
          <w:rStyle w:val="SpecialBold"/>
        </w:rPr>
        <w:t>Required knowledge</w:t>
      </w:r>
    </w:p>
    <w:p w:rsidR="00000000" w:rsidRPr="00C75B6E" w:rsidP="00C75B6E">
      <w:pPr>
        <w:pStyle w:val="BodyText"/>
      </w:pPr>
    </w:p>
    <w:p w:rsidR="00000000" w:rsidRPr="00C75B6E" w:rsidP="00C75B6E">
      <w:pPr>
        <w:pStyle w:val="ListBullet"/>
      </w:pPr>
      <w:r w:rsidRPr="00C75B6E">
        <w:t>ACMA Competency Requirements for Telecommunications Cabling Provider Rules 2000</w:t>
      </w:r>
    </w:p>
    <w:p w:rsidR="00000000" w:rsidRPr="00C75B6E" w:rsidP="00C75B6E">
      <w:pPr>
        <w:pStyle w:val="ListBullet"/>
      </w:pPr>
      <w:r w:rsidRPr="00C75B6E">
        <w:t>features and operating requirements of test equipment</w:t>
      </w:r>
    </w:p>
    <w:p w:rsidR="00000000" w:rsidRPr="00C75B6E" w:rsidP="00C75B6E">
      <w:pPr>
        <w:pStyle w:val="ListBullet"/>
      </w:pPr>
      <w:r w:rsidRPr="00C75B6E">
        <w:t>information required to operate equipment according to a test specification</w:t>
      </w:r>
    </w:p>
    <w:p w:rsidR="00000000" w:rsidRPr="00C75B6E" w:rsidP="00C75B6E">
      <w:pPr>
        <w:pStyle w:val="ListBullet"/>
      </w:pPr>
      <w:r w:rsidRPr="00C75B6E">
        <w:t>manufacturer requirements for safe operation of equipment</w:t>
      </w:r>
    </w:p>
    <w:p w:rsidR="00000000" w:rsidRPr="00C75B6E" w:rsidP="00C75B6E">
      <w:pPr>
        <w:pStyle w:val="ListBullet"/>
      </w:pPr>
      <w:r w:rsidRPr="00C75B6E">
        <w:t>requirements of legislation, codes of practice and other formal agreements that impact on the work activity</w:t>
      </w:r>
    </w:p>
    <w:p w:rsidR="00000000" w:rsidRPr="00C75B6E" w:rsidP="00C75B6E">
      <w:pPr>
        <w:pStyle w:val="ListBullet"/>
      </w:pPr>
      <w:r w:rsidRPr="00C75B6E">
        <w:t>specific OHS r</w:t>
      </w:r>
      <w:r w:rsidRPr="00C75B6E">
        <w:t>equirements relating to the activity and site conditions</w:t>
      </w:r>
    </w:p>
    <w:p w:rsidR="00000000" w:rsidRPr="00C75B6E" w:rsidP="00C75B6E">
      <w:pPr>
        <w:pStyle w:val="ListBullet"/>
      </w:pPr>
      <w:r w:rsidRPr="00C75B6E">
        <w:t>test methods and performance requirements</w:t>
      </w:r>
    </w:p>
    <w:p w:rsidR="00000000" w:rsidRPr="00C75B6E" w:rsidP="00C75B6E">
      <w:pPr>
        <w:pStyle w:val="ListBullet"/>
      </w:pPr>
      <w:r w:rsidRPr="00C75B6E">
        <w:t>typical issues and challenges that occur on site.</w:t>
      </w:r>
    </w:p>
    <w:p w:rsidR="00000000" w:rsidRPr="00C75B6E" w:rsidP="00C75B6E">
      <w:pPr>
        <w:pStyle w:val="AllowPageBreak"/>
      </w:pPr>
    </w:p>
    <w:p w:rsidR="00000000" w:rsidRPr="00C75B6E" w:rsidP="00C75B6E">
      <w:pPr>
        <w:pStyle w:val="Heading1"/>
      </w:pPr>
      <w:bookmarkStart w:id="10" w:name="O_639460"/>
      <w:bookmarkEnd w:id="10"/>
      <w:r w:rsidRPr="00C75B6E">
        <w:t>Evidence Guide</w:t>
      </w:r>
    </w:p>
    <w:p w:rsidR="00000000" w:rsidRPr="00C75B6E" w:rsidP="00C75B6E">
      <w:pPr>
        <w:pStyle w:val="BodyText"/>
      </w:pPr>
      <w:r w:rsidRPr="00C75B6E">
        <w:rPr>
          <w:rStyle w:val="Emphasis"/>
        </w:rPr>
        <w:t>The evidence guide provides advice on assessment and must be read in conjun</w:t>
      </w:r>
      <w:r w:rsidRPr="00C75B6E">
        <w:rPr>
          <w:rStyle w:val="Emphasis"/>
        </w:rPr>
        <w:t>ction with the performance criteria, required skills and knowledge, range statement and the Assessment Guidelines for the Training Package.</w:t>
      </w:r>
    </w:p>
    <w:p w:rsidR="00000000" w:rsidRPr="00C75B6E" w:rsidP="00C75B6E">
      <w:pPr>
        <w:pStyle w:val="BodyText"/>
      </w:pPr>
    </w:p>
    <w:tbl>
      <w:tblPr>
        <w:tblW w:w="0" w:type="auto"/>
        <w:tblLayout w:type="fixed"/>
        <w:tblCellMar>
          <w:left w:w="62" w:type="dxa"/>
          <w:right w:w="62" w:type="dxa"/>
        </w:tblCellMar>
        <w:tblLook w:val="0000"/>
      </w:tblPr>
      <w:tblGrid>
        <w:gridCol w:w="2490"/>
        <w:gridCol w:w="6255"/>
      </w:tblGrid>
      <w:tr w:rsidTr="00C75B6E">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SpecialBold"/>
              </w:rPr>
              <w:t>Overview of assessment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p>
        </w:tc>
      </w:tr>
      <w:tr w:rsidTr="00C75B6E">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SpecialBold"/>
              </w:rPr>
              <w:t>Critical aspects for assessment and evidence required to demonstrate competency in this un</w:t>
            </w:r>
            <w:r w:rsidRPr="00C75B6E">
              <w:rPr>
                <w:rStyle w:val="SpecialBold"/>
              </w:rPr>
              <w:t>it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Evidence of the ability to:</w:t>
            </w:r>
          </w:p>
          <w:p w:rsidR="00000000" w:rsidRPr="00C75B6E" w:rsidP="00C75B6E">
            <w:pPr>
              <w:pStyle w:val="BodyText"/>
            </w:pPr>
          </w:p>
          <w:p w:rsidR="00000000" w:rsidRPr="00C75B6E" w:rsidP="00C75B6E">
            <w:pPr>
              <w:pStyle w:val="ListBullet"/>
            </w:pPr>
            <w:r w:rsidRPr="00C75B6E">
              <w:t xml:space="preserve">install, terminate and certify structured cabling installation to industry standards applying related OHS requirements and work practices </w:t>
            </w:r>
          </w:p>
          <w:p w:rsidR="00000000" w:rsidRPr="00C75B6E" w:rsidP="00C75B6E">
            <w:pPr>
              <w:pStyle w:val="ListBullet"/>
            </w:pPr>
            <w:r w:rsidRPr="00C75B6E">
              <w:t>install termination hardware</w:t>
            </w:r>
          </w:p>
          <w:p w:rsidR="00000000" w:rsidRPr="00C75B6E" w:rsidP="00C75B6E">
            <w:pPr>
              <w:pStyle w:val="ListBullet"/>
            </w:pPr>
            <w:r w:rsidRPr="00C75B6E">
              <w:t>conduct and interpret test results</w:t>
            </w:r>
          </w:p>
          <w:p w:rsidR="00000000" w:rsidRPr="00C75B6E" w:rsidP="00C75B6E">
            <w:pPr>
              <w:pStyle w:val="ListBullet"/>
            </w:pPr>
            <w:r w:rsidRPr="00C75B6E">
              <w:t>determine compliance with manufacturer’s certification and warranties</w:t>
            </w:r>
          </w:p>
          <w:p w:rsidR="00000000" w:rsidP="00C75B6E">
            <w:pPr>
              <w:pStyle w:val="ListBullet"/>
              <w:rPr>
                <w:lang w:val="en-NZ"/>
              </w:rPr>
            </w:pPr>
            <w:r w:rsidRPr="00C75B6E">
              <w:t>provide report documenting installation and test results to client.</w:t>
            </w:r>
          </w:p>
        </w:tc>
      </w:tr>
      <w:tr w:rsidTr="00C75B6E">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SpecialBold"/>
              </w:rPr>
              <w:t>Context of, and specific resources for assessment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Assessment must ensure:</w:t>
            </w:r>
          </w:p>
          <w:p w:rsidR="00000000" w:rsidRPr="00C75B6E" w:rsidP="00C75B6E">
            <w:pPr>
              <w:pStyle w:val="BodyText"/>
            </w:pPr>
          </w:p>
          <w:p w:rsidR="00000000" w:rsidRPr="00C75B6E" w:rsidP="00C75B6E">
            <w:pPr>
              <w:pStyle w:val="ListBullet"/>
            </w:pPr>
            <w:r w:rsidRPr="00C75B6E">
              <w:t>sites where installation, termination and</w:t>
            </w:r>
            <w:r w:rsidRPr="00C75B6E">
              <w:t xml:space="preserve"> certification of structured cabling may be conducted</w:t>
            </w:r>
          </w:p>
          <w:p w:rsidR="00000000" w:rsidRPr="00C75B6E" w:rsidP="00C75B6E">
            <w:pPr>
              <w:pStyle w:val="ListBullet"/>
            </w:pPr>
            <w:r w:rsidRPr="00C75B6E">
              <w:t>use of testing equipment currently used in industry</w:t>
            </w:r>
          </w:p>
          <w:p w:rsidR="00000000" w:rsidP="00C75B6E">
            <w:pPr>
              <w:pStyle w:val="ListBullet"/>
              <w:rPr>
                <w:lang w:val="en-NZ"/>
              </w:rPr>
            </w:pPr>
            <w:r w:rsidRPr="00C75B6E">
              <w:t>relevant regulatory and equipment documentation that impacts on installation and certification activities.</w:t>
            </w:r>
          </w:p>
        </w:tc>
      </w:tr>
      <w:tr w:rsidTr="00C75B6E">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SpecialBold"/>
              </w:rPr>
              <w:t>Methods of assessment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A range of assessment methods should be used to assess practical skills and knowledge. The following examples are appropriate for this unit:</w:t>
            </w:r>
          </w:p>
          <w:p w:rsidR="00000000" w:rsidRPr="00C75B6E" w:rsidP="00C75B6E">
            <w:pPr>
              <w:pStyle w:val="BodyText"/>
            </w:pPr>
          </w:p>
          <w:p w:rsidR="00000000" w:rsidRPr="00C75B6E" w:rsidP="00C75B6E">
            <w:pPr>
              <w:pStyle w:val="ListBullet"/>
            </w:pPr>
            <w:r w:rsidRPr="00C75B6E">
              <w:t xml:space="preserve">review of a hands-on project completed by the candidate </w:t>
            </w:r>
          </w:p>
          <w:p w:rsidR="00000000" w:rsidRPr="00C75B6E" w:rsidP="00C75B6E">
            <w:pPr>
              <w:pStyle w:val="ListBullet"/>
            </w:pPr>
            <w:r w:rsidRPr="00C75B6E">
              <w:t>review of an oral and written report with completed docu</w:t>
            </w:r>
            <w:r w:rsidRPr="00C75B6E">
              <w:t>mentation, including test results</w:t>
            </w:r>
          </w:p>
          <w:p w:rsidR="00000000" w:rsidP="00C75B6E">
            <w:pPr>
              <w:pStyle w:val="ListBullet"/>
              <w:rPr>
                <w:lang w:val="en-NZ"/>
              </w:rPr>
            </w:pPr>
            <w:r w:rsidRPr="00C75B6E">
              <w:t>direct observation of the candidate installing, terminating and certifying customer premises structured cabling installation.</w:t>
            </w:r>
          </w:p>
        </w:tc>
      </w:tr>
      <w:tr w:rsidTr="00C75B6E">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SpecialBold"/>
              </w:rPr>
              <w:t>Guidance information for assessment</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BodyText"/>
            </w:pPr>
            <w:r w:rsidRPr="00C75B6E">
              <w:t>Holistic assessment with other units relevant to the indust</w:t>
            </w:r>
            <w:r w:rsidRPr="00C75B6E">
              <w:t>ry sector, workplace and job role is recommended, for example:</w:t>
            </w:r>
          </w:p>
          <w:p w:rsidR="00000000" w:rsidRPr="00C75B6E" w:rsidP="00C75B6E">
            <w:pPr>
              <w:pStyle w:val="BodyText"/>
            </w:pPr>
          </w:p>
          <w:p w:rsidR="00000000" w:rsidRPr="00C75B6E" w:rsidP="00C75B6E">
            <w:pPr>
              <w:pStyle w:val="ListBullet"/>
            </w:pPr>
            <w:r w:rsidRPr="00C75B6E">
              <w:t>ICTCBL3049A Install systems and equipment on customer premises.</w:t>
            </w:r>
          </w:p>
          <w:p w:rsidR="00000000" w:rsidRPr="00C75B6E" w:rsidP="00C75B6E">
            <w:pPr>
              <w:pStyle w:val="BodyText"/>
            </w:pPr>
          </w:p>
          <w:p w:rsidR="00000000" w:rsidRPr="00C75B6E" w:rsidP="00C75B6E">
            <w:pPr>
              <w:pStyle w:val="BodyText"/>
            </w:pPr>
            <w:r w:rsidRPr="00C75B6E">
              <w:t>Aboriginal people and other people from a non-English speaking background may have second language issues.</w:t>
            </w:r>
          </w:p>
          <w:p w:rsidR="00000000" w:rsidRPr="00C75B6E" w:rsidP="00C75B6E">
            <w:pPr>
              <w:pStyle w:val="BodyText"/>
            </w:pPr>
          </w:p>
          <w:p w:rsidR="00000000" w:rsidRPr="00C75B6E" w:rsidP="00C75B6E">
            <w:pPr>
              <w:pStyle w:val="BodyText"/>
            </w:pPr>
            <w:r w:rsidRPr="00C75B6E">
              <w:t>Access must be pro</w:t>
            </w:r>
            <w:r w:rsidRPr="00C75B6E">
              <w:t>vided to appropriate learning and assessment support when required.</w:t>
            </w:r>
          </w:p>
          <w:p w:rsidR="00000000" w:rsidRPr="00C75B6E" w:rsidP="00C75B6E">
            <w:pPr>
              <w:pStyle w:val="BodyText"/>
            </w:pPr>
          </w:p>
          <w:p w:rsidR="00000000" w:rsidRPr="00C75B6E" w:rsidP="00C75B6E">
            <w:pPr>
              <w:pStyle w:val="BodyText"/>
            </w:pPr>
            <w:r w:rsidRPr="00C75B6E">
              <w:t>Assessment processes and te</w:t>
            </w:r>
            <w:r w:rsidRPr="00C75B6E">
              <w:t xml:space="preserve">chniques must be culturally appropriate, and appropriate to the oral communication skill </w:t>
            </w:r>
            <w:r w:rsidRPr="00C75B6E">
              <w:t>level, and language and literacy capacity of the candidate and the work being performed.</w:t>
            </w:r>
          </w:p>
          <w:p w:rsidR="00000000" w:rsidRPr="00C75B6E" w:rsidP="00C75B6E">
            <w:pPr>
              <w:pStyle w:val="BodyText"/>
            </w:pPr>
          </w:p>
          <w:p w:rsidR="00000000" w:rsidRPr="00C75B6E" w:rsidP="00C75B6E">
            <w:pPr>
              <w:pStyle w:val="BodyText"/>
            </w:pPr>
            <w:r w:rsidRPr="00C75B6E">
              <w:t>In all cases where practical assessment is used it will be combined with targ</w:t>
            </w:r>
            <w:r w:rsidRPr="00C75B6E">
              <w:t>eted questioning to assess required knowledge. Questioning techniques should not require language, literacy and numeracy skills beyond those required in this unit of competency.</w:t>
            </w:r>
          </w:p>
          <w:p w:rsidR="00000000" w:rsidRPr="00C75B6E" w:rsidP="00C75B6E">
            <w:pPr>
              <w:pStyle w:val="BodyText"/>
            </w:pPr>
          </w:p>
          <w:p w:rsidR="00000000" w:rsidRPr="00C75B6E" w:rsidP="00C75B6E">
            <w:pPr>
              <w:pStyle w:val="BodyText"/>
            </w:pPr>
            <w:r w:rsidRPr="00C75B6E">
              <w:t>Where applicable, physical resources should include equipment modified for pe</w:t>
            </w:r>
            <w:r w:rsidRPr="00C75B6E">
              <w:t>ople with special needs.</w:t>
            </w:r>
          </w:p>
        </w:tc>
      </w:tr>
    </w:tbl>
    <w:p w:rsidR="00000000" w:rsidRPr="00C75B6E" w:rsidP="00C75B6E">
      <w:pPr>
        <w:pStyle w:val="BodyText"/>
      </w:pPr>
    </w:p>
    <w:p w:rsidR="00000000" w:rsidRPr="00C75B6E" w:rsidP="00C75B6E">
      <w:pPr>
        <w:pStyle w:val="AllowPageBreak"/>
      </w:pPr>
    </w:p>
    <w:p w:rsidR="00000000" w:rsidRPr="00C75B6E" w:rsidP="00C75B6E">
      <w:pPr>
        <w:pStyle w:val="Heading1"/>
      </w:pPr>
      <w:bookmarkStart w:id="11" w:name="O_639461"/>
      <w:bookmarkEnd w:id="11"/>
      <w:r w:rsidRPr="00C75B6E">
        <w:t>Range Statement</w:t>
      </w:r>
    </w:p>
    <w:p w:rsidR="00000000" w:rsidRPr="00C75B6E" w:rsidP="00C75B6E">
      <w:pPr>
        <w:pStyle w:val="BodyText"/>
      </w:pPr>
      <w:r w:rsidRPr="00C75B6E">
        <w:rPr>
          <w:rStyle w:val="Emphasis"/>
        </w:rPr>
        <w:t>The range statement relates to the unit of competency as a whole. It allows for different work environments and situations that may affect performance. Bold italicised wording, if used in the perf</w:t>
      </w:r>
      <w:r w:rsidRPr="00C75B6E">
        <w:rPr>
          <w:rStyle w:val="Emphasis"/>
        </w:rPr>
        <w:t xml:space="preserve">ormance criteria, is detailed below. Essential operating conditions that may be present with training and assessment (depending on the work situation, needs of the candidate, accessibility of the item, and local industry and regional contexts) may also be </w:t>
      </w:r>
      <w:r w:rsidRPr="00C75B6E">
        <w:rPr>
          <w:rStyle w:val="Emphasis"/>
        </w:rPr>
        <w:t>included.</w:t>
      </w:r>
    </w:p>
    <w:p w:rsidR="00000000" w:rsidRPr="00C75B6E" w:rsidP="00C75B6E">
      <w:pPr>
        <w:pStyle w:val="BodyText"/>
      </w:pPr>
    </w:p>
    <w:tbl>
      <w:tblPr>
        <w:tblW w:w="0" w:type="auto"/>
        <w:tblLayout w:type="fixed"/>
        <w:tblCellMar>
          <w:left w:w="62" w:type="dxa"/>
          <w:right w:w="62" w:type="dxa"/>
        </w:tblCellMar>
        <w:tblLook w:val="0000"/>
      </w:tblPr>
      <w:tblGrid>
        <w:gridCol w:w="2487"/>
        <w:gridCol w:w="6258"/>
      </w:tblGrid>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Customer requirements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ACMA telecommunication cabling advice forms TCA1 and TCA2</w:t>
            </w:r>
          </w:p>
          <w:p w:rsidR="00000000" w:rsidRPr="00C75B6E" w:rsidP="00C75B6E">
            <w:pPr>
              <w:pStyle w:val="ListBullet"/>
            </w:pPr>
            <w:r w:rsidRPr="00C75B6E">
              <w:t>cable plans and designs</w:t>
            </w:r>
          </w:p>
          <w:p w:rsidR="00000000" w:rsidRPr="00C75B6E" w:rsidP="00C75B6E">
            <w:pPr>
              <w:pStyle w:val="ListBullet"/>
            </w:pPr>
            <w:r w:rsidRPr="00C75B6E">
              <w:t>contract documents</w:t>
            </w:r>
          </w:p>
          <w:p w:rsidR="00000000" w:rsidRPr="00C75B6E" w:rsidP="00C75B6E">
            <w:pPr>
              <w:pStyle w:val="ListBullet"/>
            </w:pPr>
            <w:r w:rsidRPr="00C75B6E">
              <w:t>specification schedules</w:t>
            </w:r>
          </w:p>
          <w:p w:rsidR="00000000" w:rsidRPr="00C75B6E" w:rsidP="00C75B6E">
            <w:pPr>
              <w:pStyle w:val="ListBullet"/>
            </w:pPr>
            <w:r w:rsidRPr="00C75B6E">
              <w:t>test results</w:t>
            </w:r>
          </w:p>
          <w:p w:rsidR="00000000" w:rsidP="00C75B6E">
            <w:pPr>
              <w:pStyle w:val="ListBullet"/>
              <w:rPr>
                <w:lang w:val="en-NZ"/>
              </w:rPr>
            </w:pPr>
            <w:r w:rsidRPr="00C75B6E">
              <w:t>timelines.</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Relevant legislation, codes, regulations and standards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appropriate licences:</w:t>
            </w:r>
          </w:p>
          <w:p w:rsidR="00000000" w:rsidRPr="00C75B6E" w:rsidP="00C75B6E">
            <w:pPr>
              <w:pStyle w:val="ListBullet2"/>
            </w:pPr>
            <w:r w:rsidRPr="00C75B6E">
              <w:t>winch</w:t>
            </w:r>
          </w:p>
          <w:p w:rsidR="00000000" w:rsidRPr="00C75B6E" w:rsidP="00C75B6E">
            <w:pPr>
              <w:pStyle w:val="ListBullet2"/>
            </w:pPr>
            <w:r w:rsidRPr="00C75B6E">
              <w:t>crane</w:t>
            </w:r>
          </w:p>
          <w:p w:rsidR="00000000" w:rsidRPr="00C75B6E" w:rsidP="00C75B6E">
            <w:pPr>
              <w:pStyle w:val="ListBullet2"/>
            </w:pPr>
            <w:r w:rsidRPr="00C75B6E">
              <w:t>forklift</w:t>
            </w:r>
          </w:p>
          <w:p w:rsidR="00000000" w:rsidRPr="00C75B6E" w:rsidP="00C75B6E">
            <w:pPr>
              <w:pStyle w:val="ListBullet2"/>
            </w:pPr>
            <w:r w:rsidRPr="00C75B6E">
              <w:t>elevated work platform (EWP)</w:t>
            </w:r>
          </w:p>
          <w:p w:rsidR="00000000" w:rsidRPr="00C75B6E" w:rsidP="00C75B6E">
            <w:pPr>
              <w:pStyle w:val="ListBullet"/>
            </w:pPr>
            <w:r w:rsidRPr="00C75B6E">
              <w:t>Australian Communications Industry Forum (ACIF) standards and codes</w:t>
            </w:r>
          </w:p>
          <w:p w:rsidR="00000000" w:rsidRPr="00C75B6E" w:rsidP="00C75B6E">
            <w:pPr>
              <w:pStyle w:val="ListBullet"/>
            </w:pPr>
            <w:r w:rsidRPr="00C75B6E">
              <w:t>ACMA Cabling Provider Rules</w:t>
            </w:r>
          </w:p>
          <w:p w:rsidR="00000000" w:rsidRPr="00C75B6E" w:rsidP="00C75B6E">
            <w:pPr>
              <w:pStyle w:val="ListBullet"/>
            </w:pPr>
            <w:r w:rsidRPr="00C75B6E">
              <w:t>AS Communications Cabling Manual (CCM) Volume 1</w:t>
            </w:r>
          </w:p>
          <w:p w:rsidR="00000000" w:rsidRPr="00C75B6E" w:rsidP="00C75B6E">
            <w:pPr>
              <w:pStyle w:val="ListBullet"/>
            </w:pPr>
            <w:r w:rsidRPr="00C75B6E">
              <w:t>AS/NZS 3000:2007</w:t>
            </w:r>
          </w:p>
          <w:p w:rsidR="00000000" w:rsidRPr="00C75B6E" w:rsidP="00C75B6E">
            <w:pPr>
              <w:pStyle w:val="ListBullet"/>
            </w:pPr>
            <w:r w:rsidRPr="00C75B6E">
              <w:t>AS/NZS 3080:2003</w:t>
            </w:r>
          </w:p>
          <w:p w:rsidR="00000000" w:rsidRPr="00C75B6E" w:rsidP="00C75B6E">
            <w:pPr>
              <w:pStyle w:val="ListBullet"/>
            </w:pPr>
            <w:r w:rsidRPr="00C75B6E">
              <w:t>AS/NZS 3084:2003</w:t>
            </w:r>
          </w:p>
          <w:p w:rsidR="00000000" w:rsidRPr="00C75B6E" w:rsidP="00C75B6E">
            <w:pPr>
              <w:pStyle w:val="ListBullet"/>
            </w:pPr>
            <w:r w:rsidRPr="00C75B6E">
              <w:t>AS/NZS 3085.1:2004</w:t>
            </w:r>
          </w:p>
          <w:p w:rsidR="00000000" w:rsidRPr="00C75B6E" w:rsidP="00C75B6E">
            <w:pPr>
              <w:pStyle w:val="ListBullet"/>
            </w:pPr>
            <w:r w:rsidRPr="00C75B6E">
              <w:t>AS/NZS IEC 61935.1:2006</w:t>
            </w:r>
          </w:p>
          <w:p w:rsidR="00000000" w:rsidRPr="00C75B6E" w:rsidP="00C75B6E">
            <w:pPr>
              <w:pStyle w:val="ListBullet"/>
            </w:pPr>
            <w:r w:rsidRPr="00C75B6E">
              <w:t>AS/NZS IEC 61935.2:2006</w:t>
            </w:r>
          </w:p>
          <w:p w:rsidR="00000000" w:rsidRPr="00C75B6E" w:rsidP="00C75B6E">
            <w:pPr>
              <w:pStyle w:val="ListBullet"/>
            </w:pPr>
            <w:r w:rsidRPr="00C75B6E">
              <w:t>AS/NZS ISO/IEC 14763.3:2007</w:t>
            </w:r>
          </w:p>
          <w:p w:rsidR="00000000" w:rsidRPr="00C75B6E" w:rsidP="00C75B6E">
            <w:pPr>
              <w:pStyle w:val="ListBullet"/>
            </w:pPr>
            <w:r w:rsidRPr="00C75B6E">
              <w:t>AS/NZS ISO/IEC 15018:2005</w:t>
            </w:r>
          </w:p>
          <w:p w:rsidR="00000000" w:rsidRPr="00C75B6E" w:rsidP="00C75B6E">
            <w:pPr>
              <w:pStyle w:val="ListBullet"/>
            </w:pPr>
            <w:r w:rsidRPr="00C75B6E">
              <w:t>AS/NZS ISO/IEC 24702:2007</w:t>
            </w:r>
          </w:p>
          <w:p w:rsidR="00000000" w:rsidRPr="00C75B6E" w:rsidP="00C75B6E">
            <w:pPr>
              <w:pStyle w:val="ListBullet"/>
            </w:pPr>
            <w:r w:rsidRPr="00C75B6E">
              <w:t>cabling security codes and regulations</w:t>
            </w:r>
          </w:p>
          <w:p w:rsidR="00000000" w:rsidRPr="00C75B6E" w:rsidP="00C75B6E">
            <w:pPr>
              <w:pStyle w:val="ListBullet"/>
            </w:pPr>
            <w:r w:rsidRPr="00C75B6E">
              <w:t>Environment Protection Acts</w:t>
            </w:r>
          </w:p>
          <w:p w:rsidR="00000000" w:rsidRPr="00C75B6E" w:rsidP="00C75B6E">
            <w:pPr>
              <w:pStyle w:val="ListBullet"/>
            </w:pPr>
            <w:r w:rsidRPr="00C75B6E">
              <w:t>OHS Acts and relevant codes and standards</w:t>
            </w:r>
          </w:p>
          <w:p w:rsidR="00000000" w:rsidRPr="00C75B6E" w:rsidP="00C75B6E">
            <w:pPr>
              <w:pStyle w:val="ListBullet"/>
            </w:pPr>
            <w:r w:rsidRPr="00C75B6E">
              <w:t>ISO Draft 11801 (International)</w:t>
            </w:r>
          </w:p>
          <w:p w:rsidR="00000000" w:rsidRPr="00C75B6E" w:rsidP="00C75B6E">
            <w:pPr>
              <w:pStyle w:val="ListBullet"/>
            </w:pPr>
            <w:r w:rsidRPr="00C75B6E">
              <w:t>regulated or industry codes of practice, including appropriate ACMA and AS/ACIF technical standards</w:t>
            </w:r>
          </w:p>
          <w:p w:rsidR="00000000" w:rsidRPr="00C75B6E" w:rsidP="00C75B6E">
            <w:pPr>
              <w:pStyle w:val="ListBullet"/>
            </w:pPr>
            <w:r w:rsidRPr="00C75B6E">
              <w:t>relevant Institute of Electrical and Electronics Engineers (IEEE) standards</w:t>
            </w:r>
          </w:p>
          <w:p w:rsidR="00000000" w:rsidRPr="00C75B6E" w:rsidP="00C75B6E">
            <w:pPr>
              <w:pStyle w:val="ListBullet"/>
            </w:pPr>
            <w:r w:rsidRPr="00C75B6E">
              <w:t>road a</w:t>
            </w:r>
            <w:r w:rsidRPr="00C75B6E">
              <w:t>nd traffic control legislation and codes</w:t>
            </w:r>
          </w:p>
          <w:p w:rsidR="00000000" w:rsidP="00C75B6E">
            <w:pPr>
              <w:pStyle w:val="ListBullet"/>
              <w:rPr>
                <w:lang w:val="en-NZ"/>
              </w:rPr>
            </w:pPr>
            <w:r w:rsidRPr="00C75B6E">
              <w:t>technical standards AS/ACIF S008:2006 and AS/ACIF S009:2006.</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Hazards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building debris</w:t>
            </w:r>
          </w:p>
          <w:p w:rsidR="00000000" w:rsidRPr="00C75B6E" w:rsidP="00C75B6E">
            <w:pPr>
              <w:pStyle w:val="ListBullet"/>
            </w:pPr>
            <w:r w:rsidRPr="00C75B6E">
              <w:t>earth potential rise (EPR)</w:t>
            </w:r>
          </w:p>
          <w:p w:rsidR="00000000" w:rsidRPr="00C75B6E" w:rsidP="00C75B6E">
            <w:pPr>
              <w:pStyle w:val="ListBullet"/>
            </w:pPr>
            <w:r w:rsidRPr="00C75B6E">
              <w:t>glass fibre</w:t>
            </w:r>
          </w:p>
          <w:p w:rsidR="00000000" w:rsidRPr="00C75B6E" w:rsidP="00C75B6E">
            <w:pPr>
              <w:pStyle w:val="ListBullet"/>
            </w:pPr>
            <w:r w:rsidRPr="00C75B6E">
              <w:t>live power lines</w:t>
            </w:r>
          </w:p>
          <w:p w:rsidR="00000000" w:rsidRPr="00C75B6E" w:rsidP="00C75B6E">
            <w:pPr>
              <w:pStyle w:val="ListBullet"/>
            </w:pPr>
            <w:r w:rsidRPr="00C75B6E">
              <w:t>manual handling</w:t>
            </w:r>
          </w:p>
          <w:p w:rsidR="00000000" w:rsidRPr="00C75B6E" w:rsidP="00C75B6E">
            <w:pPr>
              <w:pStyle w:val="ListBullet"/>
            </w:pPr>
            <w:r w:rsidRPr="00C75B6E">
              <w:t>mud and water</w:t>
            </w:r>
          </w:p>
          <w:p w:rsidR="00000000" w:rsidRPr="00C75B6E" w:rsidP="00C75B6E">
            <w:pPr>
              <w:pStyle w:val="ListBullet"/>
            </w:pPr>
            <w:r w:rsidRPr="00C75B6E">
              <w:t>natural gas and other gas build-up</w:t>
            </w:r>
          </w:p>
          <w:p w:rsidR="00000000" w:rsidRPr="00C75B6E" w:rsidP="00C75B6E">
            <w:pPr>
              <w:pStyle w:val="ListBullet"/>
            </w:pPr>
            <w:r w:rsidRPr="00C75B6E">
              <w:t>needle stick injury</w:t>
            </w:r>
          </w:p>
          <w:p w:rsidR="00000000" w:rsidRPr="00C75B6E" w:rsidP="00C75B6E">
            <w:pPr>
              <w:pStyle w:val="ListBullet"/>
            </w:pPr>
            <w:r w:rsidRPr="00C75B6E">
              <w:t>radio frequency equipment emitting radiation</w:t>
            </w:r>
          </w:p>
          <w:p w:rsidR="00000000" w:rsidRPr="00C75B6E" w:rsidP="00C75B6E">
            <w:pPr>
              <w:pStyle w:val="ListBullet"/>
            </w:pPr>
            <w:r w:rsidRPr="00C75B6E">
              <w:t>remote power feeding services that operate at above telecommunications network voltage (TNV)</w:t>
            </w:r>
          </w:p>
          <w:p w:rsidR="00000000" w:rsidRPr="00C75B6E" w:rsidP="00C75B6E">
            <w:pPr>
              <w:pStyle w:val="ListBullet"/>
            </w:pPr>
            <w:r w:rsidRPr="00C75B6E">
              <w:t>slippery surfaces</w:t>
            </w:r>
          </w:p>
          <w:p w:rsidR="00000000" w:rsidP="00C75B6E">
            <w:pPr>
              <w:pStyle w:val="ListBullet"/>
              <w:rPr>
                <w:lang w:val="en-NZ"/>
              </w:rPr>
            </w:pPr>
            <w:r w:rsidRPr="00C75B6E">
              <w:t>vermin.</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Tools and equipment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to</w:t>
            </w:r>
            <w:r w:rsidRPr="00C75B6E">
              <w:t>ols:</w:t>
            </w:r>
          </w:p>
          <w:p w:rsidR="00000000" w:rsidRPr="00C75B6E" w:rsidP="00C75B6E">
            <w:pPr>
              <w:pStyle w:val="ListBullet2"/>
            </w:pPr>
            <w:r w:rsidRPr="00C75B6E">
              <w:t>cable ties</w:t>
            </w:r>
          </w:p>
          <w:p w:rsidR="00000000" w:rsidRPr="00C75B6E" w:rsidP="00C75B6E">
            <w:pPr>
              <w:pStyle w:val="ListBullet2"/>
            </w:pPr>
            <w:r w:rsidRPr="00C75B6E">
              <w:t>crimping tool</w:t>
            </w:r>
          </w:p>
          <w:p w:rsidR="00000000" w:rsidRPr="00C75B6E" w:rsidP="00C75B6E">
            <w:pPr>
              <w:pStyle w:val="ListBullet2"/>
            </w:pPr>
            <w:r w:rsidRPr="00C75B6E">
              <w:t>drills</w:t>
            </w:r>
          </w:p>
          <w:p w:rsidR="00000000" w:rsidRPr="00C75B6E" w:rsidP="00C75B6E">
            <w:pPr>
              <w:pStyle w:val="ListBullet2"/>
            </w:pPr>
            <w:r w:rsidRPr="00C75B6E">
              <w:t>hammers</w:t>
            </w:r>
          </w:p>
          <w:p w:rsidR="00000000" w:rsidRPr="00C75B6E" w:rsidP="00C75B6E">
            <w:pPr>
              <w:pStyle w:val="ListBullet2"/>
            </w:pPr>
            <w:r w:rsidRPr="00C75B6E">
              <w:t>labeller</w:t>
            </w:r>
          </w:p>
          <w:p w:rsidR="00000000" w:rsidRPr="00C75B6E" w:rsidP="00C75B6E">
            <w:pPr>
              <w:pStyle w:val="ListBullet2"/>
            </w:pPr>
            <w:r w:rsidRPr="00C75B6E">
              <w:t>ladders</w:t>
            </w:r>
          </w:p>
          <w:p w:rsidR="00000000" w:rsidRPr="00C75B6E" w:rsidP="00C75B6E">
            <w:pPr>
              <w:pStyle w:val="ListBullet2"/>
            </w:pPr>
            <w:r w:rsidRPr="00C75B6E">
              <w:t>saws</w:t>
            </w:r>
          </w:p>
          <w:p w:rsidR="00000000" w:rsidRPr="00C75B6E" w:rsidP="00C75B6E">
            <w:pPr>
              <w:pStyle w:val="ListBullet2"/>
            </w:pPr>
            <w:r w:rsidRPr="00C75B6E">
              <w:t>terminating tool</w:t>
            </w:r>
          </w:p>
          <w:p w:rsidR="00000000" w:rsidRPr="00C75B6E" w:rsidP="00C75B6E">
            <w:pPr>
              <w:pStyle w:val="ListBullet"/>
            </w:pPr>
            <w:r w:rsidRPr="00C75B6E">
              <w:t>equipment:</w:t>
            </w:r>
          </w:p>
          <w:p w:rsidR="00000000" w:rsidRPr="00C75B6E" w:rsidP="00C75B6E">
            <w:pPr>
              <w:pStyle w:val="ListBullet2"/>
            </w:pPr>
            <w:r w:rsidRPr="00C75B6E">
              <w:t>continuity tester</w:t>
            </w:r>
          </w:p>
          <w:p w:rsidR="00000000" w:rsidRPr="00C75B6E" w:rsidP="00C75B6E">
            <w:pPr>
              <w:pStyle w:val="ListBullet2"/>
            </w:pPr>
            <w:r w:rsidRPr="00C75B6E">
              <w:t>LAN Cat tester</w:t>
            </w:r>
          </w:p>
          <w:p w:rsidR="00000000" w:rsidRPr="00C75B6E" w:rsidP="00C75B6E">
            <w:pPr>
              <w:pStyle w:val="ListBullet2"/>
            </w:pPr>
            <w:r w:rsidRPr="00C75B6E">
              <w:t>multimeter</w:t>
            </w:r>
          </w:p>
          <w:p w:rsidR="00000000" w:rsidRPr="00C75B6E" w:rsidP="00C75B6E">
            <w:pPr>
              <w:pStyle w:val="ListBullet"/>
            </w:pPr>
            <w:r w:rsidRPr="00C75B6E">
              <w:t>test equipment:</w:t>
            </w:r>
          </w:p>
          <w:p w:rsidR="00000000" w:rsidP="00C75B6E">
            <w:pPr>
              <w:pStyle w:val="ListBullet2"/>
              <w:rPr>
                <w:lang w:val="en-NZ"/>
              </w:rPr>
            </w:pPr>
            <w:r w:rsidRPr="00C75B6E">
              <w:t>conforming to AS/NZS IEC 61935.1:2006.</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Barriers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flashing lights</w:t>
            </w:r>
          </w:p>
          <w:p w:rsidR="00000000" w:rsidRPr="00C75B6E" w:rsidP="00C75B6E">
            <w:pPr>
              <w:pStyle w:val="ListBullet"/>
            </w:pPr>
            <w:r w:rsidRPr="00C75B6E">
              <w:t>trench guards</w:t>
            </w:r>
          </w:p>
          <w:p w:rsidR="00000000" w:rsidRPr="00C75B6E" w:rsidP="00C75B6E">
            <w:pPr>
              <w:pStyle w:val="ListBullet"/>
            </w:pPr>
            <w:r w:rsidRPr="00C75B6E">
              <w:t>warning signs and tapes</w:t>
            </w:r>
          </w:p>
          <w:p w:rsidR="00000000" w:rsidP="00C75B6E">
            <w:pPr>
              <w:pStyle w:val="ListBullet"/>
              <w:rPr>
                <w:lang w:val="en-NZ"/>
              </w:rPr>
            </w:pPr>
            <w:r w:rsidRPr="00C75B6E">
              <w:t>witches hats.</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Cable type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Category 5 or 5E</w:t>
            </w:r>
          </w:p>
          <w:p w:rsidR="00000000" w:rsidRPr="00C75B6E" w:rsidP="00C75B6E">
            <w:pPr>
              <w:pStyle w:val="ListBullet"/>
            </w:pPr>
            <w:r w:rsidRPr="00C75B6E">
              <w:t>Category 6 or 6E</w:t>
            </w:r>
          </w:p>
          <w:p w:rsidR="00000000" w:rsidP="00C75B6E">
            <w:pPr>
              <w:pStyle w:val="ListBullet"/>
              <w:rPr>
                <w:lang w:val="en-NZ"/>
              </w:rPr>
            </w:pPr>
            <w:r w:rsidRPr="00C75B6E">
              <w:t>Category 7.</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Structured cabling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unshielded twisted pair (UTP)</w:t>
            </w:r>
          </w:p>
          <w:p w:rsidR="00000000" w:rsidRPr="00C75B6E" w:rsidP="00C75B6E">
            <w:pPr>
              <w:pStyle w:val="ListBullet"/>
            </w:pPr>
            <w:r w:rsidRPr="00C75B6E">
              <w:t>shielded twisted pair (STP)</w:t>
            </w:r>
          </w:p>
          <w:p w:rsidR="00000000" w:rsidRPr="00C75B6E" w:rsidP="00C75B6E">
            <w:pPr>
              <w:pStyle w:val="ListBullet"/>
            </w:pPr>
            <w:r w:rsidRPr="00C75B6E">
              <w:t>solid conductor</w:t>
            </w:r>
          </w:p>
          <w:p w:rsidR="00000000" w:rsidP="00C75B6E">
            <w:pPr>
              <w:pStyle w:val="ListBullet"/>
              <w:rPr>
                <w:lang w:val="en-NZ"/>
              </w:rPr>
            </w:pPr>
            <w:r w:rsidRPr="00C75B6E">
              <w:t>stranded conductor (short links only).</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OHS and environmental requirements </w:t>
            </w:r>
            <w:r w:rsidRPr="00C75B6E">
              <w:t>may relate to:</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identifying other services, including power and gas</w:t>
            </w:r>
          </w:p>
          <w:p w:rsidR="00000000" w:rsidRPr="00C75B6E" w:rsidP="00C75B6E">
            <w:pPr>
              <w:pStyle w:val="ListBullet"/>
            </w:pPr>
            <w:r w:rsidRPr="00C75B6E">
              <w:t>need for decommissioning and isolating work site and lines before beginning work</w:t>
            </w:r>
          </w:p>
          <w:p w:rsidR="00000000" w:rsidRPr="00C75B6E" w:rsidP="00C75B6E">
            <w:pPr>
              <w:pStyle w:val="ListBullet"/>
            </w:pPr>
            <w:r w:rsidRPr="00C75B6E">
              <w:t>personal protective clothing:</w:t>
            </w:r>
          </w:p>
          <w:p w:rsidR="00000000" w:rsidRPr="00C75B6E" w:rsidP="00C75B6E">
            <w:pPr>
              <w:pStyle w:val="ListBullet2"/>
            </w:pPr>
            <w:r w:rsidRPr="00C75B6E">
              <w:t>earmuffs</w:t>
            </w:r>
          </w:p>
          <w:p w:rsidR="00000000" w:rsidRPr="00C75B6E" w:rsidP="00C75B6E">
            <w:pPr>
              <w:pStyle w:val="ListBullet2"/>
            </w:pPr>
            <w:r w:rsidRPr="00C75B6E">
              <w:t>gloves:</w:t>
            </w:r>
          </w:p>
          <w:p w:rsidR="00000000" w:rsidRPr="00C75B6E" w:rsidP="00C75B6E">
            <w:pPr>
              <w:pStyle w:val="ListBullet3"/>
            </w:pPr>
            <w:r w:rsidRPr="00C75B6E">
              <w:t>leather</w:t>
            </w:r>
          </w:p>
          <w:p w:rsidR="00000000" w:rsidRPr="00C75B6E" w:rsidP="00C75B6E">
            <w:pPr>
              <w:pStyle w:val="ListBullet3"/>
            </w:pPr>
            <w:r w:rsidRPr="00C75B6E">
              <w:t>plastic</w:t>
            </w:r>
          </w:p>
          <w:p w:rsidR="00000000" w:rsidRPr="00C75B6E" w:rsidP="00C75B6E">
            <w:pPr>
              <w:pStyle w:val="ListBullet3"/>
            </w:pPr>
            <w:r w:rsidRPr="00C75B6E">
              <w:t>rubber</w:t>
            </w:r>
          </w:p>
          <w:p w:rsidR="00000000" w:rsidRPr="00C75B6E" w:rsidP="00C75B6E">
            <w:pPr>
              <w:pStyle w:val="ListBullet2"/>
            </w:pPr>
            <w:r w:rsidRPr="00C75B6E">
              <w:t>head protection</w:t>
            </w:r>
          </w:p>
          <w:p w:rsidR="00000000" w:rsidRPr="00C75B6E" w:rsidP="00C75B6E">
            <w:pPr>
              <w:pStyle w:val="ListBullet2"/>
            </w:pPr>
            <w:r w:rsidRPr="00C75B6E">
              <w:t>kneepads</w:t>
            </w:r>
          </w:p>
          <w:p w:rsidR="00000000" w:rsidRPr="00C75B6E" w:rsidP="00C75B6E">
            <w:pPr>
              <w:pStyle w:val="ListBullet2"/>
            </w:pPr>
            <w:r w:rsidRPr="00C75B6E">
              <w:t xml:space="preserve">masks </w:t>
            </w:r>
          </w:p>
          <w:p w:rsidR="00000000" w:rsidRPr="00C75B6E" w:rsidP="00C75B6E">
            <w:pPr>
              <w:pStyle w:val="ListBullet2"/>
            </w:pPr>
            <w:r w:rsidRPr="00C75B6E">
              <w:t>protective suits</w:t>
            </w:r>
          </w:p>
          <w:p w:rsidR="00000000" w:rsidRPr="00C75B6E" w:rsidP="00C75B6E">
            <w:pPr>
              <w:pStyle w:val="ListBullet2"/>
            </w:pPr>
            <w:r w:rsidRPr="00C75B6E">
              <w:t>safety boots</w:t>
            </w:r>
          </w:p>
          <w:p w:rsidR="00000000" w:rsidRPr="00C75B6E" w:rsidP="00C75B6E">
            <w:pPr>
              <w:pStyle w:val="ListBullet2"/>
            </w:pPr>
            <w:r w:rsidRPr="00C75B6E">
              <w:t>safety glasses</w:t>
            </w:r>
          </w:p>
          <w:p w:rsidR="00000000" w:rsidRPr="00C75B6E" w:rsidP="00C75B6E">
            <w:pPr>
              <w:pStyle w:val="ListBullet2"/>
            </w:pPr>
            <w:r w:rsidRPr="00C75B6E">
              <w:t>safety harness</w:t>
            </w:r>
          </w:p>
          <w:p w:rsidR="00000000" w:rsidRPr="00C75B6E" w:rsidP="00C75B6E">
            <w:pPr>
              <w:pStyle w:val="ListBullet2"/>
            </w:pPr>
            <w:r w:rsidRPr="00C75B6E">
              <w:t>safety line</w:t>
            </w:r>
          </w:p>
          <w:p w:rsidR="00000000" w:rsidRPr="00C75B6E" w:rsidP="00C75B6E">
            <w:pPr>
              <w:pStyle w:val="ListBullet"/>
            </w:pPr>
            <w:r w:rsidRPr="00C75B6E">
              <w:t>safe work practices, such as the safe use and handling of:</w:t>
            </w:r>
          </w:p>
          <w:p w:rsidR="00000000" w:rsidRPr="00C75B6E" w:rsidP="00C75B6E">
            <w:pPr>
              <w:pStyle w:val="ListBullet2"/>
            </w:pPr>
            <w:r w:rsidRPr="00C75B6E">
              <w:t>asbestos</w:t>
            </w:r>
          </w:p>
          <w:p w:rsidR="00000000" w:rsidRPr="00C75B6E" w:rsidP="00C75B6E">
            <w:pPr>
              <w:pStyle w:val="ListBullet2"/>
            </w:pPr>
            <w:r w:rsidRPr="00C75B6E">
              <w:t>chemicals</w:t>
            </w:r>
          </w:p>
          <w:p w:rsidR="00000000" w:rsidRPr="00C75B6E" w:rsidP="00C75B6E">
            <w:pPr>
              <w:pStyle w:val="ListBullet2"/>
            </w:pPr>
            <w:r w:rsidRPr="00C75B6E">
              <w:t>materials</w:t>
            </w:r>
          </w:p>
          <w:p w:rsidR="00000000" w:rsidRPr="00C75B6E" w:rsidP="00C75B6E">
            <w:pPr>
              <w:pStyle w:val="ListBullet2"/>
            </w:pPr>
            <w:r w:rsidRPr="00C75B6E">
              <w:t>tools and equipment</w:t>
            </w:r>
          </w:p>
          <w:p w:rsidR="00000000" w:rsidRPr="00C75B6E" w:rsidP="00C75B6E">
            <w:pPr>
              <w:pStyle w:val="ListBullet2"/>
            </w:pPr>
            <w:r w:rsidRPr="00C75B6E">
              <w:t>work platforms</w:t>
            </w:r>
          </w:p>
          <w:p w:rsidR="00000000" w:rsidRPr="00C75B6E" w:rsidP="00C75B6E">
            <w:pPr>
              <w:pStyle w:val="ListBullet"/>
            </w:pPr>
            <w:r w:rsidRPr="00C75B6E">
              <w:t>safety equipment:</w:t>
            </w:r>
          </w:p>
          <w:p w:rsidR="00000000" w:rsidRPr="00C75B6E" w:rsidP="00C75B6E">
            <w:pPr>
              <w:pStyle w:val="ListBullet2"/>
            </w:pPr>
            <w:r w:rsidRPr="00C75B6E">
              <w:t>flashing lights</w:t>
            </w:r>
          </w:p>
          <w:p w:rsidR="00000000" w:rsidRPr="00C75B6E" w:rsidP="00C75B6E">
            <w:pPr>
              <w:pStyle w:val="ListBullet2"/>
            </w:pPr>
            <w:r w:rsidRPr="00C75B6E">
              <w:t>gas and other hazard detection equipment</w:t>
            </w:r>
          </w:p>
          <w:p w:rsidR="00000000" w:rsidRPr="00C75B6E" w:rsidP="00C75B6E">
            <w:pPr>
              <w:pStyle w:val="ListBullet2"/>
            </w:pPr>
            <w:r w:rsidRPr="00C75B6E">
              <w:t>safety barriers</w:t>
            </w:r>
          </w:p>
          <w:p w:rsidR="00000000" w:rsidRPr="00C75B6E" w:rsidP="00C75B6E">
            <w:pPr>
              <w:pStyle w:val="ListBullet2"/>
            </w:pPr>
            <w:r w:rsidRPr="00C75B6E">
              <w:t>trench guards</w:t>
            </w:r>
          </w:p>
          <w:p w:rsidR="00000000" w:rsidRPr="00C75B6E" w:rsidP="00C75B6E">
            <w:pPr>
              <w:pStyle w:val="ListBullet2"/>
            </w:pPr>
            <w:r w:rsidRPr="00C75B6E">
              <w:t>warning signs and tapes</w:t>
            </w:r>
          </w:p>
          <w:p w:rsidR="00000000" w:rsidRPr="00C75B6E" w:rsidP="00C75B6E">
            <w:pPr>
              <w:pStyle w:val="ListBullet2"/>
            </w:pPr>
            <w:r w:rsidRPr="00C75B6E">
              <w:t>witches hats</w:t>
            </w:r>
          </w:p>
          <w:p w:rsidR="00000000" w:rsidRPr="00C75B6E" w:rsidP="00C75B6E">
            <w:pPr>
              <w:pStyle w:val="ListBullet"/>
            </w:pPr>
            <w:r w:rsidRPr="00C75B6E">
              <w:t>special access requirements</w:t>
            </w:r>
          </w:p>
          <w:p w:rsidR="00000000" w:rsidRPr="00C75B6E" w:rsidP="00C75B6E">
            <w:pPr>
              <w:pStyle w:val="ListBullet"/>
            </w:pPr>
            <w:r w:rsidRPr="00C75B6E">
              <w:t>suitable light and ventilation</w:t>
            </w:r>
          </w:p>
          <w:p w:rsidR="00000000" w:rsidRPr="00C75B6E" w:rsidP="00C75B6E">
            <w:pPr>
              <w:pStyle w:val="ListBullet"/>
            </w:pPr>
            <w:r w:rsidRPr="00C75B6E">
              <w:t>environmental considerations:</w:t>
            </w:r>
          </w:p>
          <w:p w:rsidR="00000000" w:rsidRPr="00C75B6E" w:rsidP="00C75B6E">
            <w:pPr>
              <w:pStyle w:val="ListBullet2"/>
            </w:pPr>
            <w:r w:rsidRPr="00C75B6E">
              <w:t>clean-up protection</w:t>
            </w:r>
          </w:p>
          <w:p w:rsidR="00000000" w:rsidRPr="00C75B6E" w:rsidP="00C75B6E">
            <w:pPr>
              <w:pStyle w:val="ListBullet2"/>
            </w:pPr>
            <w:r w:rsidRPr="00C75B6E">
              <w:t>stormwater protection</w:t>
            </w:r>
          </w:p>
          <w:p w:rsidR="00000000" w:rsidP="00C75B6E">
            <w:pPr>
              <w:pStyle w:val="ListBullet2"/>
              <w:rPr>
                <w:lang w:val="en-NZ"/>
              </w:rPr>
            </w:pPr>
            <w:r w:rsidRPr="00C75B6E">
              <w:t>waste management.</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Industry standards </w:t>
            </w:r>
            <w:r w:rsidRPr="00C75B6E">
              <w:t>may relate to:</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bending ratios to manufacturer’s and AS/ACIF or ACMA standard requirements</w:t>
            </w:r>
          </w:p>
          <w:p w:rsidR="00000000" w:rsidRPr="00C75B6E" w:rsidP="00C75B6E">
            <w:pPr>
              <w:pStyle w:val="ListBullet"/>
            </w:pPr>
            <w:r w:rsidRPr="00C75B6E">
              <w:t>cable anchors maintaining pair alignment and not compressing cable sheath</w:t>
            </w:r>
          </w:p>
          <w:p w:rsidR="00000000" w:rsidRPr="00C75B6E" w:rsidP="00C75B6E">
            <w:pPr>
              <w:pStyle w:val="ListBullet"/>
            </w:pPr>
            <w:r w:rsidRPr="00C75B6E">
              <w:t>cable free from tension</w:t>
            </w:r>
          </w:p>
          <w:p w:rsidR="00000000" w:rsidRPr="00C75B6E" w:rsidP="00C75B6E">
            <w:pPr>
              <w:pStyle w:val="ListBullet"/>
            </w:pPr>
            <w:r w:rsidRPr="00C75B6E">
              <w:t>cabling labelled to enterprise and industry standards</w:t>
            </w:r>
          </w:p>
          <w:p w:rsidR="00000000" w:rsidRPr="00C75B6E" w:rsidP="00C75B6E">
            <w:pPr>
              <w:pStyle w:val="ListBullet"/>
            </w:pPr>
            <w:r w:rsidRPr="00C75B6E">
              <w:t>twist ratio defects minimised to avoid accumulation effect on structured cable performance</w:t>
            </w:r>
          </w:p>
          <w:p w:rsidR="00000000" w:rsidP="00C75B6E">
            <w:pPr>
              <w:pStyle w:val="ListBullet"/>
              <w:rPr>
                <w:lang w:val="en-NZ"/>
              </w:rPr>
            </w:pPr>
            <w:r w:rsidRPr="00C75B6E">
              <w:t>twist ratio in cable maintained to optimise performance.</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Over-voltage protection devices requirements </w:t>
            </w:r>
            <w:r w:rsidRPr="00C75B6E">
              <w:t>must com</w:t>
            </w:r>
            <w:r w:rsidRPr="00C75B6E">
              <w:t>ply with:</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ACMA standards</w:t>
            </w:r>
          </w:p>
          <w:p w:rsidR="00000000" w:rsidRPr="00C75B6E" w:rsidP="00C75B6E">
            <w:pPr>
              <w:pStyle w:val="ListBullet"/>
            </w:pPr>
            <w:r w:rsidRPr="00C75B6E">
              <w:t>enterprise or local environmental hazard</w:t>
            </w:r>
          </w:p>
          <w:p w:rsidR="00000000" w:rsidP="00C75B6E">
            <w:pPr>
              <w:pStyle w:val="ListBullet"/>
              <w:rPr>
                <w:lang w:val="en-NZ"/>
              </w:rPr>
            </w:pPr>
            <w:r w:rsidRPr="00C75B6E">
              <w:t>manufacturer.</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Termination hardware </w:t>
            </w:r>
            <w:r w:rsidRPr="00C75B6E">
              <w:t>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ACMA-approved products</w:t>
            </w:r>
          </w:p>
          <w:p w:rsidR="00000000" w:rsidRPr="00C75B6E" w:rsidP="00C75B6E">
            <w:pPr>
              <w:pStyle w:val="ListBullet"/>
            </w:pPr>
            <w:r w:rsidRPr="00C75B6E">
              <w:t>blocks</w:t>
            </w:r>
          </w:p>
          <w:p w:rsidR="00000000" w:rsidRPr="00C75B6E" w:rsidP="00C75B6E">
            <w:pPr>
              <w:pStyle w:val="ListBullet"/>
            </w:pPr>
            <w:r w:rsidRPr="00C75B6E">
              <w:t>connectors</w:t>
            </w:r>
          </w:p>
          <w:p w:rsidR="00000000" w:rsidRPr="00C75B6E" w:rsidP="00C75B6E">
            <w:pPr>
              <w:pStyle w:val="ListBullet"/>
            </w:pPr>
            <w:r w:rsidRPr="00C75B6E">
              <w:t>frames</w:t>
            </w:r>
          </w:p>
          <w:p w:rsidR="00000000" w:rsidP="00C75B6E">
            <w:pPr>
              <w:pStyle w:val="ListBullet"/>
              <w:rPr>
                <w:lang w:val="en-NZ"/>
              </w:rPr>
            </w:pPr>
            <w:r w:rsidRPr="00C75B6E">
              <w:t>sockets.</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Certification requirements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installer based or independent:</w:t>
            </w:r>
          </w:p>
          <w:p w:rsidR="00000000" w:rsidRPr="00C75B6E" w:rsidP="00C75B6E">
            <w:pPr>
              <w:pStyle w:val="ListBullet2"/>
            </w:pPr>
            <w:r w:rsidRPr="00C75B6E">
              <w:t>formal and documented testing procedures and results</w:t>
            </w:r>
          </w:p>
          <w:p w:rsidR="00000000" w:rsidRPr="00C75B6E" w:rsidP="00C75B6E">
            <w:pPr>
              <w:pStyle w:val="ListBullet2"/>
            </w:pPr>
            <w:r w:rsidRPr="00C75B6E">
              <w:t>installer’s warranty and documented test results</w:t>
            </w:r>
          </w:p>
          <w:p w:rsidR="00000000" w:rsidP="00C75B6E">
            <w:pPr>
              <w:pStyle w:val="ListBullet2"/>
              <w:rPr>
                <w:lang w:val="en-NZ"/>
              </w:rPr>
            </w:pPr>
            <w:r w:rsidRPr="00C75B6E">
              <w:t>manufacturer’s certificate.</w:t>
            </w:r>
          </w:p>
        </w:tc>
      </w:tr>
      <w:tr w:rsidTr="00C75B6E">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5B6E">
            <w:pPr>
              <w:pStyle w:val="BodyText"/>
              <w:rPr>
                <w:lang w:val="en-NZ"/>
              </w:rPr>
            </w:pPr>
            <w:r w:rsidRPr="00C75B6E">
              <w:rPr>
                <w:rStyle w:val="BoldandItalics"/>
              </w:rPr>
              <w:t xml:space="preserve">Records </w:t>
            </w:r>
            <w:r w:rsidRPr="00C75B6E">
              <w:t>may include:</w:t>
            </w:r>
          </w:p>
        </w:tc>
        <w:tc>
          <w:tcPr>
            <w:tcW w:w="6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5B6E" w:rsidP="00C75B6E">
            <w:pPr>
              <w:pStyle w:val="ListBullet"/>
            </w:pPr>
            <w:r w:rsidRPr="00C75B6E">
              <w:t>ACMA telecommunication cabling advice forms TCA1 and TCA2</w:t>
            </w:r>
          </w:p>
          <w:p w:rsidR="00000000" w:rsidRPr="00C75B6E" w:rsidP="00C75B6E">
            <w:pPr>
              <w:pStyle w:val="ListBullet"/>
            </w:pPr>
            <w:r w:rsidRPr="00C75B6E">
              <w:t>NTD record cards.</w:t>
            </w:r>
          </w:p>
        </w:tc>
      </w:tr>
    </w:tbl>
    <w:p w:rsidR="00000000" w:rsidRPr="00C75B6E" w:rsidP="00C75B6E">
      <w:pPr>
        <w:pStyle w:val="BodyText"/>
      </w:pPr>
    </w:p>
    <w:p w:rsidR="00000000" w:rsidRPr="00C75B6E" w:rsidP="00C75B6E">
      <w:pPr>
        <w:pStyle w:val="AllowPageBreak"/>
      </w:pPr>
    </w:p>
    <w:p w:rsidR="00000000" w:rsidRPr="00C75B6E" w:rsidP="00C75B6E">
      <w:pPr>
        <w:pStyle w:val="Heading1"/>
      </w:pPr>
      <w:bookmarkStart w:id="12" w:name="O_639462"/>
      <w:bookmarkEnd w:id="12"/>
      <w:r w:rsidRPr="00C75B6E">
        <w:t>Unit Sector(s)</w:t>
      </w:r>
    </w:p>
    <w:p w:rsidR="00000000" w:rsidRPr="00C75B6E" w:rsidP="00C75B6E">
      <w:pPr>
        <w:pStyle w:val="BodyText"/>
      </w:pPr>
      <w:r w:rsidRPr="00C75B6E">
        <w:t>Telecommunications - Cabling</w:t>
      </w:r>
    </w:p>
    <w:p w:rsidR="00000000" w:rsidRPr="00C75B6E" w:rsidP="00C75B6E"/>
    <w:sectPr w:rsidSect="00C75B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6E" w:rsidRPr="00D2532D" w:rsidP="00D25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2D" w:rsidP="00C75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2532D" w:rsidP="00C75B6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532D" w:rsidP="00C75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6E" w:rsidRPr="00D2532D" w:rsidP="00D253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2D" w:rsidRPr="002D2AF8" w:rsidP="00C75B6E">
    <w:pPr>
      <w:pStyle w:val="Header"/>
      <w:framePr w:wrap="around"/>
    </w:pPr>
    <w:r>
      <w:fldChar w:fldCharType="begin"/>
    </w:r>
    <w:r>
      <w:instrText xml:space="preserve"> TITLE   \* MERGEFORMAT </w:instrText>
    </w:r>
    <w:r>
      <w:fldChar w:fldCharType="separate"/>
    </w:r>
    <w:r>
      <w:t>ICTCBL3009B Install, terminate and certify structured cabling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D2532D" w:rsidP="00C75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63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C23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04B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B6E"/>
    <w:pPr>
      <w:spacing w:before="360" w:after="60"/>
      <w:outlineLvl w:val="0"/>
    </w:pPr>
    <w:rPr>
      <w:sz w:val="32"/>
    </w:rPr>
  </w:style>
  <w:style w:type="paragraph" w:styleId="Heading2">
    <w:name w:val="heading 2"/>
    <w:basedOn w:val="HeadingBase"/>
    <w:next w:val="BodyText"/>
    <w:link w:val="Heading2Char"/>
    <w:qFormat/>
    <w:rsid w:val="00C75B6E"/>
    <w:pPr>
      <w:keepLines/>
      <w:spacing w:before="240" w:after="120"/>
      <w:outlineLvl w:val="1"/>
    </w:pPr>
    <w:rPr>
      <w:sz w:val="28"/>
      <w:szCs w:val="40"/>
    </w:rPr>
  </w:style>
  <w:style w:type="paragraph" w:styleId="Heading3">
    <w:name w:val="heading 3"/>
    <w:basedOn w:val="HeadingBase"/>
    <w:next w:val="BodyText"/>
    <w:link w:val="Heading3Char"/>
    <w:qFormat/>
    <w:rsid w:val="00C75B6E"/>
    <w:pPr>
      <w:spacing w:before="180" w:after="120"/>
      <w:outlineLvl w:val="2"/>
    </w:pPr>
    <w:rPr>
      <w:spacing w:val="-10"/>
      <w:kern w:val="32"/>
    </w:rPr>
  </w:style>
  <w:style w:type="paragraph" w:styleId="Heading4">
    <w:name w:val="heading 4"/>
    <w:basedOn w:val="HeadingBase"/>
    <w:next w:val="BodyText"/>
    <w:link w:val="Heading4Char"/>
    <w:qFormat/>
    <w:rsid w:val="00C75B6E"/>
    <w:pPr>
      <w:spacing w:before="160" w:after="120"/>
      <w:outlineLvl w:val="3"/>
    </w:pPr>
    <w:rPr>
      <w:sz w:val="22"/>
    </w:rPr>
  </w:style>
  <w:style w:type="paragraph" w:styleId="Heading5">
    <w:name w:val="heading 5"/>
    <w:basedOn w:val="HeadingBase"/>
    <w:next w:val="Normal"/>
    <w:link w:val="Heading5Char"/>
    <w:qFormat/>
    <w:rsid w:val="00C75B6E"/>
    <w:pPr>
      <w:spacing w:before="80"/>
      <w:outlineLvl w:val="4"/>
    </w:pPr>
    <w:rPr>
      <w:color w:val="918585"/>
      <w:sz w:val="20"/>
    </w:rPr>
  </w:style>
  <w:style w:type="paragraph" w:styleId="Heading6">
    <w:name w:val="heading 6"/>
    <w:basedOn w:val="HeadingBase"/>
    <w:next w:val="Normal"/>
    <w:link w:val="Heading6Char"/>
    <w:qFormat/>
    <w:rsid w:val="00C75B6E"/>
    <w:pPr>
      <w:spacing w:before="60"/>
      <w:outlineLvl w:val="5"/>
    </w:pPr>
    <w:rPr>
      <w:color w:val="918585"/>
      <w:sz w:val="20"/>
    </w:rPr>
  </w:style>
  <w:style w:type="paragraph" w:styleId="Heading7">
    <w:name w:val="heading 7"/>
    <w:basedOn w:val="Normal"/>
    <w:next w:val="Normal"/>
    <w:link w:val="Heading7Char"/>
    <w:qFormat/>
    <w:rsid w:val="00C75B6E"/>
    <w:pPr>
      <w:ind w:left="720"/>
      <w:outlineLvl w:val="6"/>
    </w:pPr>
    <w:rPr>
      <w:i/>
    </w:rPr>
  </w:style>
  <w:style w:type="paragraph" w:styleId="Heading8">
    <w:name w:val="heading 8"/>
    <w:basedOn w:val="Normal"/>
    <w:next w:val="Normal"/>
    <w:link w:val="Heading8Char"/>
    <w:qFormat/>
    <w:rsid w:val="00C75B6E"/>
    <w:pPr>
      <w:ind w:left="720"/>
      <w:outlineLvl w:val="7"/>
    </w:pPr>
    <w:rPr>
      <w:i/>
    </w:rPr>
  </w:style>
  <w:style w:type="paragraph" w:styleId="Heading9">
    <w:name w:val="heading 9"/>
    <w:basedOn w:val="Normal"/>
    <w:next w:val="Normal"/>
    <w:link w:val="Heading9Char"/>
    <w:qFormat/>
    <w:rsid w:val="00C75B6E"/>
    <w:pPr>
      <w:ind w:left="720"/>
      <w:outlineLvl w:val="8"/>
    </w:pPr>
    <w:rPr>
      <w:i/>
    </w:rPr>
  </w:style>
  <w:style w:type="character" w:default="1" w:styleId="DefaultParagraphFont">
    <w:name w:val="Default Paragraph Font"/>
    <w:uiPriority w:val="1"/>
    <w:unhideWhenUsed/>
    <w:rsid w:val="00C75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B6E"/>
  </w:style>
  <w:style w:type="character" w:customStyle="1" w:styleId="Heading1Char">
    <w:name w:val="Heading 1 Char"/>
    <w:basedOn w:val="DefaultParagraphFont"/>
    <w:link w:val="Heading1"/>
    <w:rsid w:val="00C75B6E"/>
    <w:rPr>
      <w:rFonts w:ascii="Times New Roman" w:eastAsia="Times New Roman" w:hAnsi="Times New Roman" w:cs="Times New Roman"/>
      <w:b/>
      <w:sz w:val="32"/>
      <w:szCs w:val="20"/>
      <w:lang w:eastAsia="en-US"/>
    </w:rPr>
  </w:style>
  <w:style w:type="paragraph" w:styleId="BodyText">
    <w:name w:val="Body Text"/>
    <w:basedOn w:val="Normal"/>
    <w:link w:val="BodyTextChar"/>
    <w:rsid w:val="00C75B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B6E"/>
    <w:rPr>
      <w:rFonts w:ascii="Times New Roman" w:eastAsia="Times New Roman" w:hAnsi="Times New Roman" w:cs="Times New Roman"/>
      <w:sz w:val="24"/>
      <w:lang w:eastAsia="en-US"/>
    </w:rPr>
  </w:style>
  <w:style w:type="paragraph" w:styleId="ListBullet">
    <w:name w:val="List Bullet"/>
    <w:basedOn w:val="List"/>
    <w:rsid w:val="00C75B6E"/>
    <w:pPr>
      <w:numPr>
        <w:numId w:val="14"/>
      </w:numPr>
      <w:tabs>
        <w:tab w:val="clear" w:pos="340"/>
      </w:tabs>
      <w:spacing w:before="40" w:after="40"/>
    </w:pPr>
  </w:style>
  <w:style w:type="character" w:customStyle="1" w:styleId="SpecialBold">
    <w:name w:val="Special Bold"/>
    <w:basedOn w:val="DefaultParagraphFont"/>
    <w:rsid w:val="00C75B6E"/>
    <w:rPr>
      <w:b/>
      <w:spacing w:val="0"/>
    </w:rPr>
  </w:style>
  <w:style w:type="paragraph" w:styleId="ListBullet2">
    <w:name w:val="List Bullet 2"/>
    <w:basedOn w:val="List2"/>
    <w:rsid w:val="00C75B6E"/>
    <w:pPr>
      <w:numPr>
        <w:numId w:val="15"/>
      </w:numPr>
      <w:tabs>
        <w:tab w:val="clear" w:pos="680"/>
      </w:tabs>
    </w:pPr>
  </w:style>
  <w:style w:type="character" w:styleId="Emphasis">
    <w:name w:val="Emphasis"/>
    <w:basedOn w:val="DefaultParagraphFont"/>
    <w:qFormat/>
    <w:rsid w:val="00C75B6E"/>
    <w:rPr>
      <w:i/>
    </w:rPr>
  </w:style>
  <w:style w:type="paragraph" w:customStyle="1" w:styleId="SuperHeading">
    <w:name w:val="SuperHeading"/>
    <w:basedOn w:val="Normal"/>
    <w:rsid w:val="00C75B6E"/>
    <w:pPr>
      <w:spacing w:before="240" w:after="120"/>
      <w:outlineLvl w:val="0"/>
    </w:pPr>
    <w:rPr>
      <w:rFonts w:ascii="Times New Roman" w:hAnsi="Times New Roman"/>
      <w:b/>
      <w:sz w:val="32"/>
    </w:rPr>
  </w:style>
  <w:style w:type="paragraph" w:customStyle="1" w:styleId="AllowPageBreak">
    <w:name w:val="AllowPageBreak"/>
    <w:rsid w:val="00C75B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5B6E"/>
    <w:pPr>
      <w:numPr>
        <w:numId w:val="3"/>
      </w:numPr>
      <w:tabs>
        <w:tab w:val="clear" w:pos="1021"/>
      </w:tabs>
      <w:ind w:left="1037" w:hanging="357"/>
    </w:pPr>
  </w:style>
  <w:style w:type="character" w:customStyle="1" w:styleId="BoldandItalics">
    <w:name w:val="Bold and Italics"/>
    <w:qFormat/>
    <w:rsid w:val="00C75B6E"/>
    <w:rPr>
      <w:b/>
      <w:i/>
      <w:u w:val="none"/>
    </w:rPr>
  </w:style>
  <w:style w:type="character" w:customStyle="1" w:styleId="Heading2Char">
    <w:name w:val="Heading 2 Char"/>
    <w:basedOn w:val="DefaultParagraphFont"/>
    <w:link w:val="Heading2"/>
    <w:rsid w:val="00C75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B6E"/>
    <w:rPr>
      <w:rFonts w:ascii="Courier New" w:eastAsia="Times New Roman" w:hAnsi="Courier New" w:cs="Times New Roman"/>
      <w:i/>
      <w:szCs w:val="20"/>
      <w:lang w:eastAsia="en-US"/>
    </w:rPr>
  </w:style>
  <w:style w:type="paragraph" w:customStyle="1" w:styleId="HeadingBase">
    <w:name w:val="Heading Base"/>
    <w:rsid w:val="00C75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B6E"/>
    <w:pPr>
      <w:tabs>
        <w:tab w:val="right" w:leader="dot" w:pos="9072"/>
      </w:tabs>
      <w:ind w:left="567"/>
    </w:pPr>
    <w:rPr>
      <w:szCs w:val="22"/>
    </w:rPr>
  </w:style>
  <w:style w:type="paragraph" w:customStyle="1" w:styleId="TOCBase">
    <w:name w:val="TOC Base"/>
    <w:rsid w:val="00C75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B6E"/>
    <w:pPr>
      <w:tabs>
        <w:tab w:val="right" w:leader="dot" w:pos="9072"/>
      </w:tabs>
      <w:spacing w:before="40" w:after="40"/>
      <w:ind w:left="284"/>
    </w:pPr>
    <w:rPr>
      <w:rFonts w:ascii="Times New Roman" w:hAnsi="Times New Roman"/>
    </w:rPr>
  </w:style>
  <w:style w:type="paragraph" w:styleId="TOC1">
    <w:name w:val="toc 1"/>
    <w:basedOn w:val="TOCBase"/>
    <w:next w:val="Normal"/>
    <w:rsid w:val="00C75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B6E"/>
    <w:rPr>
      <w:rFonts w:ascii="Times New Roman" w:eastAsia="Times New Roman" w:hAnsi="Times New Roman" w:cs="Times New Roman"/>
      <w:sz w:val="16"/>
      <w:lang w:eastAsia="en-US"/>
    </w:rPr>
  </w:style>
  <w:style w:type="paragraph" w:styleId="Title">
    <w:name w:val="Title"/>
    <w:basedOn w:val="HeadingBase"/>
    <w:link w:val="TitleChar"/>
    <w:qFormat/>
    <w:rsid w:val="00C75B6E"/>
    <w:pPr>
      <w:spacing w:before="5040"/>
      <w:jc w:val="center"/>
    </w:pPr>
    <w:rPr>
      <w:sz w:val="48"/>
      <w:szCs w:val="72"/>
      <w:lang w:val="en-US"/>
    </w:rPr>
  </w:style>
  <w:style w:type="character" w:customStyle="1" w:styleId="TitleChar">
    <w:name w:val="Title Char"/>
    <w:basedOn w:val="DefaultParagraphFont"/>
    <w:link w:val="Title"/>
    <w:rsid w:val="00C75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B6E"/>
    <w:pPr>
      <w:tabs>
        <w:tab w:val="left" w:pos="3600"/>
        <w:tab w:val="left" w:pos="3958"/>
      </w:tabs>
    </w:pPr>
  </w:style>
  <w:style w:type="paragraph" w:styleId="List">
    <w:name w:val="List"/>
    <w:basedOn w:val="BodyText"/>
    <w:next w:val="BodyText"/>
    <w:rsid w:val="00C75B6E"/>
    <w:pPr>
      <w:tabs>
        <w:tab w:val="left" w:pos="340"/>
      </w:tabs>
      <w:spacing w:before="60" w:after="60"/>
      <w:ind w:left="340" w:hanging="340"/>
    </w:pPr>
  </w:style>
  <w:style w:type="paragraph" w:customStyle="1" w:styleId="Note">
    <w:name w:val="Note"/>
    <w:basedOn w:val="BodyText"/>
    <w:rsid w:val="00C75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B6E"/>
    <w:pPr>
      <w:framePr w:wrap="auto" w:hAnchor="text" w:y="6049"/>
    </w:pPr>
    <w:rPr>
      <w:color w:val="000000"/>
      <w:sz w:val="40"/>
    </w:rPr>
  </w:style>
  <w:style w:type="paragraph" w:customStyle="1" w:styleId="TOCTitle">
    <w:name w:val="TOCTitle"/>
    <w:basedOn w:val="Heading1"/>
    <w:rsid w:val="00C75B6E"/>
    <w:pPr>
      <w:spacing w:after="240"/>
      <w:jc w:val="center"/>
      <w:outlineLvl w:val="9"/>
    </w:pPr>
    <w:rPr>
      <w:caps/>
    </w:rPr>
  </w:style>
  <w:style w:type="paragraph" w:customStyle="1" w:styleId="Version">
    <w:name w:val="Version"/>
    <w:rsid w:val="00C75B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B6E"/>
    <w:pPr>
      <w:keepNext w:val="0"/>
      <w:tabs>
        <w:tab w:val="right" w:pos="4176"/>
      </w:tabs>
      <w:ind w:left="198" w:hanging="198"/>
    </w:pPr>
    <w:rPr>
      <w:rFonts w:ascii="Garamond" w:hAnsi="Garamond"/>
    </w:rPr>
  </w:style>
  <w:style w:type="paragraph" w:styleId="IndexHeading">
    <w:name w:val="index heading"/>
    <w:basedOn w:val="Normal"/>
    <w:next w:val="Index1"/>
    <w:semiHidden/>
    <w:rsid w:val="00C75B6E"/>
    <w:pPr>
      <w:spacing w:before="120" w:after="120"/>
    </w:pPr>
    <w:rPr>
      <w:rFonts w:ascii="Arial" w:hAnsi="Arial"/>
      <w:b/>
      <w:color w:val="918585"/>
      <w:sz w:val="24"/>
    </w:rPr>
  </w:style>
  <w:style w:type="paragraph" w:styleId="Header">
    <w:name w:val="header"/>
    <w:basedOn w:val="Normal"/>
    <w:link w:val="HeaderChar"/>
    <w:rsid w:val="00C75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B6E"/>
    <w:rPr>
      <w:rFonts w:ascii="Times New Roman" w:eastAsia="Times New Roman" w:hAnsi="Times New Roman" w:cs="Times New Roman"/>
      <w:sz w:val="16"/>
      <w:szCs w:val="20"/>
      <w:lang w:val="en-GB" w:eastAsia="en-US"/>
    </w:rPr>
  </w:style>
  <w:style w:type="paragraph" w:customStyle="1" w:styleId="Chapter">
    <w:name w:val="Chapter"/>
    <w:basedOn w:val="Normal"/>
    <w:rsid w:val="00C75B6E"/>
    <w:pPr>
      <w:spacing w:before="240"/>
    </w:pPr>
    <w:rPr>
      <w:rFonts w:ascii="Times New Roman" w:hAnsi="Times New Roman"/>
      <w:smallCaps/>
      <w:spacing w:val="80"/>
      <w:sz w:val="28"/>
    </w:rPr>
  </w:style>
  <w:style w:type="paragraph" w:customStyle="1" w:styleId="InChapter">
    <w:name w:val="InChapter"/>
    <w:basedOn w:val="Heading3"/>
    <w:rsid w:val="00C75B6E"/>
    <w:pPr>
      <w:spacing w:after="240"/>
      <w:outlineLvl w:val="9"/>
    </w:pPr>
    <w:rPr>
      <w:noProof/>
    </w:rPr>
  </w:style>
  <w:style w:type="paragraph" w:styleId="Index2">
    <w:name w:val="index 2"/>
    <w:basedOn w:val="Normal"/>
    <w:next w:val="Normal"/>
    <w:semiHidden/>
    <w:rsid w:val="00C75B6E"/>
    <w:pPr>
      <w:tabs>
        <w:tab w:val="right" w:pos="4176"/>
      </w:tabs>
      <w:ind w:left="568" w:hanging="284"/>
    </w:pPr>
    <w:rPr>
      <w:rFonts w:ascii="Garamond" w:hAnsi="Garamond"/>
    </w:rPr>
  </w:style>
  <w:style w:type="paragraph" w:customStyle="1" w:styleId="Byline">
    <w:name w:val="Byline"/>
    <w:rsid w:val="00C75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B6E"/>
    <w:pPr>
      <w:tabs>
        <w:tab w:val="clear" w:pos="3600"/>
        <w:tab w:val="clear" w:pos="3958"/>
      </w:tabs>
      <w:jc w:val="right"/>
    </w:pPr>
  </w:style>
  <w:style w:type="paragraph" w:styleId="Caption">
    <w:name w:val="caption"/>
    <w:basedOn w:val="BodyText"/>
    <w:next w:val="Normal"/>
    <w:qFormat/>
    <w:rsid w:val="00C75B6E"/>
    <w:pPr>
      <w:framePr w:w="2268" w:hSpace="181" w:vSpace="181" w:wrap="around" w:vAnchor="text" w:hAnchor="page" w:x="1135" w:y="285" w:anchorLock="1"/>
    </w:pPr>
    <w:rPr>
      <w:i/>
    </w:rPr>
  </w:style>
  <w:style w:type="paragraph" w:customStyle="1" w:styleId="MiniTOCTitle">
    <w:name w:val="MiniTOCTitle"/>
    <w:basedOn w:val="Heading4"/>
    <w:rsid w:val="00C75B6E"/>
    <w:pPr>
      <w:spacing w:before="240"/>
      <w:outlineLvl w:val="9"/>
    </w:pPr>
    <w:rPr>
      <w:noProof/>
      <w:sz w:val="24"/>
    </w:rPr>
  </w:style>
  <w:style w:type="paragraph" w:customStyle="1" w:styleId="MiniTOCItem">
    <w:name w:val="MiniTOCItem"/>
    <w:basedOn w:val="ListBullet"/>
    <w:rsid w:val="00C75B6E"/>
    <w:pPr>
      <w:numPr>
        <w:numId w:val="0"/>
      </w:numPr>
      <w:tabs>
        <w:tab w:val="right" w:leader="dot" w:pos="6521"/>
      </w:tabs>
      <w:spacing w:before="0" w:after="0"/>
    </w:pPr>
  </w:style>
  <w:style w:type="paragraph" w:customStyle="1" w:styleId="TOFTitle">
    <w:name w:val="TOFTitle"/>
    <w:basedOn w:val="TOCTitle"/>
    <w:rsid w:val="00C75B6E"/>
  </w:style>
  <w:style w:type="paragraph" w:styleId="TableofFigures">
    <w:name w:val="table of figures"/>
    <w:basedOn w:val="Normal"/>
    <w:next w:val="Normal"/>
    <w:semiHidden/>
    <w:rsid w:val="00C75B6E"/>
    <w:pPr>
      <w:tabs>
        <w:tab w:val="right" w:leader="dot" w:pos="9072"/>
      </w:tabs>
      <w:ind w:left="970" w:hanging="403"/>
    </w:pPr>
    <w:rPr>
      <w:rFonts w:ascii="Times New Roman" w:hAnsi="Times New Roman"/>
      <w:b/>
    </w:rPr>
  </w:style>
  <w:style w:type="paragraph" w:styleId="ListNumber">
    <w:name w:val="List Number"/>
    <w:basedOn w:val="List"/>
    <w:rsid w:val="00C75B6E"/>
    <w:pPr>
      <w:numPr>
        <w:numId w:val="12"/>
      </w:numPr>
    </w:pPr>
  </w:style>
  <w:style w:type="character" w:customStyle="1" w:styleId="WingdingSymbols">
    <w:name w:val="Wingding Symbols"/>
    <w:rsid w:val="00C75B6E"/>
    <w:rPr>
      <w:rFonts w:ascii="Wingdings" w:hAnsi="Wingdings"/>
    </w:rPr>
  </w:style>
  <w:style w:type="paragraph" w:customStyle="1" w:styleId="TableHeading">
    <w:name w:val="Table Heading"/>
    <w:basedOn w:val="HeadingBase"/>
    <w:rsid w:val="00C75B6E"/>
    <w:pPr>
      <w:keepLines/>
      <w:pBdr>
        <w:bottom w:val="single" w:sz="6" w:space="1" w:color="918585"/>
      </w:pBdr>
      <w:spacing w:before="240"/>
    </w:pPr>
  </w:style>
  <w:style w:type="character" w:customStyle="1" w:styleId="HotSpot">
    <w:name w:val="HotSpot"/>
    <w:rsid w:val="00C75B6E"/>
    <w:rPr>
      <w:color w:val="0033CC"/>
      <w:u w:val="none"/>
    </w:rPr>
  </w:style>
  <w:style w:type="paragraph" w:customStyle="1" w:styleId="BodyTextRight">
    <w:name w:val="Body Text Right"/>
    <w:basedOn w:val="BodyText"/>
    <w:rsid w:val="00C75B6E"/>
    <w:pPr>
      <w:spacing w:before="0" w:after="0"/>
      <w:jc w:val="right"/>
    </w:pPr>
  </w:style>
  <w:style w:type="paragraph" w:styleId="Index3">
    <w:name w:val="index 3"/>
    <w:basedOn w:val="ListNumber2"/>
    <w:next w:val="Normal"/>
    <w:semiHidden/>
    <w:rsid w:val="00C75B6E"/>
    <w:pPr>
      <w:numPr>
        <w:numId w:val="0"/>
      </w:numPr>
      <w:tabs>
        <w:tab w:val="right" w:leader="dot" w:pos="4176"/>
      </w:tabs>
    </w:pPr>
  </w:style>
  <w:style w:type="paragraph" w:styleId="ListNumber2">
    <w:name w:val="List Number 2"/>
    <w:basedOn w:val="List2"/>
    <w:rsid w:val="00C75B6E"/>
    <w:pPr>
      <w:numPr>
        <w:numId w:val="11"/>
      </w:numPr>
      <w:tabs>
        <w:tab w:val="clear" w:pos="1060"/>
      </w:tabs>
    </w:pPr>
  </w:style>
  <w:style w:type="paragraph" w:customStyle="1" w:styleId="MarginNote">
    <w:name w:val="Margin Note"/>
    <w:basedOn w:val="BodyText"/>
    <w:rsid w:val="00C75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B6E"/>
    <w:rPr>
      <w:sz w:val="32"/>
    </w:rPr>
  </w:style>
  <w:style w:type="paragraph" w:customStyle="1" w:styleId="HeadingProcedure">
    <w:name w:val="Heading Procedure"/>
    <w:basedOn w:val="HeadingBase"/>
    <w:next w:val="Normal"/>
    <w:rsid w:val="00C75B6E"/>
    <w:pPr>
      <w:tabs>
        <w:tab w:val="left" w:pos="0"/>
      </w:tabs>
      <w:spacing w:before="120" w:after="60"/>
    </w:pPr>
    <w:rPr>
      <w:i/>
      <w:color w:val="918585"/>
      <w:sz w:val="22"/>
    </w:rPr>
  </w:style>
  <w:style w:type="paragraph" w:customStyle="1" w:styleId="TableBodyText">
    <w:name w:val="Table Body Text"/>
    <w:basedOn w:val="BodyText"/>
    <w:rsid w:val="00C75B6E"/>
    <w:pPr>
      <w:spacing w:before="60" w:after="60"/>
    </w:pPr>
  </w:style>
  <w:style w:type="paragraph" w:styleId="ListContinue">
    <w:name w:val="List Continue"/>
    <w:basedOn w:val="List"/>
    <w:rsid w:val="00C75B6E"/>
    <w:pPr>
      <w:ind w:firstLine="0"/>
    </w:pPr>
  </w:style>
  <w:style w:type="paragraph" w:customStyle="1" w:styleId="ListNote">
    <w:name w:val="List Note"/>
    <w:basedOn w:val="List"/>
    <w:rsid w:val="00C75B6E"/>
    <w:pPr>
      <w:pBdr>
        <w:top w:val="single" w:sz="6" w:space="2" w:color="918585"/>
        <w:bottom w:val="single" w:sz="6" w:space="2" w:color="918585"/>
      </w:pBdr>
      <w:tabs>
        <w:tab w:val="left" w:pos="1021"/>
      </w:tabs>
      <w:ind w:firstLine="0"/>
    </w:pPr>
  </w:style>
  <w:style w:type="paragraph" w:customStyle="1" w:styleId="Warning">
    <w:name w:val="Warning"/>
    <w:basedOn w:val="BodyText"/>
    <w:rsid w:val="00C75B6E"/>
    <w:pPr>
      <w:shd w:val="clear" w:color="auto" w:fill="D9D9D9"/>
      <w:tabs>
        <w:tab w:val="left" w:pos="992"/>
      </w:tabs>
      <w:ind w:left="119" w:right="119"/>
    </w:pPr>
    <w:rPr>
      <w:sz w:val="20"/>
    </w:rPr>
  </w:style>
  <w:style w:type="paragraph" w:customStyle="1" w:styleId="MarginIcons">
    <w:name w:val="Margin Icons"/>
    <w:basedOn w:val="BodyText"/>
    <w:rsid w:val="00C75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B6E"/>
    <w:rPr>
      <w:rFonts w:ascii="Courier New" w:hAnsi="Courier New"/>
    </w:rPr>
  </w:style>
  <w:style w:type="paragraph" w:customStyle="1" w:styleId="NoteBullet">
    <w:name w:val="Note Bullet"/>
    <w:basedOn w:val="Note"/>
    <w:rsid w:val="00C75B6E"/>
    <w:pPr>
      <w:tabs>
        <w:tab w:val="clear" w:pos="680"/>
      </w:tabs>
      <w:spacing w:before="60" w:after="60"/>
    </w:pPr>
  </w:style>
  <w:style w:type="paragraph" w:customStyle="1" w:styleId="SubHeading2">
    <w:name w:val="SubHeading2"/>
    <w:basedOn w:val="HeadingBase"/>
    <w:rsid w:val="00C75B6E"/>
    <w:pPr>
      <w:spacing w:before="240" w:after="60"/>
    </w:pPr>
    <w:rPr>
      <w:sz w:val="20"/>
    </w:rPr>
  </w:style>
  <w:style w:type="paragraph" w:customStyle="1" w:styleId="SubHeading1">
    <w:name w:val="SubHeading1"/>
    <w:basedOn w:val="HeadingBase"/>
    <w:rsid w:val="00C75B6E"/>
    <w:pPr>
      <w:spacing w:before="240" w:after="60"/>
    </w:pPr>
    <w:rPr>
      <w:color w:val="918585"/>
      <w:sz w:val="22"/>
    </w:rPr>
  </w:style>
  <w:style w:type="paragraph" w:customStyle="1" w:styleId="SideHeading">
    <w:name w:val="Side Heading"/>
    <w:basedOn w:val="HeadingBase"/>
    <w:rsid w:val="00C75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B6E"/>
    <w:pPr>
      <w:numPr>
        <w:numId w:val="13"/>
      </w:numPr>
    </w:pPr>
  </w:style>
  <w:style w:type="paragraph" w:styleId="PlainText">
    <w:name w:val="Plain Text"/>
    <w:basedOn w:val="Normal"/>
    <w:link w:val="PlainTextChar"/>
    <w:rsid w:val="00C75B6E"/>
    <w:rPr>
      <w:sz w:val="20"/>
    </w:rPr>
  </w:style>
  <w:style w:type="character" w:customStyle="1" w:styleId="PlainTextChar">
    <w:name w:val="Plain Text Char"/>
    <w:basedOn w:val="DefaultParagraphFont"/>
    <w:link w:val="PlainText"/>
    <w:rsid w:val="00C75B6E"/>
    <w:rPr>
      <w:rFonts w:ascii="Courier New" w:eastAsia="Times New Roman" w:hAnsi="Courier New" w:cs="Times New Roman"/>
      <w:sz w:val="20"/>
      <w:szCs w:val="20"/>
      <w:lang w:eastAsia="en-US"/>
    </w:rPr>
  </w:style>
  <w:style w:type="character" w:customStyle="1" w:styleId="MenuOption">
    <w:name w:val="Menu Option"/>
    <w:basedOn w:val="DefaultParagraphFont"/>
    <w:rsid w:val="00C75B6E"/>
    <w:rPr>
      <w:b/>
      <w:smallCaps/>
    </w:rPr>
  </w:style>
  <w:style w:type="paragraph" w:customStyle="1" w:styleId="TableListNumber">
    <w:name w:val="Table List Number"/>
    <w:basedOn w:val="ListNumber"/>
    <w:rsid w:val="00C75B6E"/>
    <w:pPr>
      <w:numPr>
        <w:numId w:val="0"/>
      </w:numPr>
    </w:pPr>
  </w:style>
  <w:style w:type="paragraph" w:styleId="TOC4">
    <w:name w:val="toc 4"/>
    <w:basedOn w:val="TOCBase"/>
    <w:next w:val="Normal"/>
    <w:semiHidden/>
    <w:rsid w:val="00C75B6E"/>
    <w:pPr>
      <w:tabs>
        <w:tab w:val="right" w:leader="dot" w:pos="9071"/>
      </w:tabs>
      <w:ind w:left="1701"/>
    </w:pPr>
  </w:style>
  <w:style w:type="paragraph" w:customStyle="1" w:styleId="ListAlpha">
    <w:name w:val="List Alpha"/>
    <w:basedOn w:val="List"/>
    <w:rsid w:val="00C75B6E"/>
    <w:pPr>
      <w:numPr>
        <w:numId w:val="10"/>
      </w:numPr>
    </w:pPr>
  </w:style>
  <w:style w:type="paragraph" w:customStyle="1" w:styleId="ListAlpha2">
    <w:name w:val="List Alpha 2"/>
    <w:basedOn w:val="List2"/>
    <w:rsid w:val="00C75B6E"/>
    <w:pPr>
      <w:numPr>
        <w:numId w:val="9"/>
      </w:numPr>
    </w:pPr>
  </w:style>
  <w:style w:type="paragraph" w:styleId="List2">
    <w:name w:val="List 2"/>
    <w:basedOn w:val="BodyText"/>
    <w:rsid w:val="00C75B6E"/>
    <w:pPr>
      <w:tabs>
        <w:tab w:val="left" w:pos="680"/>
      </w:tabs>
      <w:spacing w:before="60" w:after="60"/>
      <w:ind w:left="680" w:hanging="340"/>
    </w:pPr>
  </w:style>
  <w:style w:type="paragraph" w:styleId="List3">
    <w:name w:val="List 3"/>
    <w:basedOn w:val="BodyText"/>
    <w:rsid w:val="00C75B6E"/>
    <w:pPr>
      <w:tabs>
        <w:tab w:val="left" w:pos="1021"/>
      </w:tabs>
      <w:spacing w:before="60" w:after="60"/>
      <w:ind w:left="1020" w:hanging="340"/>
    </w:pPr>
  </w:style>
  <w:style w:type="paragraph" w:styleId="List4">
    <w:name w:val="List 4"/>
    <w:basedOn w:val="BodyText"/>
    <w:rsid w:val="00C75B6E"/>
    <w:pPr>
      <w:tabs>
        <w:tab w:val="left" w:pos="1361"/>
      </w:tabs>
      <w:spacing w:before="60" w:after="60"/>
      <w:ind w:left="1361" w:hanging="340"/>
    </w:pPr>
  </w:style>
  <w:style w:type="paragraph" w:styleId="List5">
    <w:name w:val="List 5"/>
    <w:basedOn w:val="BodyText"/>
    <w:rsid w:val="00C75B6E"/>
    <w:pPr>
      <w:tabs>
        <w:tab w:val="left" w:pos="1701"/>
      </w:tabs>
      <w:spacing w:before="60" w:after="60"/>
      <w:ind w:left="1701" w:hanging="340"/>
    </w:pPr>
  </w:style>
  <w:style w:type="paragraph" w:styleId="ListBullet4">
    <w:name w:val="List Bullet 4"/>
    <w:basedOn w:val="List4"/>
    <w:rsid w:val="00C75B6E"/>
    <w:pPr>
      <w:numPr>
        <w:numId w:val="4"/>
      </w:numPr>
    </w:pPr>
  </w:style>
  <w:style w:type="paragraph" w:styleId="ListBullet5">
    <w:name w:val="List Bullet 5"/>
    <w:basedOn w:val="List5"/>
    <w:rsid w:val="00C75B6E"/>
    <w:pPr>
      <w:numPr>
        <w:numId w:val="5"/>
      </w:numPr>
    </w:pPr>
  </w:style>
  <w:style w:type="paragraph" w:styleId="ListContinue2">
    <w:name w:val="List Continue 2"/>
    <w:basedOn w:val="List2"/>
    <w:rsid w:val="00C75B6E"/>
    <w:pPr>
      <w:ind w:firstLine="0"/>
    </w:pPr>
  </w:style>
  <w:style w:type="paragraph" w:styleId="ListContinue3">
    <w:name w:val="List Continue 3"/>
    <w:basedOn w:val="List3"/>
    <w:rsid w:val="00C75B6E"/>
    <w:pPr>
      <w:ind w:left="1021" w:firstLine="0"/>
    </w:pPr>
  </w:style>
  <w:style w:type="paragraph" w:styleId="ListContinue4">
    <w:name w:val="List Continue 4"/>
    <w:basedOn w:val="List4"/>
    <w:rsid w:val="00C75B6E"/>
    <w:pPr>
      <w:ind w:firstLine="0"/>
    </w:pPr>
  </w:style>
  <w:style w:type="paragraph" w:styleId="ListContinue5">
    <w:name w:val="List Continue 5"/>
    <w:basedOn w:val="List5"/>
    <w:rsid w:val="00C75B6E"/>
    <w:pPr>
      <w:ind w:firstLine="0"/>
    </w:pPr>
  </w:style>
  <w:style w:type="paragraph" w:styleId="ListNumber3">
    <w:name w:val="List Number 3"/>
    <w:basedOn w:val="List3"/>
    <w:rsid w:val="00C75B6E"/>
    <w:pPr>
      <w:numPr>
        <w:numId w:val="6"/>
      </w:numPr>
    </w:pPr>
  </w:style>
  <w:style w:type="paragraph" w:styleId="ListNumber4">
    <w:name w:val="List Number 4"/>
    <w:basedOn w:val="List4"/>
    <w:rsid w:val="00C75B6E"/>
    <w:pPr>
      <w:numPr>
        <w:numId w:val="7"/>
      </w:numPr>
    </w:pPr>
  </w:style>
  <w:style w:type="paragraph" w:styleId="ListNumber5">
    <w:name w:val="List Number 5"/>
    <w:basedOn w:val="List5"/>
    <w:rsid w:val="00C75B6E"/>
    <w:pPr>
      <w:numPr>
        <w:numId w:val="8"/>
      </w:numPr>
    </w:pPr>
  </w:style>
  <w:style w:type="paragraph" w:styleId="BlockText">
    <w:name w:val="Block Text"/>
    <w:basedOn w:val="Normal"/>
    <w:rsid w:val="00C75B6E"/>
    <w:pPr>
      <w:spacing w:after="120"/>
      <w:ind w:left="1440" w:right="1440"/>
    </w:pPr>
  </w:style>
  <w:style w:type="character" w:customStyle="1" w:styleId="Subscript">
    <w:name w:val="Subscript"/>
    <w:basedOn w:val="DefaultParagraphFont"/>
    <w:rsid w:val="00C75B6E"/>
    <w:rPr>
      <w:sz w:val="16"/>
      <w:vertAlign w:val="subscript"/>
    </w:rPr>
  </w:style>
  <w:style w:type="character" w:customStyle="1" w:styleId="Superscript">
    <w:name w:val="Superscript"/>
    <w:basedOn w:val="DefaultParagraphFont"/>
    <w:rsid w:val="00C75B6E"/>
    <w:rPr>
      <w:sz w:val="16"/>
      <w:vertAlign w:val="superscript"/>
    </w:rPr>
  </w:style>
  <w:style w:type="character" w:customStyle="1" w:styleId="Symbols">
    <w:name w:val="Symbols"/>
    <w:basedOn w:val="DefaultParagraphFont"/>
    <w:rsid w:val="00C75B6E"/>
    <w:rPr>
      <w:rFonts w:ascii="Symbol" w:hAnsi="Symbol"/>
    </w:rPr>
  </w:style>
  <w:style w:type="character" w:customStyle="1" w:styleId="MenuOptions">
    <w:name w:val="Menu Options"/>
    <w:basedOn w:val="DefaultParagraphFont"/>
    <w:rsid w:val="00C75B6E"/>
    <w:rPr>
      <w:rFonts w:ascii="Arial Narrow" w:hAnsi="Arial Narrow"/>
      <w:smallCaps/>
    </w:rPr>
  </w:style>
  <w:style w:type="character" w:customStyle="1" w:styleId="Buttons">
    <w:name w:val="Buttons"/>
    <w:basedOn w:val="DefaultParagraphFont"/>
    <w:rsid w:val="00C75B6E"/>
    <w:rPr>
      <w:b/>
    </w:rPr>
  </w:style>
  <w:style w:type="character" w:customStyle="1" w:styleId="Underlined">
    <w:name w:val="Underlined"/>
    <w:basedOn w:val="DefaultParagraphFont"/>
    <w:rsid w:val="00C75B6E"/>
    <w:rPr>
      <w:u w:val="single"/>
    </w:rPr>
  </w:style>
  <w:style w:type="paragraph" w:customStyle="1" w:styleId="TableBodyTextRight">
    <w:name w:val="Table Body Text Right"/>
    <w:basedOn w:val="TableBodyText"/>
    <w:rsid w:val="00C75B6E"/>
    <w:pPr>
      <w:widowControl w:val="0"/>
      <w:autoSpaceDE w:val="0"/>
      <w:autoSpaceDN w:val="0"/>
      <w:adjustRightInd w:val="0"/>
      <w:jc w:val="right"/>
    </w:pPr>
    <w:rPr>
      <w:rFonts w:cs="Arial"/>
      <w:szCs w:val="18"/>
    </w:rPr>
  </w:style>
  <w:style w:type="paragraph" w:customStyle="1" w:styleId="CopyrightText">
    <w:name w:val="Copyright Text"/>
    <w:basedOn w:val="BodyText"/>
    <w:rsid w:val="00C75B6E"/>
    <w:rPr>
      <w:sz w:val="18"/>
    </w:rPr>
  </w:style>
  <w:style w:type="paragraph" w:customStyle="1" w:styleId="BodySmallRight">
    <w:name w:val="Body Small Right"/>
    <w:basedOn w:val="BodyTextRight"/>
    <w:rsid w:val="00C75B6E"/>
    <w:rPr>
      <w:sz w:val="18"/>
      <w:szCs w:val="18"/>
    </w:rPr>
  </w:style>
  <w:style w:type="paragraph" w:customStyle="1" w:styleId="MarginEdition">
    <w:name w:val="Margin Edition"/>
    <w:basedOn w:val="MarginNote"/>
    <w:rsid w:val="00C75B6E"/>
    <w:pPr>
      <w:spacing w:before="0" w:after="0"/>
    </w:pPr>
    <w:rPr>
      <w:rFonts w:ascii="Times New Roman" w:hAnsi="Times New Roman"/>
      <w:color w:val="999999"/>
    </w:rPr>
  </w:style>
  <w:style w:type="paragraph" w:customStyle="1" w:styleId="Spacer">
    <w:name w:val="Spacer"/>
    <w:basedOn w:val="Normal"/>
    <w:rsid w:val="00C75B6E"/>
    <w:rPr>
      <w:sz w:val="2"/>
      <w:szCs w:val="2"/>
    </w:rPr>
  </w:style>
  <w:style w:type="character" w:customStyle="1" w:styleId="Small">
    <w:name w:val="Small"/>
    <w:basedOn w:val="DefaultParagraphFont"/>
    <w:rsid w:val="00C75B6E"/>
    <w:rPr>
      <w:sz w:val="16"/>
    </w:rPr>
  </w:style>
  <w:style w:type="paragraph" w:customStyle="1" w:styleId="WideTable">
    <w:name w:val="Wide Table"/>
    <w:basedOn w:val="Normal"/>
    <w:rsid w:val="00C75B6E"/>
    <w:pPr>
      <w:ind w:left="-1418"/>
    </w:pPr>
    <w:rPr>
      <w:sz w:val="2"/>
      <w:szCs w:val="2"/>
    </w:rPr>
  </w:style>
  <w:style w:type="character" w:styleId="PageNumber">
    <w:name w:val="page number"/>
    <w:basedOn w:val="DefaultParagraphFont"/>
    <w:rsid w:val="00C75B6E"/>
  </w:style>
  <w:style w:type="paragraph" w:styleId="Quote">
    <w:name w:val="Quote"/>
    <w:basedOn w:val="Heading1"/>
    <w:link w:val="QuoteChar"/>
    <w:qFormat/>
    <w:rsid w:val="00C75B6E"/>
    <w:rPr>
      <w:b w:val="0"/>
      <w:sz w:val="72"/>
      <w:szCs w:val="72"/>
      <w:lang w:val="en-NZ"/>
    </w:rPr>
  </w:style>
  <w:style w:type="character" w:customStyle="1" w:styleId="QuoteChar">
    <w:name w:val="Quote Char"/>
    <w:basedOn w:val="DefaultParagraphFont"/>
    <w:link w:val="Quote"/>
    <w:rsid w:val="00C75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B6E"/>
    <w:pPr>
      <w:pageBreakBefore/>
    </w:pPr>
  </w:style>
  <w:style w:type="paragraph" w:customStyle="1" w:styleId="Border">
    <w:name w:val="Border"/>
    <w:basedOn w:val="Normal"/>
    <w:qFormat/>
    <w:rsid w:val="00C75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B6E"/>
    <w:rPr>
      <w:b/>
      <w:bCs/>
      <w:i/>
      <w:iCs/>
      <w:color w:val="auto"/>
    </w:rPr>
  </w:style>
  <w:style w:type="paragraph" w:styleId="IntenseQuote">
    <w:name w:val="Intense Quote"/>
    <w:basedOn w:val="Normal"/>
    <w:next w:val="Normal"/>
    <w:link w:val="IntenseQuoteChar"/>
    <w:uiPriority w:val="30"/>
    <w:qFormat/>
    <w:rsid w:val="00C75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B6E"/>
    <w:rPr>
      <w:smallCaps/>
      <w:color w:val="auto"/>
      <w:u w:val="single"/>
    </w:rPr>
  </w:style>
  <w:style w:type="character" w:styleId="IntenseReference">
    <w:name w:val="Intense Reference"/>
    <w:basedOn w:val="DefaultParagraphFont"/>
    <w:uiPriority w:val="32"/>
    <w:qFormat/>
    <w:rsid w:val="00C75B6E"/>
    <w:rPr>
      <w:b/>
      <w:bCs/>
      <w:smallCaps/>
      <w:color w:val="auto"/>
      <w:spacing w:val="5"/>
      <w:u w:val="single"/>
    </w:rPr>
  </w:style>
  <w:style w:type="paragraph" w:customStyle="1" w:styleId="2ColumnHeading">
    <w:name w:val="2Column Heading"/>
    <w:basedOn w:val="BodyText"/>
    <w:qFormat/>
    <w:rsid w:val="00C75B6E"/>
    <w:pPr>
      <w:spacing w:after="60"/>
      <w:ind w:left="-2268"/>
    </w:pPr>
    <w:rPr>
      <w:b/>
    </w:rPr>
  </w:style>
  <w:style w:type="paragraph" w:customStyle="1" w:styleId="Heading1TOC">
    <w:name w:val="Heading1 TOC"/>
    <w:basedOn w:val="Normal"/>
    <w:qFormat/>
    <w:rsid w:val="00C75B6E"/>
    <w:pPr>
      <w:spacing w:before="240" w:after="120"/>
    </w:pPr>
    <w:rPr>
      <w:rFonts w:ascii="Times New Roman" w:hAnsi="Times New Roman"/>
      <w:b/>
      <w:sz w:val="32"/>
    </w:rPr>
  </w:style>
  <w:style w:type="paragraph" w:customStyle="1" w:styleId="Heading2TOC">
    <w:name w:val="Heading2 TOC"/>
    <w:basedOn w:val="Normal"/>
    <w:qFormat/>
    <w:rsid w:val="00C75B6E"/>
    <w:pPr>
      <w:spacing w:before="240" w:after="60"/>
    </w:pPr>
    <w:rPr>
      <w:rFonts w:ascii="Times New Roman" w:hAnsi="Times New Roman"/>
      <w:b/>
      <w:sz w:val="28"/>
    </w:rPr>
  </w:style>
  <w:style w:type="character" w:customStyle="1" w:styleId="Underline">
    <w:name w:val="Underline"/>
    <w:basedOn w:val="DefaultParagraphFont"/>
    <w:qFormat/>
    <w:rsid w:val="00C75B6E"/>
    <w:rPr>
      <w:u w:val="single"/>
    </w:rPr>
  </w:style>
  <w:style w:type="paragraph" w:styleId="BalloonText">
    <w:name w:val="Balloon Text"/>
    <w:basedOn w:val="Normal"/>
    <w:link w:val="BalloonTextChar"/>
    <w:rsid w:val="00C75B6E"/>
    <w:rPr>
      <w:rFonts w:ascii="Tahoma" w:hAnsi="Tahoma" w:cs="Tahoma"/>
      <w:sz w:val="16"/>
      <w:szCs w:val="16"/>
    </w:rPr>
  </w:style>
  <w:style w:type="character" w:customStyle="1" w:styleId="BalloonTextChar">
    <w:name w:val="Balloon Text Char"/>
    <w:basedOn w:val="DefaultParagraphFont"/>
    <w:link w:val="BalloonText"/>
    <w:rsid w:val="00C75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B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B6E"/>
    <w:rPr>
      <w:b/>
      <w:color w:val="660033"/>
      <w:spacing w:val="0"/>
    </w:rPr>
  </w:style>
  <w:style w:type="paragraph" w:customStyle="1" w:styleId="Nameditemlist">
    <w:name w:val="Named item list"/>
    <w:basedOn w:val="BodyText"/>
    <w:qFormat/>
    <w:rsid w:val="00C75B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1695</Words>
  <Characters>11050</Characters>
  <Application>Microsoft Office Word</Application>
  <DocSecurity>0</DocSecurity>
  <Lines>412</Lines>
  <Paragraphs>257</Paragraphs>
  <ScaleCrop>false</ScaleCrop>
  <Company>Author-it Software Corporation Ltd.</Company>
  <LinksUpToDate>false</LinksUpToDate>
  <CharactersWithSpaces>12656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ICTCBL3009B Install, terminate and certify structured cabling installation</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2014-02-07T09:25:11Z</dcterms:created>
  <dcterms:modified xsi:type="dcterms:W3CDTF">2014-02-06T04:27:00Z</dcterms:modified>
</cp:coreProperties>
</file>