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67B" w:rsidP="00FB467B">
      <w:pPr>
        <w:pStyle w:val="Title"/>
      </w:pPr>
      <w:bookmarkStart w:id="0" w:name="_GoBack"/>
      <w:bookmarkEnd w:id="0"/>
      <w:r>
        <w:fldChar w:fldCharType="begin"/>
      </w:r>
      <w:r>
        <w:instrText xml:space="preserve"> TITLE   \* MERGEFORMAT </w:instrText>
      </w:r>
      <w:r>
        <w:fldChar w:fldCharType="separate"/>
      </w:r>
      <w:r>
        <w:t>ICTCBL2136A Install, maintain and modify customer premises communications cabling: ACMA Restricted Rule</w:t>
      </w:r>
      <w:r>
        <w:fldChar w:fldCharType="end"/>
      </w:r>
    </w:p>
    <w:p w:rsidR="00FB467B" w:rsidP="00FB467B">
      <w:pPr>
        <w:pStyle w:val="Version"/>
        <w:sectPr w:rsidSect="00D112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288" w:rsidP="00D11288">
      <w:pPr>
        <w:pStyle w:val="SuperHeading"/>
      </w:pPr>
      <w:r w:rsidRPr="00D11288">
        <w:t>ICTCBL2136A Install, maintain and modify customer premises communications cabling: ACMA Restricted Rule</w:t>
      </w:r>
    </w:p>
    <w:p w:rsidR="00000000" w:rsidRPr="00D11288" w:rsidP="00D11288">
      <w:pPr>
        <w:pStyle w:val="Heading1"/>
      </w:pPr>
      <w:bookmarkStart w:id="1" w:name="O_271749"/>
      <w:bookmarkEnd w:id="1"/>
      <w:r w:rsidRPr="00D11288">
        <w:t>Modification History</w:t>
      </w:r>
    </w:p>
    <w:p w:rsidR="00000000" w:rsidRPr="00D11288" w:rsidP="00D11288">
      <w:pPr>
        <w:pStyle w:val="BodyText"/>
      </w:pPr>
      <w:r w:rsidRPr="00D11288">
        <w:t>Not Applicable</w:t>
      </w:r>
    </w:p>
    <w:p w:rsidR="00000000" w:rsidRPr="00D11288" w:rsidP="00D11288">
      <w:pPr>
        <w:pStyle w:val="AllowPageBreak"/>
      </w:pPr>
    </w:p>
    <w:p w:rsidR="00000000" w:rsidRPr="00D11288" w:rsidP="00D11288">
      <w:pPr>
        <w:pStyle w:val="Heading1"/>
      </w:pPr>
      <w:bookmarkStart w:id="2" w:name="O_208682"/>
      <w:bookmarkEnd w:id="2"/>
      <w:r w:rsidRPr="00D11288">
        <w:t>Unit Descriptor</w:t>
      </w:r>
    </w:p>
    <w:tbl>
      <w:tblPr>
        <w:tblW w:w="0" w:type="auto"/>
        <w:tblLayout w:type="fixed"/>
        <w:tblCellMar>
          <w:left w:w="62" w:type="dxa"/>
          <w:right w:w="62" w:type="dxa"/>
        </w:tblCellMar>
        <w:tblLook w:val="0000"/>
      </w:tblPr>
      <w:tblGrid>
        <w:gridCol w:w="2584"/>
        <w:gridCol w:w="5938"/>
      </w:tblGrid>
      <w:tr w:rsidTr="00FB467B">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Unit descriptor</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BodyText"/>
            </w:pPr>
            <w:r w:rsidRPr="00D11288">
              <w:t>This unit describes the performance outcomes, skills and knowledge required to safely install, maintain and modify customer premises communications cabling required according to Australian Communications and Media Aut</w:t>
            </w:r>
            <w:r w:rsidRPr="00D11288">
              <w:t xml:space="preserve">hority's (ACMA) 'Restricted' Cabling Provider Rule. </w:t>
            </w:r>
          </w:p>
          <w:p w:rsidR="00000000" w:rsidRPr="00D11288" w:rsidP="00D11288">
            <w:pPr>
              <w:pStyle w:val="BodyText"/>
            </w:pPr>
          </w:p>
          <w:p w:rsidR="00000000" w:rsidRPr="00D11288" w:rsidP="00D11288">
            <w:pPr>
              <w:pStyle w:val="BodyText"/>
            </w:pPr>
            <w:r w:rsidRPr="00D11288">
              <w:t>Restricted cabling is used in typical domestic premises, small offices, home offices and small business premises. Restricted cablers can install cable in large commercial and industrial premises provide</w:t>
            </w:r>
            <w:r w:rsidRPr="00D11288">
              <w:t>d the cabling is behind a compliant device and is not via jumperable distributors or patch panels.</w:t>
            </w:r>
          </w:p>
          <w:p w:rsidR="00000000" w:rsidRPr="00D11288" w:rsidP="00D11288">
            <w:pPr>
              <w:pStyle w:val="BodyText"/>
            </w:pPr>
            <w:r w:rsidRPr="00D11288">
              <w:t>The telecommunications Cabling Provider Rules (CPRs) 2000 place various limitations on Restricted cablers. These include a prohibition on them performing cab</w:t>
            </w:r>
            <w:r w:rsidRPr="00D11288">
              <w:t>ling work where they may have access to a reticulated electrical supply that exceeds typical domestic single-phase and three-phase electrical supply voltages - nominally 240 volts AC (for single phase) or 415 volts AC (for three-phase).</w:t>
            </w:r>
          </w:p>
          <w:p w:rsidR="00000000" w:rsidRPr="00D11288" w:rsidP="00D11288">
            <w:pPr>
              <w:pStyle w:val="BodyText"/>
            </w:pPr>
          </w:p>
          <w:p w:rsidR="00000000" w:rsidRPr="00D11288" w:rsidP="00D11288">
            <w:pPr>
              <w:pStyle w:val="BodyText"/>
            </w:pPr>
            <w:r w:rsidRPr="00D11288">
              <w:t>Assessment by a TI</w:t>
            </w:r>
            <w:r w:rsidRPr="00D11288">
              <w:t>TAB registered assessor is recommended.</w:t>
            </w:r>
          </w:p>
          <w:p w:rsidR="00000000" w:rsidRPr="00D11288" w:rsidP="00D11288">
            <w:pPr>
              <w:pStyle w:val="BodyText"/>
            </w:pPr>
          </w:p>
          <w:p w:rsidR="00000000" w:rsidRPr="00D11288" w:rsidP="00D11288">
            <w:pPr>
              <w:pStyle w:val="BodyText"/>
            </w:pPr>
            <w:r w:rsidRPr="00D11288">
              <w:t>All customer cabling work in the telecommunications, fire, security and data industries must be performed by a registered cabler. All cablers are required to register with an ACMA-accredited registrar.</w:t>
            </w:r>
          </w:p>
        </w:tc>
      </w:tr>
    </w:tbl>
    <w:p w:rsidR="00FB467B" w:rsidP="00D11288">
      <w:pPr>
        <w:pStyle w:val="BodyText"/>
      </w:pPr>
    </w:p>
    <w:p w:rsidR="00FB467B" w:rsidP="00D11288">
      <w:pPr>
        <w:pStyle w:val="BodyText"/>
      </w:pPr>
    </w:p>
    <w:p w:rsidR="00000000" w:rsidRPr="00D11288" w:rsidP="00D11288">
      <w:pPr>
        <w:pStyle w:val="Heading1"/>
      </w:pPr>
      <w:bookmarkStart w:id="3" w:name="O_208686"/>
      <w:bookmarkEnd w:id="3"/>
      <w:r w:rsidRPr="00D11288">
        <w:t>Application of the Unit</w:t>
      </w:r>
    </w:p>
    <w:tbl>
      <w:tblPr>
        <w:tblW w:w="0" w:type="auto"/>
        <w:tblLayout w:type="fixed"/>
        <w:tblCellMar>
          <w:left w:w="62" w:type="dxa"/>
          <w:right w:w="62" w:type="dxa"/>
        </w:tblCellMar>
        <w:tblLook w:val="0000"/>
      </w:tblPr>
      <w:tblGrid>
        <w:gridCol w:w="2681"/>
        <w:gridCol w:w="5841"/>
      </w:tblGrid>
      <w:tr w:rsidTr="00FB467B">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Application of the unit</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BodyText"/>
            </w:pPr>
            <w:r w:rsidRPr="00D11288">
              <w:t>This unit applies to customer cabling terminated on sockets and network termination devices (NTD). It applies to the installation, maintenance and modification of indoor and external cabling.</w:t>
            </w:r>
          </w:p>
          <w:p w:rsidR="00000000" w:rsidRPr="00D11288" w:rsidP="00D11288">
            <w:pPr>
              <w:pStyle w:val="BodyText"/>
            </w:pPr>
            <w:r w:rsidRPr="00D11288">
              <w:t>Customer</w:t>
            </w:r>
            <w:r w:rsidRPr="00D11288">
              <w:t xml:space="preserve"> cabling, for the purpose of the 'Restricted' Cabling Provider Rule, may be used to connect devices for a range of applications including telecommunications, simple data and computer use, security alarm panels and fire control panels.</w:t>
            </w:r>
          </w:p>
          <w:p w:rsidR="00000000" w:rsidRPr="00D11288" w:rsidP="00D11288">
            <w:pPr>
              <w:pStyle w:val="BodyText"/>
            </w:pPr>
            <w:r w:rsidRPr="00D11288">
              <w:t>Cabling may be metall</w:t>
            </w:r>
            <w:r w:rsidRPr="00D11288">
              <w:t>ic or optical fibre and may be aerial or underground.</w:t>
            </w:r>
          </w:p>
          <w:p w:rsidR="00000000" w:rsidRPr="00D11288" w:rsidP="00D11288">
            <w:pPr>
              <w:pStyle w:val="BodyText"/>
            </w:pPr>
          </w:p>
          <w:p w:rsidR="00000000" w:rsidRPr="00D11288" w:rsidP="00D11288">
            <w:pPr>
              <w:pStyle w:val="BodyText"/>
            </w:pPr>
            <w:r w:rsidRPr="00D11288">
              <w:t>The cabling task may be a new cable installation or upgrade of cable capacity for an existing network or subsystem for convergence to Next Generation Networks (NGN) applications.</w:t>
            </w:r>
          </w:p>
          <w:p w:rsidR="00000000" w:rsidRPr="00D11288" w:rsidP="00D11288">
            <w:pPr>
              <w:pStyle w:val="BodyText"/>
            </w:pPr>
          </w:p>
          <w:p w:rsidR="00000000" w:rsidRPr="00D11288" w:rsidP="00D11288">
            <w:pPr>
              <w:pStyle w:val="BodyText"/>
            </w:pPr>
            <w:r w:rsidRPr="00D11288">
              <w:t>The cabling installer</w:t>
            </w:r>
            <w:r w:rsidRPr="00D11288">
              <w:t xml:space="preserve"> may provide services in telephony, voice over internet protocol (VoIP), internet protocol TV (IPTV) and computer data over a single metallic customer cable or optical fibre cable in a specific customer location.</w:t>
            </w:r>
          </w:p>
        </w:tc>
      </w:tr>
    </w:tbl>
    <w:p w:rsidR="00FB467B" w:rsidP="00D11288">
      <w:pPr>
        <w:pStyle w:val="BodyText"/>
      </w:pPr>
    </w:p>
    <w:p w:rsidR="00FB467B" w:rsidP="00D11288">
      <w:pPr>
        <w:pStyle w:val="BodyText"/>
      </w:pPr>
    </w:p>
    <w:p w:rsidR="00000000" w:rsidRPr="00D11288" w:rsidP="00D11288">
      <w:pPr>
        <w:pStyle w:val="Heading1"/>
      </w:pPr>
      <w:bookmarkStart w:id="4" w:name="O_280009"/>
      <w:bookmarkEnd w:id="4"/>
      <w:r w:rsidRPr="00D11288">
        <w:t>Licensing/Regulatory Information</w:t>
      </w:r>
    </w:p>
    <w:p w:rsidR="00000000" w:rsidRPr="00D11288" w:rsidP="00D11288">
      <w:pPr>
        <w:pStyle w:val="BodyText"/>
      </w:pPr>
      <w:r w:rsidRPr="00D11288">
        <w:t>Not Applicable</w:t>
      </w:r>
    </w:p>
    <w:p w:rsidR="00000000" w:rsidRPr="00D11288" w:rsidP="00D11288">
      <w:pPr>
        <w:pStyle w:val="AllowPageBreak"/>
      </w:pPr>
    </w:p>
    <w:p w:rsidR="00000000" w:rsidRPr="00D11288" w:rsidP="00D11288">
      <w:pPr>
        <w:pStyle w:val="Heading1"/>
      </w:pPr>
      <w:bookmarkStart w:id="5" w:name="O_208684"/>
      <w:bookmarkEnd w:id="5"/>
      <w:r w:rsidRPr="00D11288">
        <w:t>Pre-Requisites</w:t>
      </w:r>
    </w:p>
    <w:tbl>
      <w:tblPr>
        <w:tblW w:w="0" w:type="auto"/>
        <w:tblLayout w:type="fixed"/>
        <w:tblCellMar>
          <w:left w:w="62" w:type="dxa"/>
          <w:right w:w="62" w:type="dxa"/>
        </w:tblCellMar>
        <w:tblLook w:val="0000"/>
      </w:tblPr>
      <w:tblGrid>
        <w:gridCol w:w="2706"/>
        <w:gridCol w:w="1449"/>
        <w:gridCol w:w="4367"/>
      </w:tblGrid>
      <w:tr w:rsidTr="00FB467B">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p>
        </w:tc>
      </w:tr>
      <w:tr w:rsidTr="00FB467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p>
        </w:tc>
      </w:tr>
      <w:tr w:rsidTr="00FB467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BodyText"/>
            </w:pPr>
          </w:p>
        </w:tc>
      </w:tr>
    </w:tbl>
    <w:p w:rsidR="00FB467B" w:rsidP="00D11288">
      <w:pPr>
        <w:pStyle w:val="BodyText"/>
      </w:pPr>
    </w:p>
    <w:p w:rsidR="00FB467B" w:rsidP="00D11288">
      <w:pPr>
        <w:pStyle w:val="BodyText"/>
      </w:pPr>
    </w:p>
    <w:p w:rsidR="00000000" w:rsidRPr="00D11288" w:rsidP="00D11288">
      <w:pPr>
        <w:pStyle w:val="Heading1"/>
      </w:pPr>
      <w:bookmarkStart w:id="6" w:name="O_208683"/>
      <w:bookmarkEnd w:id="6"/>
      <w:r w:rsidRPr="00D11288">
        <w:t>Employability Skills Information</w:t>
      </w:r>
    </w:p>
    <w:tbl>
      <w:tblPr>
        <w:tblW w:w="0" w:type="auto"/>
        <w:tblLayout w:type="fixed"/>
        <w:tblCellMar>
          <w:left w:w="62" w:type="dxa"/>
          <w:right w:w="62" w:type="dxa"/>
        </w:tblCellMar>
        <w:tblLook w:val="0000"/>
      </w:tblPr>
      <w:tblGrid>
        <w:gridCol w:w="2777"/>
        <w:gridCol w:w="5745"/>
      </w:tblGrid>
      <w:tr w:rsidTr="00FB467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BodyText"/>
            </w:pPr>
            <w:r w:rsidRPr="00D11288">
              <w:t>This unit contains employability skills.</w:t>
            </w:r>
          </w:p>
        </w:tc>
      </w:tr>
    </w:tbl>
    <w:p w:rsidR="00FB467B" w:rsidP="00D11288">
      <w:pPr>
        <w:pStyle w:val="BodyText"/>
      </w:pPr>
    </w:p>
    <w:p w:rsidR="00FB467B" w:rsidP="00D11288">
      <w:pPr>
        <w:pStyle w:val="BodyText"/>
      </w:pPr>
    </w:p>
    <w:p w:rsidR="00000000" w:rsidRPr="00D11288" w:rsidP="00D11288">
      <w:pPr>
        <w:pStyle w:val="Heading1"/>
      </w:pPr>
      <w:bookmarkStart w:id="7" w:name="O_289795"/>
      <w:bookmarkEnd w:id="7"/>
      <w:r w:rsidRPr="00D11288">
        <w:t>Elements and Performance Criteria Pre-Content</w:t>
      </w:r>
    </w:p>
    <w:tbl>
      <w:tblPr>
        <w:tblW w:w="0" w:type="auto"/>
        <w:tblLayout w:type="fixed"/>
        <w:tblCellMar>
          <w:left w:w="62" w:type="dxa"/>
          <w:right w:w="62" w:type="dxa"/>
        </w:tblCellMar>
        <w:tblLook w:val="0000"/>
      </w:tblPr>
      <w:tblGrid>
        <w:gridCol w:w="2570"/>
        <w:gridCol w:w="5952"/>
      </w:tblGrid>
      <w:tr w:rsidTr="00FB4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BodyText"/>
            </w:pPr>
            <w:r w:rsidRPr="00D11288">
              <w:t xml:space="preserve">Performance criteria describe the performance needed to demonstrate achievement of the element. Where bold italicised text is used, further </w:t>
            </w:r>
            <w:r w:rsidRPr="00D11288">
              <w:t>information is detailed in the required skills and knowledge section and the range statement. Assessment of performance is to be consistent with the evidence guide.</w:t>
            </w:r>
          </w:p>
        </w:tc>
      </w:tr>
    </w:tbl>
    <w:p w:rsidR="00000000" w:rsidRPr="00D11288" w:rsidP="00D11288">
      <w:pPr>
        <w:pStyle w:val="BodyText"/>
      </w:pPr>
    </w:p>
    <w:p w:rsidR="00000000" w:rsidRPr="00D11288" w:rsidP="00D11288">
      <w:pPr>
        <w:pStyle w:val="AllowPageBreak"/>
      </w:pPr>
    </w:p>
    <w:p w:rsidR="00000000" w:rsidRPr="00D11288" w:rsidP="00D11288">
      <w:pPr>
        <w:pStyle w:val="Heading1"/>
      </w:pPr>
      <w:bookmarkStart w:id="8" w:name="O_236462"/>
      <w:bookmarkEnd w:id="8"/>
      <w:r w:rsidRPr="00D11288">
        <w:t>Elements and Performance Criteria</w:t>
      </w:r>
    </w:p>
    <w:tbl>
      <w:tblPr>
        <w:tblW w:w="0" w:type="auto"/>
        <w:tblLayout w:type="fixed"/>
        <w:tblCellMar>
          <w:left w:w="62" w:type="dxa"/>
          <w:right w:w="62" w:type="dxa"/>
        </w:tblCellMar>
        <w:tblLook w:val="0000"/>
      </w:tblPr>
      <w:tblGrid>
        <w:gridCol w:w="2570"/>
        <w:gridCol w:w="5952"/>
      </w:tblGrid>
      <w:tr w:rsidTr="00FB467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BodyText"/>
            </w:pPr>
            <w:r w:rsidRPr="00D11288">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PERFORMANCE CRITERIA</w:t>
            </w:r>
          </w:p>
        </w:tc>
      </w:tr>
      <w:tr w:rsidTr="00FB4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List"/>
              <w:rPr>
                <w:lang w:val="en-NZ"/>
              </w:rPr>
            </w:pPr>
            <w:r w:rsidRPr="00D11288">
              <w:t>1.</w:t>
            </w:r>
            <w:r w:rsidRPr="00D11288">
              <w:tab/>
            </w:r>
            <w:r w:rsidRPr="00D11288">
              <w:t>Work within the constraints imposed by customer premises and ACMA regulatory environment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2"/>
            </w:pPr>
            <w:r w:rsidRPr="00D11288">
              <w:t>1.1.</w:t>
            </w:r>
            <w:r w:rsidRPr="00D11288">
              <w:tab/>
              <w:t xml:space="preserve">Prepare for </w:t>
            </w:r>
            <w:r w:rsidRPr="00D11288">
              <w:rPr>
                <w:rStyle w:val="BoldandItalics"/>
              </w:rPr>
              <w:t>restricted cabling work</w:t>
            </w:r>
            <w:r w:rsidRPr="00D11288">
              <w:t xml:space="preserve"> within the </w:t>
            </w:r>
            <w:r w:rsidRPr="00D11288">
              <w:rPr>
                <w:rStyle w:val="BoldandItalics"/>
              </w:rPr>
              <w:t>regulatory environment</w:t>
            </w:r>
            <w:r w:rsidRPr="00D11288">
              <w:t xml:space="preserve">, </w:t>
            </w:r>
            <w:r w:rsidRPr="00D11288">
              <w:rPr>
                <w:rStyle w:val="BoldandItalics"/>
              </w:rPr>
              <w:t>cabling environment</w:t>
            </w:r>
            <w:r w:rsidRPr="00D11288">
              <w:t xml:space="preserve">, </w:t>
            </w:r>
            <w:r w:rsidRPr="00D11288">
              <w:rPr>
                <w:rStyle w:val="BoldandItalics"/>
              </w:rPr>
              <w:t>cable type</w:t>
            </w:r>
            <w:r w:rsidRPr="00D11288">
              <w:t xml:space="preserve">, </w:t>
            </w:r>
            <w:r w:rsidRPr="00D11288">
              <w:rPr>
                <w:rStyle w:val="BoldandItalics"/>
              </w:rPr>
              <w:t>cable identification</w:t>
            </w:r>
            <w:r w:rsidRPr="00D11288">
              <w:t xml:space="preserve">, </w:t>
            </w:r>
            <w:r w:rsidRPr="00D11288">
              <w:rPr>
                <w:rStyle w:val="BoldandItalics"/>
              </w:rPr>
              <w:t>termination systems</w:t>
            </w:r>
            <w:r w:rsidRPr="00D11288">
              <w:t xml:space="preserve">, </w:t>
            </w:r>
            <w:r w:rsidRPr="00D11288">
              <w:rPr>
                <w:rStyle w:val="BoldandItalics"/>
              </w:rPr>
              <w:t>earthing and pr</w:t>
            </w:r>
            <w:r w:rsidRPr="00D11288">
              <w:rPr>
                <w:rStyle w:val="BoldandItalics"/>
              </w:rPr>
              <w:t>otection</w:t>
            </w:r>
            <w:r w:rsidRPr="00D11288">
              <w:t xml:space="preserve">, </w:t>
            </w:r>
            <w:r w:rsidRPr="00D11288">
              <w:rPr>
                <w:rStyle w:val="BoldandItalics"/>
              </w:rPr>
              <w:t>records</w:t>
            </w:r>
            <w:r w:rsidRPr="00D11288">
              <w:t xml:space="preserve"> and </w:t>
            </w:r>
            <w:r w:rsidRPr="00D11288">
              <w:rPr>
                <w:rStyle w:val="BoldandItalics"/>
              </w:rPr>
              <w:t>relevant legislation</w:t>
            </w:r>
            <w:r w:rsidRPr="00D11288">
              <w:t xml:space="preserve">, </w:t>
            </w:r>
            <w:r w:rsidRPr="00D11288">
              <w:rPr>
                <w:rStyle w:val="BoldandItalics"/>
              </w:rPr>
              <w:t>codes</w:t>
            </w:r>
            <w:r w:rsidRPr="00D11288">
              <w:t xml:space="preserve">, </w:t>
            </w:r>
            <w:r w:rsidRPr="00D11288">
              <w:rPr>
                <w:rStyle w:val="BoldandItalics"/>
              </w:rPr>
              <w:t>regulations and standards</w:t>
            </w:r>
          </w:p>
          <w:p w:rsidR="00000000" w:rsidRPr="00D11288" w:rsidP="00D11288">
            <w:pPr>
              <w:pStyle w:val="List2"/>
            </w:pPr>
            <w:r w:rsidRPr="00D11288">
              <w:t>1.2.</w:t>
            </w:r>
            <w:r w:rsidRPr="00D11288">
              <w:tab/>
              <w:t xml:space="preserve">Identify </w:t>
            </w:r>
            <w:r w:rsidRPr="00D11288">
              <w:rPr>
                <w:rStyle w:val="BoldandItalics"/>
              </w:rPr>
              <w:t>building infrastructure</w:t>
            </w:r>
            <w:r w:rsidRPr="00D11288">
              <w:t xml:space="preserve"> which places critical constraints on </w:t>
            </w:r>
            <w:r w:rsidRPr="00D11288">
              <w:rPr>
                <w:rStyle w:val="BoldandItalics"/>
              </w:rPr>
              <w:t>cabling</w:t>
            </w:r>
            <w:r w:rsidRPr="00D11288">
              <w:t xml:space="preserve"> </w:t>
            </w:r>
          </w:p>
          <w:p w:rsidR="00000000" w:rsidRPr="00D11288" w:rsidP="00D11288">
            <w:pPr>
              <w:pStyle w:val="List2"/>
            </w:pPr>
            <w:r w:rsidRPr="00D11288">
              <w:t>1.3.</w:t>
            </w:r>
            <w:r w:rsidRPr="00D11288">
              <w:tab/>
              <w:t xml:space="preserve">Develop </w:t>
            </w:r>
            <w:r w:rsidRPr="00D11288">
              <w:rPr>
                <w:rStyle w:val="BoldandItalics"/>
              </w:rPr>
              <w:t>strategies to manage other infrastructure</w:t>
            </w:r>
            <w:r w:rsidRPr="00D11288">
              <w:t xml:space="preserve"> in relation to cabling</w:t>
            </w:r>
          </w:p>
          <w:p w:rsidR="00000000" w:rsidP="00D11288">
            <w:pPr>
              <w:pStyle w:val="List2"/>
              <w:rPr>
                <w:lang w:val="en-NZ"/>
              </w:rPr>
            </w:pPr>
            <w:r w:rsidRPr="00D11288">
              <w:t>1.4.</w:t>
            </w:r>
            <w:r w:rsidRPr="00D11288">
              <w:tab/>
            </w:r>
            <w:r w:rsidRPr="00D11288">
              <w:t xml:space="preserve">Notify appropriate personnel of </w:t>
            </w:r>
            <w:r w:rsidRPr="00D11288">
              <w:rPr>
                <w:rStyle w:val="BoldandItalics"/>
              </w:rPr>
              <w:t>safety hazards</w:t>
            </w:r>
            <w:r w:rsidRPr="00D11288">
              <w:t xml:space="preserve"> at the cabling work site </w:t>
            </w:r>
          </w:p>
        </w:tc>
      </w:tr>
      <w:tr w:rsidTr="00FB4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List"/>
              <w:rPr>
                <w:lang w:val="en-NZ"/>
              </w:rPr>
            </w:pPr>
            <w:r w:rsidRPr="00D11288">
              <w:t>2.</w:t>
            </w:r>
            <w:r w:rsidRPr="00D11288">
              <w:tab/>
              <w:t>Manage remote power feed</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2"/>
            </w:pPr>
            <w:r w:rsidRPr="00D11288">
              <w:t>2.1.</w:t>
            </w:r>
            <w:r w:rsidRPr="00D11288">
              <w:tab/>
              <w:t>Identify and avoid the risks posed by contact with remote power feeding services when performing cabling activity</w:t>
            </w:r>
          </w:p>
          <w:p w:rsidR="00000000" w:rsidP="00D11288">
            <w:pPr>
              <w:pStyle w:val="List2"/>
              <w:rPr>
                <w:lang w:val="en-NZ"/>
              </w:rPr>
            </w:pPr>
            <w:r w:rsidRPr="00D11288">
              <w:t>2.2.</w:t>
            </w:r>
            <w:r w:rsidRPr="00D11288">
              <w:tab/>
              <w:t xml:space="preserve">Make site safe by identifying </w:t>
            </w:r>
            <w:r w:rsidRPr="00D11288">
              <w:t>remote power feeding services which operate at above telecommunications network voltage (TNV) inside customer premises</w:t>
            </w:r>
          </w:p>
        </w:tc>
      </w:tr>
      <w:tr w:rsidTr="00FB4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List"/>
              <w:rPr>
                <w:lang w:val="en-NZ"/>
              </w:rPr>
            </w:pPr>
            <w:r w:rsidRPr="00D11288">
              <w:t>3.</w:t>
            </w:r>
            <w:r w:rsidRPr="00D11288">
              <w:tab/>
              <w:t>Install cables and protective earth wires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2"/>
            </w:pPr>
            <w:r w:rsidRPr="00D11288">
              <w:t>3.1.</w:t>
            </w:r>
            <w:r w:rsidRPr="00D11288">
              <w:tab/>
              <w:t>Install cables according to manufacturer's application specifications, including tensi</w:t>
            </w:r>
            <w:r w:rsidRPr="00D11288">
              <w:t>on and bending stress requirements</w:t>
            </w:r>
          </w:p>
          <w:p w:rsidR="00000000" w:rsidRPr="00D11288" w:rsidP="00D11288">
            <w:pPr>
              <w:pStyle w:val="List2"/>
            </w:pPr>
            <w:r w:rsidRPr="00D11288">
              <w:t>3.2.</w:t>
            </w:r>
            <w:r w:rsidRPr="00D11288">
              <w:tab/>
              <w:t>Identify and avoid sources of possible damage to cable, including hot pipes, sharp edges and cable burn</w:t>
            </w:r>
          </w:p>
          <w:p w:rsidR="00000000" w:rsidRPr="00D11288" w:rsidP="00D11288">
            <w:pPr>
              <w:pStyle w:val="List2"/>
            </w:pPr>
            <w:r w:rsidRPr="00D11288">
              <w:t>3.3.</w:t>
            </w:r>
            <w:r w:rsidRPr="00D11288">
              <w:tab/>
              <w:t xml:space="preserve">Allow sufficient excess at cable ends to facilitate </w:t>
            </w:r>
            <w:r w:rsidRPr="00D11288">
              <w:rPr>
                <w:rStyle w:val="BoldandItalics"/>
              </w:rPr>
              <w:t>termination</w:t>
            </w:r>
          </w:p>
          <w:p w:rsidR="00000000" w:rsidRPr="00D11288" w:rsidP="00D11288">
            <w:pPr>
              <w:pStyle w:val="List2"/>
            </w:pPr>
            <w:r w:rsidRPr="00D11288">
              <w:t>3.4.</w:t>
            </w:r>
            <w:r w:rsidRPr="00D11288">
              <w:tab/>
              <w:t>Place and secure cable to maintain saf</w:t>
            </w:r>
            <w:r w:rsidRPr="00D11288">
              <w:t>ety and interference segregation according to legislative and industry standards</w:t>
            </w:r>
          </w:p>
          <w:p w:rsidR="00000000" w:rsidRPr="00D11288" w:rsidP="00D11288">
            <w:pPr>
              <w:pStyle w:val="List2"/>
            </w:pPr>
            <w:r w:rsidRPr="00D11288">
              <w:t>3.5.</w:t>
            </w:r>
            <w:r w:rsidRPr="00D11288">
              <w:tab/>
              <w:t>Install cable ties with correct tension to prevent cable sheath damage or transmission impairment and trimmed flush to prevent risk of personal damage</w:t>
            </w:r>
          </w:p>
          <w:p w:rsidR="00000000" w:rsidRPr="00D11288" w:rsidP="00D11288">
            <w:pPr>
              <w:pStyle w:val="List2"/>
            </w:pPr>
            <w:r w:rsidRPr="00D11288">
              <w:t>3.6.</w:t>
            </w:r>
            <w:r w:rsidRPr="00D11288">
              <w:tab/>
              <w:t>Install underg</w:t>
            </w:r>
            <w:r w:rsidRPr="00D11288">
              <w:t>round cables to minimum depth of cover and segregation from hazardous electrical and other services according to AS/ACIF S009:200</w:t>
            </w:r>
          </w:p>
          <w:p w:rsidR="00000000" w:rsidRPr="00D11288" w:rsidP="00D11288">
            <w:pPr>
              <w:pStyle w:val="List2"/>
            </w:pPr>
            <w:r w:rsidRPr="00D11288">
              <w:t>3.7.</w:t>
            </w:r>
            <w:r w:rsidRPr="00D11288">
              <w:tab/>
              <w:t>Install underground cables excluding blown fibre tube systems to incorporate a blocking agent within the cable to prevent</w:t>
            </w:r>
            <w:r w:rsidRPr="00D11288">
              <w:t xml:space="preserve"> the ingress of water</w:t>
            </w:r>
          </w:p>
          <w:p w:rsidR="00000000" w:rsidRPr="00D11288" w:rsidP="00D11288">
            <w:pPr>
              <w:pStyle w:val="List2"/>
            </w:pPr>
            <w:r w:rsidRPr="00D11288">
              <w:t>3.8.</w:t>
            </w:r>
            <w:r w:rsidRPr="00D11288">
              <w:tab/>
              <w:t xml:space="preserve">Install aerial cables to minimum clearance, segregation from hazardous electrical and other services and minimum height requirements according to AS/ACIF S009:2006 </w:t>
            </w:r>
          </w:p>
          <w:p w:rsidR="00000000" w:rsidRPr="00D11288" w:rsidP="00D11288">
            <w:pPr>
              <w:pStyle w:val="List2"/>
            </w:pPr>
            <w:r w:rsidRPr="00D11288">
              <w:t>3.9.</w:t>
            </w:r>
            <w:r w:rsidRPr="00D11288">
              <w:tab/>
              <w:t>Install over-voltage protection devices according to AS/ACI</w:t>
            </w:r>
            <w:r w:rsidRPr="00D11288">
              <w:t xml:space="preserve">F S009:2006 to all cable pairs, where required, to suppress voltage surges and protect from earth potential rise (EPR) hazards and protectively earth the devices </w:t>
            </w:r>
          </w:p>
          <w:p w:rsidR="00000000" w:rsidP="00D11288">
            <w:pPr>
              <w:pStyle w:val="List2"/>
              <w:rPr>
                <w:lang w:val="en-NZ"/>
              </w:rPr>
            </w:pPr>
            <w:r w:rsidRPr="00D11288">
              <w:t>3.10.</w:t>
            </w:r>
            <w:r w:rsidRPr="00D11288">
              <w:tab/>
              <w:t xml:space="preserve">Protect earth wire insulation against damage and segregate protective earths according </w:t>
            </w:r>
            <w:r w:rsidRPr="00D11288">
              <w:t>to relevant legislative and industry standards</w:t>
            </w:r>
          </w:p>
        </w:tc>
      </w:tr>
      <w:tr w:rsidTr="00FB4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List"/>
              <w:rPr>
                <w:lang w:val="en-NZ"/>
              </w:rPr>
            </w:pPr>
            <w:r w:rsidRPr="00D11288">
              <w:t>4.</w:t>
            </w:r>
            <w:r w:rsidRPr="00D11288">
              <w:tab/>
              <w:t>Terminate and test cables and earth wires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2"/>
            </w:pPr>
            <w:r w:rsidRPr="00D11288">
              <w:t>4.1.</w:t>
            </w:r>
            <w:r w:rsidRPr="00D11288">
              <w:tab/>
              <w:t>Remove cable sheath to allow for correct termination length and without damage to underlying conductors and their insulation</w:t>
            </w:r>
          </w:p>
          <w:p w:rsidR="00000000" w:rsidRPr="00D11288" w:rsidP="00D11288">
            <w:pPr>
              <w:pStyle w:val="List2"/>
            </w:pPr>
            <w:r w:rsidRPr="00D11288">
              <w:t>4.2.</w:t>
            </w:r>
            <w:r w:rsidRPr="00D11288">
              <w:tab/>
            </w:r>
            <w:r w:rsidRPr="00D11288">
              <w:t>Install NTD terminating modules according to manufacturer's specifications and cable pairs neatly and sequentially fanned for termination</w:t>
            </w:r>
          </w:p>
          <w:p w:rsidR="00000000" w:rsidRPr="00D11288" w:rsidP="00D11288">
            <w:pPr>
              <w:pStyle w:val="List2"/>
            </w:pPr>
            <w:r w:rsidRPr="00D11288">
              <w:t>4.3.</w:t>
            </w:r>
            <w:r w:rsidRPr="00D11288">
              <w:tab/>
              <w:t>Terminate conductors according to recommended colour code sequence using appropriate termination tools in the man</w:t>
            </w:r>
            <w:r w:rsidRPr="00D11288">
              <w:t>ufacturer's specified manner</w:t>
            </w:r>
          </w:p>
          <w:p w:rsidR="00000000" w:rsidRPr="00D11288" w:rsidP="00D11288">
            <w:pPr>
              <w:pStyle w:val="List2"/>
            </w:pPr>
            <w:r w:rsidRPr="00D11288">
              <w:t>4.4.</w:t>
            </w:r>
            <w:r w:rsidRPr="00D11288">
              <w:tab/>
              <w:t>Earth cable shield, if applicable, to manufacturer's specifications, relevant industry codes of practice and AS/ACIF S009:2006</w:t>
            </w:r>
          </w:p>
          <w:p w:rsidR="00000000" w:rsidRPr="00D11288" w:rsidP="00D11288">
            <w:pPr>
              <w:pStyle w:val="List2"/>
            </w:pPr>
            <w:r w:rsidRPr="00D11288">
              <w:t>4.5.</w:t>
            </w:r>
            <w:r w:rsidRPr="00D11288">
              <w:tab/>
              <w:t>Conduct visual inspection to confirm termination colour code sequence has been followed pr</w:t>
            </w:r>
            <w:r w:rsidRPr="00D11288">
              <w:t>ior to end-to-end testing of wire and pair termination integrity</w:t>
            </w:r>
          </w:p>
          <w:p w:rsidR="00000000" w:rsidRPr="00D11288" w:rsidP="00D11288">
            <w:pPr>
              <w:pStyle w:val="List2"/>
            </w:pPr>
            <w:r w:rsidRPr="00D11288">
              <w:t>4.6.</w:t>
            </w:r>
            <w:r w:rsidRPr="00D11288">
              <w:tab/>
              <w:t>Terminate earth wires with connectors recommended by manufacturers according to accepted industry codes of practice and AS/ACIF S009:2006</w:t>
            </w:r>
          </w:p>
          <w:p w:rsidR="00000000" w:rsidRPr="00D11288" w:rsidP="00D11288">
            <w:pPr>
              <w:pStyle w:val="List2"/>
            </w:pPr>
            <w:r w:rsidRPr="00D11288">
              <w:t>4.7.</w:t>
            </w:r>
            <w:r w:rsidRPr="00D11288">
              <w:tab/>
              <w:t>Maintain earth wire continuity throughout a</w:t>
            </w:r>
            <w:r w:rsidRPr="00D11288">
              <w:t xml:space="preserve">nd observe interface requirements with electrical systems </w:t>
            </w:r>
          </w:p>
          <w:p w:rsidR="00000000" w:rsidRPr="00D11288" w:rsidP="00D11288">
            <w:pPr>
              <w:pStyle w:val="List2"/>
            </w:pPr>
            <w:r w:rsidRPr="00D11288">
              <w:t>4.8.</w:t>
            </w:r>
            <w:r w:rsidRPr="00D11288">
              <w:tab/>
              <w:t>Test earthing installation for continuity, insulation resistance and conductive resistance according to accepted industry standards including AS/ACIF S009:2006</w:t>
            </w:r>
          </w:p>
          <w:p w:rsidR="00000000" w:rsidP="00D11288">
            <w:pPr>
              <w:pStyle w:val="List2"/>
              <w:rPr>
                <w:lang w:val="en-NZ"/>
              </w:rPr>
            </w:pPr>
            <w:r w:rsidRPr="00D11288">
              <w:t>4.9.</w:t>
            </w:r>
            <w:r w:rsidRPr="00D11288">
              <w:tab/>
              <w:t>Confirm compatibility of al</w:t>
            </w:r>
            <w:r w:rsidRPr="00D11288">
              <w:t>terations with existing systems and test new work both in isolation and when integrated with existing systems</w:t>
            </w:r>
          </w:p>
        </w:tc>
      </w:tr>
      <w:tr w:rsidTr="00FB4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List"/>
              <w:rPr>
                <w:lang w:val="en-NZ"/>
              </w:rPr>
            </w:pPr>
            <w:r w:rsidRPr="00D11288">
              <w:t>5.</w:t>
            </w:r>
            <w:r w:rsidRPr="00D11288">
              <w:tab/>
              <w:t>Inspect cable route to ensure correct separations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2"/>
            </w:pPr>
            <w:r w:rsidRPr="00D11288">
              <w:t>5.1.</w:t>
            </w:r>
            <w:r w:rsidRPr="00D11288">
              <w:tab/>
              <w:t xml:space="preserve">Inspect </w:t>
            </w:r>
            <w:r w:rsidRPr="00D11288">
              <w:rPr>
                <w:rStyle w:val="BoldandItalics"/>
              </w:rPr>
              <w:t>separations</w:t>
            </w:r>
            <w:r w:rsidRPr="00D11288">
              <w:t xml:space="preserve"> along the entirety of the cable route and rectify separations which</w:t>
            </w:r>
            <w:r w:rsidRPr="00D11288">
              <w:t xml:space="preserve"> do not comply with regulations</w:t>
            </w:r>
          </w:p>
          <w:p w:rsidR="00000000" w:rsidP="00D11288">
            <w:pPr>
              <w:pStyle w:val="List2"/>
              <w:rPr>
                <w:lang w:val="en-NZ"/>
              </w:rPr>
            </w:pPr>
            <w:r w:rsidRPr="00D11288">
              <w:t>5.2.</w:t>
            </w:r>
            <w:r w:rsidRPr="00D11288">
              <w:tab/>
              <w:t>Install barriers to achieve separations where sufficient spatial separation cannot be met</w:t>
            </w:r>
          </w:p>
        </w:tc>
      </w:tr>
      <w:tr w:rsidTr="00FB4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List"/>
              <w:rPr>
                <w:lang w:val="en-NZ"/>
              </w:rPr>
            </w:pPr>
            <w:r w:rsidRPr="00D11288">
              <w:t>6.</w:t>
            </w:r>
            <w:r w:rsidRPr="00D11288">
              <w:tab/>
              <w:t>Create records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2"/>
            </w:pPr>
            <w:r w:rsidRPr="00D11288">
              <w:t>6.1.</w:t>
            </w:r>
            <w:r w:rsidRPr="00D11288">
              <w:tab/>
              <w:t>Provide the client with a job sign-off, telecommunications cabling advice form, at the completion of each</w:t>
            </w:r>
            <w:r w:rsidRPr="00D11288">
              <w:t xml:space="preserve"> cabling task</w:t>
            </w:r>
          </w:p>
          <w:p w:rsidR="00000000" w:rsidP="00D11288">
            <w:pPr>
              <w:pStyle w:val="List2"/>
              <w:rPr>
                <w:lang w:val="en-NZ"/>
              </w:rPr>
            </w:pPr>
            <w:r w:rsidRPr="00D11288">
              <w:t>6.2.</w:t>
            </w:r>
            <w:r w:rsidRPr="00D11288">
              <w:tab/>
              <w:t>Complete NTD record cards for the work undertaken</w:t>
            </w:r>
          </w:p>
        </w:tc>
      </w:tr>
      <w:tr w:rsidTr="00FB4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List"/>
              <w:rPr>
                <w:lang w:val="en-NZ"/>
              </w:rPr>
            </w:pPr>
            <w:r w:rsidRPr="00D11288">
              <w:t>7.</w:t>
            </w:r>
            <w:r w:rsidRPr="00D11288">
              <w:tab/>
              <w:t>Monitor work activity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2"/>
            </w:pPr>
            <w:r w:rsidRPr="00D11288">
              <w:t>7.1.</w:t>
            </w:r>
            <w:r w:rsidRPr="00D11288">
              <w:tab/>
              <w:t xml:space="preserve">Supervise cablers not holding appropriate registration for the task to ensure cabling activity is according to legislative </w:t>
            </w:r>
            <w:r w:rsidRPr="00D11288">
              <w:t>requirements for safety and network integrity including AS/ACIF S008:2006 and AS/ACIF S009:2006</w:t>
            </w:r>
          </w:p>
        </w:tc>
      </w:tr>
    </w:tbl>
    <w:p w:rsidR="00FB467B" w:rsidP="00D11288">
      <w:pPr>
        <w:pStyle w:val="BodyText"/>
      </w:pPr>
    </w:p>
    <w:p w:rsidR="00FB467B" w:rsidP="00D11288">
      <w:pPr>
        <w:pStyle w:val="BodyText"/>
      </w:pPr>
    </w:p>
    <w:p w:rsidR="00000000" w:rsidRPr="00D11288" w:rsidP="00D11288">
      <w:pPr>
        <w:pStyle w:val="Heading1"/>
      </w:pPr>
      <w:bookmarkStart w:id="9" w:name="O_260412"/>
      <w:bookmarkEnd w:id="9"/>
      <w:r w:rsidRPr="00D11288">
        <w:t>Required Skills and Knowledge</w:t>
      </w:r>
    </w:p>
    <w:tbl>
      <w:tblPr>
        <w:tblW w:w="0" w:type="auto"/>
        <w:tblLayout w:type="fixed"/>
        <w:tblCellMar>
          <w:left w:w="62" w:type="dxa"/>
          <w:right w:w="62" w:type="dxa"/>
        </w:tblCellMar>
        <w:tblLook w:val="0000"/>
      </w:tblPr>
      <w:tblGrid>
        <w:gridCol w:w="8522"/>
      </w:tblGrid>
      <w:tr w:rsidTr="00FB46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REQUIRED SKILLS AND KNOWLEDGE</w:t>
            </w:r>
          </w:p>
        </w:tc>
      </w:tr>
      <w:tr w:rsidTr="00FB46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t>This section describes the skills and knowledge required for this unit.</w:t>
            </w:r>
          </w:p>
        </w:tc>
      </w:tr>
      <w:tr w:rsidTr="00FB4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Required skills</w:t>
            </w:r>
          </w:p>
        </w:tc>
      </w:tr>
      <w:tr w:rsidTr="00FB4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communication skills to liaise with work associates, supervisors, team members and clients</w:t>
            </w:r>
          </w:p>
          <w:p w:rsidR="00000000" w:rsidRPr="00D11288" w:rsidP="00D11288">
            <w:pPr>
              <w:pStyle w:val="ListBullet"/>
            </w:pPr>
            <w:r w:rsidRPr="00D11288">
              <w:t>literacy skills to interpret:</w:t>
            </w:r>
          </w:p>
          <w:p w:rsidR="00000000" w:rsidRPr="00D11288" w:rsidP="00D11288">
            <w:pPr>
              <w:pStyle w:val="ListBullet2"/>
            </w:pPr>
            <w:r w:rsidRPr="00D11288">
              <w:t xml:space="preserve">related legislation, codes regulations and standards </w:t>
            </w:r>
          </w:p>
          <w:p w:rsidR="00000000" w:rsidRPr="00D11288" w:rsidP="00D11288">
            <w:pPr>
              <w:pStyle w:val="ListBullet2"/>
            </w:pPr>
            <w:r w:rsidRPr="00D11288">
              <w:t xml:space="preserve">technical documentation, such as equipment manuals and specifications </w:t>
            </w:r>
          </w:p>
          <w:p w:rsidR="00000000" w:rsidRPr="00D11288" w:rsidP="00D11288">
            <w:pPr>
              <w:pStyle w:val="ListBullet"/>
            </w:pPr>
            <w:r w:rsidRPr="00D11288">
              <w:t>numeracy skills to take and analyse measurements</w:t>
            </w:r>
          </w:p>
          <w:p w:rsidR="00000000" w:rsidRPr="00D11288" w:rsidP="00D11288">
            <w:pPr>
              <w:pStyle w:val="ListBullet"/>
            </w:pPr>
            <w:r w:rsidRPr="00D11288">
              <w:t>planning and organisational skills to organise and maintain equipment</w:t>
            </w:r>
          </w:p>
          <w:p w:rsidR="00000000" w:rsidRPr="00D11288" w:rsidP="00D11288">
            <w:pPr>
              <w:pStyle w:val="ListBullet"/>
            </w:pPr>
            <w:r w:rsidRPr="00D11288">
              <w:t>problem solv</w:t>
            </w:r>
            <w:r w:rsidRPr="00D11288">
              <w:t>ing skills to solve equipment and logistics problems</w:t>
            </w:r>
          </w:p>
          <w:p w:rsidR="00000000" w:rsidRPr="00D11288" w:rsidP="00D11288">
            <w:pPr>
              <w:pStyle w:val="ListBullet"/>
            </w:pPr>
            <w:r w:rsidRPr="00D11288">
              <w:t>safety awareness skills to:</w:t>
            </w:r>
          </w:p>
          <w:p w:rsidR="00000000" w:rsidRPr="00D11288" w:rsidP="00D11288">
            <w:pPr>
              <w:pStyle w:val="ListBullet2"/>
            </w:pPr>
            <w:r w:rsidRPr="00D11288">
              <w:t>check environmental conditions are suitable for termination</w:t>
            </w:r>
          </w:p>
          <w:p w:rsidR="00000000" w:rsidRPr="00D11288" w:rsidP="00D11288">
            <w:pPr>
              <w:pStyle w:val="ListBullet2"/>
            </w:pPr>
            <w:r w:rsidRPr="00D11288">
              <w:t xml:space="preserve">make site safe and secure for cable installation </w:t>
            </w:r>
          </w:p>
          <w:p w:rsidR="00000000" w:rsidRPr="00D11288" w:rsidP="00D11288">
            <w:pPr>
              <w:pStyle w:val="ListBullet2"/>
            </w:pPr>
            <w:r w:rsidRPr="00D11288">
              <w:t>work systematically with required attention to detail without in</w:t>
            </w:r>
            <w:r w:rsidRPr="00D11288">
              <w:t xml:space="preserve">jury to self or others, or damage to goods or equipment </w:t>
            </w:r>
          </w:p>
          <w:p w:rsidR="00000000" w:rsidRPr="00D11288" w:rsidP="00D11288">
            <w:pPr>
              <w:pStyle w:val="ListBullet"/>
            </w:pPr>
            <w:r w:rsidRPr="00D11288">
              <w:t>task management skills to:</w:t>
            </w:r>
          </w:p>
          <w:p w:rsidR="00000000" w:rsidRPr="00D11288" w:rsidP="00D11288">
            <w:pPr>
              <w:pStyle w:val="ListBullet2"/>
            </w:pPr>
            <w:r w:rsidRPr="00D11288">
              <w:t xml:space="preserve">apply work practices which avoid cable damage </w:t>
            </w:r>
          </w:p>
          <w:p w:rsidR="00000000" w:rsidRPr="00D11288" w:rsidP="00D11288">
            <w:pPr>
              <w:pStyle w:val="ListBullet2"/>
            </w:pPr>
            <w:r w:rsidRPr="00D11288">
              <w:t>conform to work specifications and relevant industry standards</w:t>
            </w:r>
          </w:p>
          <w:p w:rsidR="00000000" w:rsidRPr="00D11288" w:rsidP="00D11288">
            <w:pPr>
              <w:pStyle w:val="ListBullet"/>
            </w:pPr>
            <w:r w:rsidRPr="00D11288">
              <w:t xml:space="preserve">technical skills to: </w:t>
            </w:r>
          </w:p>
          <w:p w:rsidR="00000000" w:rsidRPr="00D11288" w:rsidP="00D11288">
            <w:pPr>
              <w:pStyle w:val="ListBullet2"/>
            </w:pPr>
            <w:r w:rsidRPr="00D11288">
              <w:t xml:space="preserve">check cable route for obstructions and make clear using suitable methods </w:t>
            </w:r>
          </w:p>
          <w:p w:rsidR="00000000" w:rsidRPr="00D11288" w:rsidP="00D11288">
            <w:pPr>
              <w:pStyle w:val="ListBullet2"/>
            </w:pPr>
            <w:r w:rsidRPr="00D11288">
              <w:t>handle cable according to manufacturer's specifications so that conductors, sheath and insulation are not damaged during installation</w:t>
            </w:r>
          </w:p>
          <w:p w:rsidR="00000000" w:rsidRPr="00D11288" w:rsidP="00D11288">
            <w:pPr>
              <w:pStyle w:val="ListBullet2"/>
            </w:pPr>
            <w:r w:rsidRPr="00D11288">
              <w:t>select cabling system to meet customer performan</w:t>
            </w:r>
            <w:r w:rsidRPr="00D11288">
              <w:t xml:space="preserve">ce needs </w:t>
            </w:r>
          </w:p>
          <w:p w:rsidR="00000000" w:rsidRPr="00D11288" w:rsidP="00D11288">
            <w:pPr>
              <w:pStyle w:val="ListBullet2"/>
            </w:pPr>
            <w:r w:rsidRPr="00D11288">
              <w:t>read and interpret drawings related to:</w:t>
            </w:r>
          </w:p>
          <w:p w:rsidR="00000000" w:rsidRPr="00D11288" w:rsidP="00D11288">
            <w:pPr>
              <w:pStyle w:val="ListBullet3"/>
            </w:pPr>
            <w:r w:rsidRPr="00D11288">
              <w:t xml:space="preserve">cable coding system, identifiers and distributor locations </w:t>
            </w:r>
          </w:p>
          <w:p w:rsidR="00000000" w:rsidRPr="00D11288" w:rsidP="00D11288">
            <w:pPr>
              <w:pStyle w:val="ListBullet3"/>
            </w:pPr>
            <w:r w:rsidRPr="00D11288">
              <w:t>cable layouts</w:t>
            </w:r>
          </w:p>
          <w:p w:rsidR="00000000" w:rsidRPr="00D11288" w:rsidP="00D11288">
            <w:pPr>
              <w:pStyle w:val="ListBullet3"/>
            </w:pPr>
            <w:r w:rsidRPr="00D11288">
              <w:t>outlet location</w:t>
            </w:r>
          </w:p>
          <w:p w:rsidR="00000000" w:rsidRPr="00D11288" w:rsidP="00D11288">
            <w:pPr>
              <w:pStyle w:val="ListBullet2"/>
            </w:pPr>
            <w:r w:rsidRPr="00D11288">
              <w:t>terminate copper twisted pair, including indoor, external, aerial and underground cabling</w:t>
            </w:r>
          </w:p>
          <w:p w:rsidR="00000000" w:rsidRPr="00D11288" w:rsidP="00D11288">
            <w:pPr>
              <w:pStyle w:val="ListBullet2"/>
            </w:pPr>
            <w:r w:rsidRPr="00D11288">
              <w:t xml:space="preserve">use diagnostic equipment </w:t>
            </w:r>
          </w:p>
          <w:p w:rsidR="00000000" w:rsidP="00D11288">
            <w:pPr>
              <w:pStyle w:val="ListBullet2"/>
              <w:rPr>
                <w:lang w:val="en-NZ"/>
              </w:rPr>
            </w:pPr>
            <w:r w:rsidRPr="00D11288">
              <w:t>use hand and power tools</w:t>
            </w:r>
          </w:p>
        </w:tc>
      </w:tr>
      <w:tr w:rsidTr="00FB4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Required knowledge</w:t>
            </w:r>
          </w:p>
        </w:tc>
      </w:tr>
      <w:tr w:rsidTr="00FB46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ACMA  cabling provider rules, cabler registration rules, regulations and standards</w:t>
            </w:r>
          </w:p>
          <w:p w:rsidR="00000000" w:rsidRPr="00D11288" w:rsidP="00D11288">
            <w:pPr>
              <w:pStyle w:val="ListBullet"/>
            </w:pPr>
            <w:r w:rsidRPr="00D11288">
              <w:t>features and operating requirements of recognised cabling specific industry test equipment</w:t>
            </w:r>
          </w:p>
          <w:p w:rsidR="00000000" w:rsidRPr="00D11288" w:rsidP="00D11288">
            <w:pPr>
              <w:pStyle w:val="ListBullet"/>
            </w:pPr>
            <w:r w:rsidRPr="00D11288">
              <w:t>information required to operate equipment according to a test specification</w:t>
            </w:r>
          </w:p>
          <w:p w:rsidR="00000000" w:rsidRPr="00D11288" w:rsidP="00D11288">
            <w:pPr>
              <w:pStyle w:val="ListBullet"/>
            </w:pPr>
            <w:r w:rsidRPr="00D11288">
              <w:t>legislation, codes of practice and other formal agreements that impact on the work activity</w:t>
            </w:r>
          </w:p>
          <w:p w:rsidR="00000000" w:rsidRPr="00D11288" w:rsidP="00D11288">
            <w:pPr>
              <w:pStyle w:val="ListBullet"/>
            </w:pPr>
            <w:r w:rsidRPr="00D11288">
              <w:t>manufacturer's requirements for safe operation of equipment</w:t>
            </w:r>
          </w:p>
          <w:p w:rsidR="00000000" w:rsidRPr="00D11288" w:rsidP="00D11288">
            <w:pPr>
              <w:pStyle w:val="ListBullet"/>
            </w:pPr>
            <w:r w:rsidRPr="00D11288">
              <w:t>specific occupational health</w:t>
            </w:r>
            <w:r w:rsidRPr="00D11288">
              <w:t xml:space="preserve"> and safety (OHS) requirements relating to the activity and site conditions</w:t>
            </w:r>
          </w:p>
          <w:p w:rsidR="00000000" w:rsidRPr="00D11288" w:rsidP="00D11288">
            <w:pPr>
              <w:pStyle w:val="ListBullet"/>
            </w:pPr>
            <w:r w:rsidRPr="00D11288">
              <w:t>test methods and performance requirements</w:t>
            </w:r>
          </w:p>
          <w:p w:rsidR="00000000" w:rsidRPr="00D11288" w:rsidP="00D11288">
            <w:pPr>
              <w:pStyle w:val="ListBullet"/>
            </w:pPr>
            <w:r w:rsidRPr="00D11288">
              <w:t>typical issues and challenges that occur on site</w:t>
            </w:r>
          </w:p>
        </w:tc>
      </w:tr>
    </w:tbl>
    <w:p w:rsidR="00FB467B" w:rsidP="00D11288">
      <w:pPr>
        <w:pStyle w:val="BodyText"/>
      </w:pPr>
    </w:p>
    <w:p w:rsidR="00FB467B" w:rsidP="00D11288">
      <w:pPr>
        <w:pStyle w:val="BodyText"/>
      </w:pPr>
    </w:p>
    <w:p w:rsidR="00000000" w:rsidRPr="00D11288" w:rsidP="00D11288">
      <w:pPr>
        <w:pStyle w:val="AllowPageBreak"/>
      </w:pPr>
    </w:p>
    <w:p w:rsidR="00000000" w:rsidRPr="00D11288" w:rsidP="00D11288">
      <w:pPr>
        <w:pStyle w:val="Heading1"/>
      </w:pPr>
      <w:bookmarkStart w:id="10" w:name="O_244446"/>
      <w:bookmarkEnd w:id="10"/>
      <w:r w:rsidRPr="00D11288">
        <w:t>Evidence Guide</w:t>
      </w:r>
    </w:p>
    <w:tbl>
      <w:tblPr>
        <w:tblW w:w="9570" w:type="dxa"/>
        <w:tblLayout w:type="fixed"/>
        <w:tblCellMar>
          <w:left w:w="62" w:type="dxa"/>
          <w:right w:w="62" w:type="dxa"/>
        </w:tblCellMar>
        <w:tblLook w:val="0000"/>
      </w:tblPr>
      <w:tblGrid>
        <w:gridCol w:w="3908"/>
        <w:gridCol w:w="5662"/>
      </w:tblGrid>
      <w:tr w:rsidTr="00FB46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EVIDENCE GUIDE</w:t>
            </w:r>
          </w:p>
        </w:tc>
      </w:tr>
      <w:tr w:rsidTr="00FB46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t>The evidence guide provides advice on assessment and must be read in conjunction with the performance criteria, required skills and knowledge, range statement and the Assessment Guidelines for the Training Package.</w:t>
            </w:r>
          </w:p>
        </w:tc>
      </w:tr>
      <w:tr w:rsidTr="00FB4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BodyText"/>
            </w:pPr>
            <w:r w:rsidRPr="00D11288">
              <w:t>Evidence of the ability to:</w:t>
            </w:r>
          </w:p>
          <w:p w:rsidR="00000000" w:rsidRPr="00D11288" w:rsidP="00D11288">
            <w:pPr>
              <w:pStyle w:val="ListBullet"/>
            </w:pPr>
            <w:r w:rsidRPr="00D11288">
              <w:t>complete a cabling installation and termination:</w:t>
            </w:r>
          </w:p>
          <w:p w:rsidR="00000000" w:rsidRPr="00D11288" w:rsidP="00D11288">
            <w:pPr>
              <w:pStyle w:val="ListBullet2"/>
            </w:pPr>
            <w:r w:rsidRPr="00D11288">
              <w:t>three different types of telephone sockets:</w:t>
            </w:r>
          </w:p>
          <w:p w:rsidR="00000000" w:rsidRPr="00D11288" w:rsidP="00D11288">
            <w:pPr>
              <w:pStyle w:val="ListBullet3"/>
            </w:pPr>
            <w:r w:rsidRPr="00D11288">
              <w:t>Australian modular socket</w:t>
            </w:r>
          </w:p>
          <w:p w:rsidR="00000000" w:rsidRPr="00D11288" w:rsidP="00D11288">
            <w:pPr>
              <w:pStyle w:val="ListBullet3"/>
            </w:pPr>
            <w:r w:rsidRPr="00D11288">
              <w:t>United States modular socket</w:t>
            </w:r>
          </w:p>
          <w:p w:rsidR="00000000" w:rsidRPr="00D11288" w:rsidP="00D11288">
            <w:pPr>
              <w:pStyle w:val="ListBullet3"/>
            </w:pPr>
            <w:r w:rsidRPr="00D11288">
              <w:t>Mode 3 alarm socket</w:t>
            </w:r>
          </w:p>
          <w:p w:rsidR="00000000" w:rsidRPr="00D11288" w:rsidP="00D11288">
            <w:pPr>
              <w:pStyle w:val="ListBullet2"/>
            </w:pPr>
            <w:r w:rsidRPr="00D11288">
              <w:t>one network termination device (NTD)</w:t>
            </w:r>
          </w:p>
          <w:p w:rsidR="00000000" w:rsidRPr="00D11288" w:rsidP="00D11288">
            <w:pPr>
              <w:pStyle w:val="ListBullet2"/>
            </w:pPr>
            <w:r w:rsidRPr="00D11288">
              <w:t>one alarm panel including completion of a TCA compliance form and NTD records</w:t>
            </w:r>
          </w:p>
          <w:p w:rsidR="00000000" w:rsidRPr="00D11288" w:rsidP="00D11288">
            <w:pPr>
              <w:pStyle w:val="ListBullet2"/>
            </w:pPr>
            <w:r w:rsidRPr="00D11288">
              <w:t xml:space="preserve">one Ethernet cable </w:t>
            </w:r>
          </w:p>
          <w:p w:rsidR="00000000" w:rsidRPr="00D11288" w:rsidP="00D11288">
            <w:pPr>
              <w:pStyle w:val="ListBullet"/>
            </w:pPr>
            <w:r w:rsidRPr="00D11288">
              <w:t>apply cable conductor identification codes</w:t>
            </w:r>
          </w:p>
          <w:p w:rsidR="00000000" w:rsidRPr="00D11288" w:rsidP="00D11288">
            <w:pPr>
              <w:pStyle w:val="ListBullet"/>
            </w:pPr>
            <w:r w:rsidRPr="00D11288">
              <w:t xml:space="preserve">conduct and interpret cable </w:t>
            </w:r>
            <w:r w:rsidRPr="00D11288">
              <w:t>test results</w:t>
            </w:r>
          </w:p>
          <w:p w:rsidR="00000000" w:rsidRPr="00D11288" w:rsidP="00D11288">
            <w:pPr>
              <w:pStyle w:val="ListBullet"/>
            </w:pPr>
            <w:r w:rsidRPr="00D11288">
              <w:t>interpret and apply standards and regulations</w:t>
            </w:r>
          </w:p>
          <w:p w:rsidR="00000000" w:rsidP="00D11288">
            <w:pPr>
              <w:pStyle w:val="ListBullet"/>
              <w:rPr>
                <w:lang w:val="en-NZ"/>
              </w:rPr>
            </w:pPr>
            <w:r w:rsidRPr="00D11288">
              <w:t>comply with all related OHS requirements and work practices.</w:t>
            </w:r>
          </w:p>
        </w:tc>
      </w:tr>
      <w:tr w:rsidTr="00FB4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BodyText"/>
            </w:pPr>
            <w:r w:rsidRPr="00D11288">
              <w:t>Assessment must ensure:</w:t>
            </w:r>
          </w:p>
          <w:p w:rsidR="00000000" w:rsidRPr="00D11288" w:rsidP="00D11288">
            <w:pPr>
              <w:pStyle w:val="ListBullet"/>
            </w:pPr>
            <w:r w:rsidRPr="00D11288">
              <w:t>a site on which communications cabling activities may be carried out</w:t>
            </w:r>
          </w:p>
          <w:p w:rsidR="00000000" w:rsidRPr="00D11288" w:rsidP="00D11288">
            <w:pPr>
              <w:pStyle w:val="ListBullet"/>
            </w:pPr>
            <w:r w:rsidRPr="00D11288">
              <w:t>use of cabling and field equipment currently used in industry</w:t>
            </w:r>
          </w:p>
          <w:p w:rsidR="00000000" w:rsidP="00D11288">
            <w:pPr>
              <w:pStyle w:val="ListBullet"/>
              <w:rPr>
                <w:lang w:val="en-NZ"/>
              </w:rPr>
            </w:pPr>
            <w:r w:rsidRPr="00D11288">
              <w:t>licensing requirements and other site related documentation.</w:t>
            </w:r>
          </w:p>
        </w:tc>
      </w:tr>
      <w:tr w:rsidTr="00FB4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BodyText"/>
            </w:pPr>
            <w:r w:rsidRPr="00D11288">
              <w:t>A range of assessment methods should be us</w:t>
            </w:r>
            <w:r w:rsidRPr="00D11288">
              <w:t>ed to assess practical skills and knowledge. The following examples are appropriate for this unit:</w:t>
            </w:r>
          </w:p>
          <w:p w:rsidR="00000000" w:rsidRPr="00D11288" w:rsidP="00D11288">
            <w:pPr>
              <w:pStyle w:val="ListBullet"/>
            </w:pPr>
            <w:r w:rsidRPr="00D11288">
              <w:t>direct observation of the candidate undertaking cabling installations and tests, and applying cable conductor identification codes</w:t>
            </w:r>
          </w:p>
          <w:p w:rsidR="00000000" w:rsidP="00D11288">
            <w:pPr>
              <w:pStyle w:val="ListBullet"/>
              <w:rPr>
                <w:lang w:val="en-NZ"/>
              </w:rPr>
            </w:pPr>
            <w:r w:rsidRPr="00D11288">
              <w:t>oral or written questionin</w:t>
            </w:r>
            <w:r w:rsidRPr="00D11288">
              <w:t>g to assess knowledge of test results, standards requirements and specific technical procedures.</w:t>
            </w:r>
          </w:p>
        </w:tc>
      </w:tr>
      <w:tr w:rsidTr="00FB46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BodyText"/>
            </w:pPr>
            <w:r w:rsidRPr="00D11288">
              <w:t>Holistic assessment with other units relevant to the industry sector, workplace and job role is recommended, for example:</w:t>
            </w:r>
          </w:p>
          <w:p w:rsidR="00000000" w:rsidRPr="00D11288" w:rsidP="00D11288">
            <w:pPr>
              <w:pStyle w:val="ListBullet"/>
            </w:pPr>
            <w:r w:rsidRPr="00D11288">
              <w:t>ICTCBL2137A Install, maintain and modify customer premises communications cabling: ACMA Open Rule.</w:t>
            </w:r>
          </w:p>
          <w:p w:rsidR="00000000" w:rsidRPr="00D11288" w:rsidP="00D11288">
            <w:pPr>
              <w:pStyle w:val="BodyText"/>
            </w:pPr>
          </w:p>
          <w:p w:rsidR="00000000" w:rsidRPr="00D11288" w:rsidP="00D11288">
            <w:pPr>
              <w:pStyle w:val="BodyText"/>
            </w:pPr>
            <w:r w:rsidRPr="00D11288">
              <w:t>Aboriginal people and other people from a non-English speaking background may have second language issues.</w:t>
            </w:r>
          </w:p>
          <w:p w:rsidR="00000000" w:rsidRPr="00D11288" w:rsidP="00D11288">
            <w:pPr>
              <w:pStyle w:val="BodyText"/>
            </w:pPr>
          </w:p>
          <w:p w:rsidR="00000000" w:rsidRPr="00D11288" w:rsidP="00D11288">
            <w:pPr>
              <w:pStyle w:val="BodyText"/>
            </w:pPr>
            <w:r w:rsidRPr="00D11288">
              <w:t xml:space="preserve">Access must be provided to appropriate learning </w:t>
            </w:r>
            <w:r w:rsidRPr="00D11288">
              <w:t xml:space="preserve">and assessment support when required. </w:t>
            </w:r>
          </w:p>
          <w:p w:rsidR="00000000" w:rsidRPr="00D11288" w:rsidP="00D11288">
            <w:pPr>
              <w:pStyle w:val="BodyText"/>
            </w:pPr>
          </w:p>
          <w:p w:rsidR="00000000" w:rsidRPr="00D11288" w:rsidP="00D11288">
            <w:pPr>
              <w:pStyle w:val="BodyText"/>
            </w:pPr>
            <w:r w:rsidRPr="00D11288">
              <w:t>Assessment processes and techniques must be culturally appropriate, and appropriate to the oral communication skill level, and language and literacy capacity of the candidate and the work being performed.</w:t>
            </w:r>
          </w:p>
          <w:p w:rsidR="00000000" w:rsidRPr="00D11288" w:rsidP="00D11288">
            <w:pPr>
              <w:pStyle w:val="BodyText"/>
            </w:pPr>
          </w:p>
          <w:p w:rsidR="00000000" w:rsidRPr="00D11288" w:rsidP="00D11288">
            <w:pPr>
              <w:pStyle w:val="BodyText"/>
            </w:pPr>
            <w:r w:rsidRPr="00D11288">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D11288" w:rsidP="00D11288">
            <w:pPr>
              <w:pStyle w:val="BodyText"/>
            </w:pPr>
          </w:p>
          <w:p w:rsidR="00000000" w:rsidRPr="00D11288" w:rsidP="00D11288">
            <w:pPr>
              <w:pStyle w:val="BodyText"/>
            </w:pPr>
            <w:r w:rsidRPr="00D11288">
              <w:t>Where applicable, physical resources should include equipment modified for people with special needs.</w:t>
            </w:r>
          </w:p>
        </w:tc>
      </w:tr>
    </w:tbl>
    <w:p w:rsidR="00FB467B" w:rsidP="00D11288">
      <w:pPr>
        <w:pStyle w:val="BodyText"/>
      </w:pPr>
    </w:p>
    <w:p w:rsidR="00FB467B" w:rsidP="00D11288">
      <w:pPr>
        <w:pStyle w:val="BodyText"/>
      </w:pPr>
    </w:p>
    <w:p w:rsidR="00000000" w:rsidRPr="00D11288" w:rsidP="00D11288">
      <w:pPr>
        <w:pStyle w:val="Heading1"/>
      </w:pPr>
      <w:bookmarkStart w:id="11" w:name="O_252429"/>
      <w:bookmarkEnd w:id="11"/>
      <w:r w:rsidRPr="00D11288">
        <w:t>Range Statement</w:t>
      </w:r>
    </w:p>
    <w:tbl>
      <w:tblPr>
        <w:tblW w:w="0" w:type="auto"/>
        <w:tblLayout w:type="fixed"/>
        <w:tblCellMar>
          <w:left w:w="62" w:type="dxa"/>
          <w:right w:w="62" w:type="dxa"/>
        </w:tblCellMar>
        <w:tblLook w:val="0000"/>
      </w:tblPr>
      <w:tblGrid>
        <w:gridCol w:w="2621"/>
        <w:gridCol w:w="5901"/>
      </w:tblGrid>
      <w:tr w:rsidTr="00FB46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RANGE STATEMENT</w:t>
            </w:r>
          </w:p>
        </w:tc>
      </w:tr>
      <w:tr w:rsidTr="00FB46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t>The range statement relates to the unit of competency as a whole. It allows for different work environments and situations that may affect performance. Bold italicised wording, if used in the performance criteria, is detailed below. Essential operating con</w:t>
            </w:r>
            <w:r w:rsidRPr="00D11288">
              <w:t>ditions that may be present with training and assessment (depending on the work situation, needs of the candidate, accessibility of the item, and local industry and regional contexts) may also be included.</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Restricted cabling work</w:t>
            </w:r>
            <w:r w:rsidRPr="00D11288">
              <w:t xml:space="preserve"> refers to:</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aerial and un</w:t>
            </w:r>
            <w:r w:rsidRPr="00D11288">
              <w:t>derground cabling work on private property</w:t>
            </w:r>
          </w:p>
          <w:p w:rsidR="00000000" w:rsidRPr="00D11288" w:rsidP="00D11288">
            <w:pPr>
              <w:pStyle w:val="ListBullet"/>
            </w:pPr>
            <w:r w:rsidRPr="00D11288">
              <w:t>cabling work that is performed only in relation to a customer's premises</w:t>
            </w:r>
          </w:p>
          <w:p w:rsidR="00000000" w:rsidP="00D11288">
            <w:pPr>
              <w:pStyle w:val="ListBullet"/>
              <w:rPr>
                <w:lang w:val="en-NZ"/>
              </w:rPr>
            </w:pPr>
            <w:r w:rsidRPr="00D11288">
              <w:t>customer cabling that terminates directly at the network boundary on a socket or network termination device.</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Regulatory environment</w:t>
            </w:r>
            <w:r w:rsidRPr="00D11288">
              <w:t xml:space="preserve"> refers to:</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accredited registrars and registration</w:t>
            </w:r>
          </w:p>
          <w:p w:rsidR="00000000" w:rsidRPr="00D11288" w:rsidP="00D11288">
            <w:pPr>
              <w:pStyle w:val="ListBullet"/>
            </w:pPr>
            <w:r w:rsidRPr="00D11288">
              <w:t>ACMA</w:t>
            </w:r>
          </w:p>
          <w:p w:rsidR="00000000" w:rsidRPr="00D11288" w:rsidP="00D11288">
            <w:pPr>
              <w:pStyle w:val="ListBullet"/>
            </w:pPr>
            <w:r w:rsidRPr="00D11288">
              <w:t>Certified Components List</w:t>
            </w:r>
          </w:p>
          <w:p w:rsidR="00000000" w:rsidRPr="00D11288" w:rsidP="00D11288">
            <w:pPr>
              <w:pStyle w:val="ListBullet"/>
            </w:pPr>
            <w:r w:rsidRPr="00D11288">
              <w:t>Communications Alliance</w:t>
            </w:r>
          </w:p>
          <w:p w:rsidR="00000000" w:rsidRPr="00D11288" w:rsidP="00D11288">
            <w:pPr>
              <w:pStyle w:val="ListBullet"/>
            </w:pPr>
            <w:r w:rsidRPr="00D11288">
              <w:t>labelling requirements</w:t>
            </w:r>
          </w:p>
          <w:p w:rsidR="00000000" w:rsidP="00D11288">
            <w:pPr>
              <w:pStyle w:val="ListBullet"/>
              <w:rPr>
                <w:lang w:val="en-NZ"/>
              </w:rPr>
            </w:pPr>
            <w:r w:rsidRPr="00D11288">
              <w:t>Telecommunications Act 1997.</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Cabling environment</w:t>
            </w:r>
            <w:r w:rsidRPr="00D11288">
              <w:t xml:space="preserve"> may refer to:</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indoor environments, including concealed locations:</w:t>
            </w:r>
          </w:p>
          <w:p w:rsidR="00000000" w:rsidRPr="00D11288" w:rsidP="00D11288">
            <w:pPr>
              <w:pStyle w:val="ListBullet2"/>
            </w:pPr>
            <w:r w:rsidRPr="00D11288">
              <w:t>ceilings a</w:t>
            </w:r>
            <w:r w:rsidRPr="00D11288">
              <w:t>nd false ceilings</w:t>
            </w:r>
          </w:p>
          <w:p w:rsidR="00000000" w:rsidRPr="00D11288" w:rsidP="00D11288">
            <w:pPr>
              <w:pStyle w:val="ListBullet2"/>
            </w:pPr>
            <w:r w:rsidRPr="00D11288">
              <w:t>internal wall space</w:t>
            </w:r>
          </w:p>
          <w:p w:rsidR="00000000" w:rsidRPr="00D11288" w:rsidP="00D11288">
            <w:pPr>
              <w:pStyle w:val="ListBullet2"/>
            </w:pPr>
            <w:r w:rsidRPr="00D11288">
              <w:t>modular workstations</w:t>
            </w:r>
          </w:p>
          <w:p w:rsidR="00000000" w:rsidRPr="00D11288" w:rsidP="00D11288">
            <w:pPr>
              <w:pStyle w:val="ListBullet2"/>
            </w:pPr>
            <w:r w:rsidRPr="00D11288">
              <w:t>under floor</w:t>
            </w:r>
          </w:p>
          <w:p w:rsidR="00000000" w:rsidRPr="00D11288" w:rsidP="00D11288">
            <w:pPr>
              <w:pStyle w:val="ListBullet"/>
            </w:pPr>
            <w:r w:rsidRPr="00D11288">
              <w:t>outdoor environments, including cable installations:</w:t>
            </w:r>
          </w:p>
          <w:p w:rsidR="00000000" w:rsidRPr="00D11288" w:rsidP="00D11288">
            <w:pPr>
              <w:pStyle w:val="ListBullet2"/>
            </w:pPr>
            <w:r w:rsidRPr="00D11288">
              <w:t xml:space="preserve">aerial telecommunications cabling for restricted cabling work but does not include installations </w:t>
            </w:r>
            <w:r w:rsidRPr="00D11288">
              <w:t>on poles shared with low voltage (LV) or high voltage (HV) electrical power cables or terminations</w:t>
            </w:r>
          </w:p>
          <w:p w:rsidR="00000000" w:rsidRPr="00D11288" w:rsidP="00D11288">
            <w:pPr>
              <w:pStyle w:val="ListBullet2"/>
            </w:pPr>
            <w:r w:rsidRPr="00D11288">
              <w:t>external walls</w:t>
            </w:r>
          </w:p>
          <w:p w:rsidR="00000000" w:rsidP="00D11288">
            <w:pPr>
              <w:pStyle w:val="ListBullet2"/>
              <w:rPr>
                <w:lang w:val="en-NZ"/>
              </w:rPr>
            </w:pPr>
            <w:r w:rsidRPr="00D11288">
              <w:t>underground cabling in an exclusive trench or shared trench with electrical LV cables and other utilities.</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Cable type</w:t>
            </w:r>
            <w:r w:rsidRPr="00D11288">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aerial</w:t>
            </w:r>
          </w:p>
          <w:p w:rsidR="00000000" w:rsidRPr="00D11288" w:rsidP="00D11288">
            <w:pPr>
              <w:pStyle w:val="ListBullet"/>
            </w:pPr>
            <w:r w:rsidRPr="00D11288">
              <w:t>coa</w:t>
            </w:r>
            <w:r w:rsidRPr="00D11288">
              <w:t>xial</w:t>
            </w:r>
          </w:p>
          <w:p w:rsidR="00000000" w:rsidRPr="00D11288" w:rsidP="00D11288">
            <w:pPr>
              <w:pStyle w:val="ListBullet"/>
            </w:pPr>
            <w:r w:rsidRPr="00D11288">
              <w:t>copper twisted pair</w:t>
            </w:r>
          </w:p>
          <w:p w:rsidR="00000000" w:rsidRPr="00D11288" w:rsidP="00D11288">
            <w:pPr>
              <w:pStyle w:val="ListBullet"/>
            </w:pPr>
            <w:r w:rsidRPr="00D11288">
              <w:t>data cables:</w:t>
            </w:r>
          </w:p>
          <w:p w:rsidR="00000000" w:rsidRPr="00D11288" w:rsidP="00D11288">
            <w:pPr>
              <w:pStyle w:val="ListBullet2"/>
            </w:pPr>
            <w:r w:rsidRPr="00D11288">
              <w:t>Category 5, 6, 6A, 7 or &amp;A</w:t>
            </w:r>
          </w:p>
          <w:p w:rsidR="00000000" w:rsidRPr="00D11288" w:rsidP="00D11288">
            <w:pPr>
              <w:pStyle w:val="ListBullet"/>
            </w:pPr>
            <w:r w:rsidRPr="00D11288">
              <w:t>external</w:t>
            </w:r>
          </w:p>
          <w:p w:rsidR="00000000" w:rsidRPr="00D11288" w:rsidP="00D11288">
            <w:pPr>
              <w:pStyle w:val="ListBullet"/>
            </w:pPr>
            <w:r w:rsidRPr="00D11288">
              <w:t>indoor</w:t>
            </w:r>
          </w:p>
          <w:p w:rsidR="00000000" w:rsidRPr="00D11288" w:rsidP="00D11288">
            <w:pPr>
              <w:pStyle w:val="ListBullet"/>
            </w:pPr>
            <w:r w:rsidRPr="00D11288">
              <w:t>optic fibre cable</w:t>
            </w:r>
          </w:p>
          <w:p w:rsidR="00000000" w:rsidP="00D11288">
            <w:pPr>
              <w:pStyle w:val="ListBullet"/>
              <w:rPr>
                <w:lang w:val="en-NZ"/>
              </w:rPr>
            </w:pPr>
            <w:r w:rsidRPr="00D11288">
              <w:t>underground.</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Cable identification</w:t>
            </w:r>
            <w:r w:rsidRPr="00D11288">
              <w:t xml:space="preserve"> refers to:</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cable conductor identification codes:</w:t>
            </w:r>
          </w:p>
          <w:p w:rsidR="00000000" w:rsidRPr="00D11288" w:rsidP="00D11288">
            <w:pPr>
              <w:pStyle w:val="ListBullet2"/>
            </w:pPr>
            <w:r w:rsidRPr="00D11288">
              <w:t>banded</w:t>
            </w:r>
          </w:p>
          <w:p w:rsidR="00000000" w:rsidRPr="00D11288" w:rsidP="00D11288">
            <w:pPr>
              <w:pStyle w:val="ListBullet2"/>
            </w:pPr>
            <w:r w:rsidRPr="00D11288">
              <w:t>colour coded</w:t>
            </w:r>
          </w:p>
          <w:p w:rsidR="00000000" w:rsidRPr="00D11288" w:rsidP="00D11288">
            <w:pPr>
              <w:pStyle w:val="ListBullet2"/>
            </w:pPr>
            <w:r w:rsidRPr="00D11288">
              <w:t>lettered</w:t>
            </w:r>
          </w:p>
          <w:p w:rsidR="00000000" w:rsidP="00D11288">
            <w:pPr>
              <w:pStyle w:val="ListBullet2"/>
              <w:rPr>
                <w:lang w:val="en-NZ"/>
              </w:rPr>
            </w:pPr>
            <w:r w:rsidRPr="00D11288">
              <w:t>numbered.</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Termination systems</w:t>
            </w:r>
            <w:r w:rsidRPr="00D11288">
              <w:t xml:space="preserve"> must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network termination device</w:t>
            </w:r>
          </w:p>
          <w:p w:rsidR="00000000" w:rsidRPr="00D11288" w:rsidP="00D11288">
            <w:pPr>
              <w:pStyle w:val="ListBullet"/>
            </w:pPr>
            <w:r w:rsidRPr="00D11288">
              <w:t>socket types:</w:t>
            </w:r>
          </w:p>
          <w:p w:rsidR="00000000" w:rsidRPr="00D11288" w:rsidP="00D11288">
            <w:pPr>
              <w:pStyle w:val="ListBullet2"/>
            </w:pPr>
            <w:r w:rsidRPr="00D11288">
              <w:t>Australian modular socket</w:t>
            </w:r>
          </w:p>
          <w:p w:rsidR="00000000" w:rsidRPr="00D11288" w:rsidP="00D11288">
            <w:pPr>
              <w:pStyle w:val="ListBullet2"/>
            </w:pPr>
            <w:r w:rsidRPr="00D11288">
              <w:t xml:space="preserve">Mode 3 alarm socket </w:t>
            </w:r>
          </w:p>
          <w:p w:rsidR="00000000" w:rsidRPr="00D11288" w:rsidP="00D11288">
            <w:pPr>
              <w:pStyle w:val="ListBullet2"/>
            </w:pPr>
            <w:r w:rsidRPr="00D11288">
              <w:t>United States modular socket.</w:t>
            </w:r>
          </w:p>
          <w:p w:rsidR="00000000" w:rsidP="00D11288">
            <w:pPr>
              <w:pStyle w:val="ListBullet"/>
              <w:rPr>
                <w:lang w:val="en-NZ"/>
              </w:rPr>
            </w:pPr>
            <w:r w:rsidRPr="00D11288">
              <w:t>(Note: jumperable distributors are not included in this requirement).</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Earthing and protection</w:t>
            </w:r>
            <w:r w:rsidRPr="00D11288">
              <w:t xml:space="preserve"> must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earthing for protection</w:t>
            </w:r>
          </w:p>
          <w:p w:rsidR="00000000" w:rsidP="00D11288">
            <w:pPr>
              <w:pStyle w:val="ListBullet"/>
              <w:rPr>
                <w:lang w:val="en-NZ"/>
              </w:rPr>
            </w:pPr>
            <w:r w:rsidRPr="00D11288">
              <w:t>surge suppression.</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Records</w:t>
            </w:r>
            <w:r w:rsidRPr="00D11288">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 xml:space="preserve">NTD record cards </w:t>
            </w:r>
          </w:p>
          <w:p w:rsidR="00000000" w:rsidP="00D11288">
            <w:pPr>
              <w:pStyle w:val="ListBullet"/>
              <w:rPr>
                <w:lang w:val="en-NZ"/>
              </w:rPr>
            </w:pPr>
            <w:r w:rsidRPr="00D11288">
              <w:t>telecommunication cabling advice forms TCA1 and TCA2.</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Relevant legislation</w:t>
            </w:r>
            <w:r w:rsidRPr="00D11288">
              <w:t xml:space="preserve">, </w:t>
            </w:r>
            <w:r w:rsidRPr="00D11288">
              <w:rPr>
                <w:rStyle w:val="BoldandItalics"/>
              </w:rPr>
              <w:t>codes</w:t>
            </w:r>
            <w:r w:rsidRPr="00D11288">
              <w:t xml:space="preserve">, </w:t>
            </w:r>
            <w:r w:rsidRPr="00D11288">
              <w:rPr>
                <w:rStyle w:val="BoldandItalics"/>
              </w:rPr>
              <w:t>regulations and standards</w:t>
            </w:r>
            <w:r w:rsidRPr="00D11288">
              <w:t xml:space="preserve">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accredited registrars and registration</w:t>
            </w:r>
          </w:p>
          <w:p w:rsidR="00000000" w:rsidRPr="00D11288" w:rsidP="00D11288">
            <w:pPr>
              <w:pStyle w:val="ListBullet"/>
            </w:pPr>
            <w:r w:rsidRPr="00D11288">
              <w:t>Australian Comm</w:t>
            </w:r>
            <w:r w:rsidRPr="00D11288">
              <w:t>unications Industry Forum (ACIF) standards and codes</w:t>
            </w:r>
          </w:p>
          <w:p w:rsidR="00000000" w:rsidRPr="00D11288" w:rsidP="00D11288">
            <w:pPr>
              <w:pStyle w:val="ListBullet"/>
            </w:pPr>
            <w:r w:rsidRPr="00D11288">
              <w:t>ACMA</w:t>
            </w:r>
          </w:p>
          <w:p w:rsidR="00000000" w:rsidRPr="00D11288" w:rsidP="00D11288">
            <w:pPr>
              <w:pStyle w:val="ListBullet"/>
            </w:pPr>
            <w:r w:rsidRPr="00D11288">
              <w:t>AS/NZS 3000:2007</w:t>
            </w:r>
          </w:p>
          <w:p w:rsidR="00000000" w:rsidRPr="00D11288" w:rsidP="00D11288">
            <w:pPr>
              <w:pStyle w:val="ListBullet"/>
            </w:pPr>
            <w:r w:rsidRPr="00D11288">
              <w:t>AS/ACIF S008:2006 and AS/ACIF S009:2006</w:t>
            </w:r>
          </w:p>
          <w:p w:rsidR="00000000" w:rsidRPr="00D11288" w:rsidP="00D11288">
            <w:pPr>
              <w:pStyle w:val="ListBullet"/>
            </w:pPr>
            <w:r w:rsidRPr="00D11288">
              <w:t>Certified Components List (CCL)</w:t>
            </w:r>
          </w:p>
          <w:p w:rsidR="00000000" w:rsidRPr="00D11288" w:rsidP="00D11288">
            <w:pPr>
              <w:pStyle w:val="ListBullet"/>
            </w:pPr>
            <w:r w:rsidRPr="00D11288">
              <w:t>AS Communications Cabling Manual (CCM) -restricted</w:t>
            </w:r>
          </w:p>
          <w:p w:rsidR="00000000" w:rsidRPr="00D11288" w:rsidP="00D11288">
            <w:pPr>
              <w:pStyle w:val="ListBullet"/>
            </w:pPr>
            <w:r w:rsidRPr="00D11288">
              <w:t>labelling</w:t>
            </w:r>
          </w:p>
          <w:p w:rsidR="00000000" w:rsidP="00D11288">
            <w:pPr>
              <w:pStyle w:val="ListBullet"/>
              <w:rPr>
                <w:lang w:val="en-NZ"/>
              </w:rPr>
            </w:pPr>
            <w:r w:rsidRPr="00D11288">
              <w:t>Overview Telecommunications Act 1997.</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Building infrastructure</w:t>
            </w:r>
            <w:r w:rsidRPr="00D11288">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availability and suitability of existing cabling trays and fixing systems</w:t>
            </w:r>
          </w:p>
          <w:p w:rsidR="00000000" w:rsidRPr="00D11288" w:rsidP="00D11288">
            <w:pPr>
              <w:pStyle w:val="ListBullet"/>
            </w:pPr>
            <w:r w:rsidRPr="00D11288">
              <w:t>building hazards</w:t>
            </w:r>
          </w:p>
          <w:p w:rsidR="00000000" w:rsidRPr="00D11288" w:rsidP="00D11288">
            <w:pPr>
              <w:pStyle w:val="ListBullet"/>
            </w:pPr>
            <w:r w:rsidRPr="00D11288">
              <w:t xml:space="preserve">elevated working </w:t>
            </w:r>
          </w:p>
          <w:p w:rsidR="00000000" w:rsidRPr="00D11288" w:rsidP="00D11288">
            <w:pPr>
              <w:pStyle w:val="ListBullet"/>
            </w:pPr>
            <w:r w:rsidRPr="00D11288">
              <w:t>high voltage (HV) power</w:t>
            </w:r>
          </w:p>
          <w:p w:rsidR="00000000" w:rsidP="00D11288">
            <w:pPr>
              <w:pStyle w:val="ListBullet"/>
              <w:rPr>
                <w:lang w:val="en-NZ"/>
              </w:rPr>
            </w:pPr>
            <w:r w:rsidRPr="00D11288">
              <w:t>restricted access.</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Cabling</w:t>
            </w:r>
            <w:r w:rsidRPr="00D11288">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 xml:space="preserve">aerial customer </w:t>
            </w:r>
          </w:p>
          <w:p w:rsidR="00000000" w:rsidRPr="00D11288" w:rsidP="00D11288">
            <w:pPr>
              <w:pStyle w:val="ListBullet"/>
            </w:pPr>
            <w:r w:rsidRPr="00D11288">
              <w:t xml:space="preserve">external customer </w:t>
            </w:r>
          </w:p>
          <w:p w:rsidR="00000000" w:rsidRPr="00D11288" w:rsidP="00D11288">
            <w:pPr>
              <w:pStyle w:val="ListBullet"/>
            </w:pPr>
            <w:r w:rsidRPr="00D11288">
              <w:t>indoor cu</w:t>
            </w:r>
            <w:r w:rsidRPr="00D11288">
              <w:t xml:space="preserve">stomer </w:t>
            </w:r>
          </w:p>
          <w:p w:rsidR="00000000" w:rsidP="00D11288">
            <w:pPr>
              <w:pStyle w:val="ListBullet"/>
              <w:rPr>
                <w:lang w:val="en-NZ"/>
              </w:rPr>
            </w:pPr>
            <w:r w:rsidRPr="00D11288">
              <w:t>underground customer.</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Strategies to manage other infrastructure</w:t>
            </w:r>
            <w:r w:rsidRPr="00D11288">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appropriate separations</w:t>
            </w:r>
          </w:p>
          <w:p w:rsidR="00000000" w:rsidRPr="00D11288" w:rsidP="00D11288">
            <w:pPr>
              <w:pStyle w:val="ListBullet"/>
            </w:pPr>
            <w:r w:rsidRPr="00D11288">
              <w:t>correct use of cable trays and support systems</w:t>
            </w:r>
          </w:p>
          <w:p w:rsidR="00000000" w:rsidP="00D11288">
            <w:pPr>
              <w:pStyle w:val="ListBullet"/>
              <w:rPr>
                <w:lang w:val="en-NZ"/>
              </w:rPr>
            </w:pPr>
            <w:r w:rsidRPr="00D11288">
              <w:t>fastening techniques.</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Safety hazards</w:t>
            </w:r>
            <w:r w:rsidRPr="00D11288">
              <w:t xml:space="preserve"> may refer to:</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access points that may contain:</w:t>
            </w:r>
          </w:p>
          <w:p w:rsidR="00000000" w:rsidRPr="00D11288" w:rsidP="00D11288">
            <w:pPr>
              <w:pStyle w:val="ListBullet2"/>
            </w:pPr>
            <w:r w:rsidRPr="00D11288">
              <w:t>hazardous light or non-visible laser</w:t>
            </w:r>
          </w:p>
          <w:p w:rsidR="00000000" w:rsidRPr="00D11288" w:rsidP="00D11288">
            <w:pPr>
              <w:pStyle w:val="ListBullet2"/>
            </w:pPr>
            <w:r w:rsidRPr="00D11288">
              <w:t>radio frequency (RF) emission</w:t>
            </w:r>
          </w:p>
          <w:p w:rsidR="00000000" w:rsidRPr="00D11288" w:rsidP="00D11288">
            <w:pPr>
              <w:pStyle w:val="ListBullet"/>
            </w:pPr>
            <w:r w:rsidRPr="00D11288">
              <w:t>electrical supply and areas of earth potential rise (EPR) that require mandatory separation from communications cable</w:t>
            </w:r>
          </w:p>
          <w:p w:rsidR="00000000" w:rsidP="00D11288">
            <w:pPr>
              <w:pStyle w:val="ListBullet"/>
              <w:rPr>
                <w:lang w:val="en-NZ"/>
              </w:rPr>
            </w:pPr>
            <w:r w:rsidRPr="00D11288">
              <w:t>hazardous conduit as according to AS 1345:1995 conduit colours associat</w:t>
            </w:r>
            <w:r w:rsidRPr="00D11288">
              <w:t>ed with a hazardous service.</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Termination</w:t>
            </w:r>
            <w:r w:rsidRPr="00D11288">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Australian modular socket</w:t>
            </w:r>
          </w:p>
          <w:p w:rsidR="00000000" w:rsidRPr="00D11288" w:rsidP="00D11288">
            <w:pPr>
              <w:pStyle w:val="ListBullet"/>
            </w:pPr>
            <w:r w:rsidRPr="00D11288">
              <w:t xml:space="preserve">Ethernet connectors terminated at both ends of an Ethernet cable and tested </w:t>
            </w:r>
          </w:p>
          <w:p w:rsidR="00000000" w:rsidRPr="00D11288" w:rsidP="00D11288">
            <w:pPr>
              <w:pStyle w:val="ListBullet"/>
            </w:pPr>
            <w:r w:rsidRPr="00D11288">
              <w:t>Mode 3 alarm socket</w:t>
            </w:r>
          </w:p>
          <w:p w:rsidR="00000000" w:rsidRPr="00D11288" w:rsidP="00D11288">
            <w:pPr>
              <w:pStyle w:val="ListBullet"/>
            </w:pPr>
            <w:r w:rsidRPr="00D11288">
              <w:t>NTD</w:t>
            </w:r>
          </w:p>
          <w:p w:rsidR="00000000" w:rsidRPr="00D11288" w:rsidP="00D11288">
            <w:pPr>
              <w:pStyle w:val="ListBullet"/>
            </w:pPr>
            <w:r w:rsidRPr="00D11288">
              <w:t>United States modular socket</w:t>
            </w:r>
          </w:p>
          <w:p w:rsidR="00000000" w:rsidP="00D11288">
            <w:pPr>
              <w:pStyle w:val="ListBullet"/>
              <w:rPr>
                <w:lang w:val="en-NZ"/>
              </w:rPr>
            </w:pPr>
            <w:r w:rsidRPr="00D11288">
              <w:t>(Note: jumperable distributors are not included).</w:t>
            </w:r>
          </w:p>
        </w:tc>
      </w:tr>
      <w:tr w:rsidTr="00FB467B">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BoldandItalics"/>
              </w:rPr>
              <w:t>Separations</w:t>
            </w:r>
            <w:r w:rsidRPr="00D11288">
              <w:t xml:space="preserve"> refer to:</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ListBullet"/>
            </w:pPr>
            <w:r w:rsidRPr="00D11288">
              <w:t>correct separations between communications cable and other services:</w:t>
            </w:r>
          </w:p>
          <w:p w:rsidR="00000000" w:rsidRPr="00D11288" w:rsidP="00D11288">
            <w:pPr>
              <w:pStyle w:val="ListBullet2"/>
            </w:pPr>
            <w:r w:rsidRPr="00D11288">
              <w:t>LV</w:t>
            </w:r>
          </w:p>
          <w:p w:rsidR="00000000" w:rsidRPr="00D11288" w:rsidP="00D11288">
            <w:pPr>
              <w:pStyle w:val="ListBullet2"/>
            </w:pPr>
            <w:r w:rsidRPr="00D11288">
              <w:t>HV single core</w:t>
            </w:r>
          </w:p>
          <w:p w:rsidR="00000000" w:rsidRPr="00D11288" w:rsidP="00D11288">
            <w:pPr>
              <w:pStyle w:val="ListBullet2"/>
            </w:pPr>
            <w:r w:rsidRPr="00D11288">
              <w:t>HV multi-core</w:t>
            </w:r>
          </w:p>
          <w:p w:rsidR="00000000" w:rsidRPr="00D11288" w:rsidP="00D11288">
            <w:pPr>
              <w:pStyle w:val="ListBullet2"/>
            </w:pPr>
            <w:r w:rsidRPr="00D11288">
              <w:t>open terminations</w:t>
            </w:r>
          </w:p>
          <w:p w:rsidR="00000000" w:rsidRPr="00D11288" w:rsidP="00D11288">
            <w:pPr>
              <w:pStyle w:val="ListBullet"/>
            </w:pPr>
            <w:r w:rsidRPr="00D11288">
              <w:t>separations covered by AS/ACIF S009:2006.</w:t>
            </w:r>
          </w:p>
        </w:tc>
      </w:tr>
    </w:tbl>
    <w:p w:rsidR="00FB467B" w:rsidP="00D11288">
      <w:pPr>
        <w:pStyle w:val="BodyText"/>
      </w:pPr>
    </w:p>
    <w:p w:rsidR="00FB467B" w:rsidP="00D11288">
      <w:pPr>
        <w:pStyle w:val="BodyText"/>
      </w:pPr>
    </w:p>
    <w:p w:rsidR="00000000" w:rsidRPr="00D11288" w:rsidP="00D11288">
      <w:pPr>
        <w:pStyle w:val="Heading1"/>
      </w:pPr>
      <w:bookmarkStart w:id="12" w:name="O_208688"/>
      <w:bookmarkEnd w:id="12"/>
      <w:r w:rsidRPr="00D11288">
        <w:t>Unit Sector(s)</w:t>
      </w:r>
    </w:p>
    <w:tbl>
      <w:tblPr>
        <w:tblW w:w="0" w:type="auto"/>
        <w:tblLayout w:type="fixed"/>
        <w:tblCellMar>
          <w:left w:w="62" w:type="dxa"/>
          <w:right w:w="62" w:type="dxa"/>
        </w:tblCellMar>
        <w:tblLook w:val="0000"/>
      </w:tblPr>
      <w:tblGrid>
        <w:gridCol w:w="2504"/>
        <w:gridCol w:w="6018"/>
      </w:tblGrid>
      <w:tr w:rsidTr="00FB467B">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Unit sector</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BodyText"/>
            </w:pPr>
            <w:r w:rsidRPr="00D11288">
              <w:t>Telecommunications</w:t>
            </w:r>
          </w:p>
        </w:tc>
      </w:tr>
    </w:tbl>
    <w:p w:rsidR="00FB467B" w:rsidP="00D11288">
      <w:pPr>
        <w:pStyle w:val="BodyText"/>
      </w:pPr>
    </w:p>
    <w:p w:rsidR="00FB467B" w:rsidP="00D11288">
      <w:pPr>
        <w:pStyle w:val="BodyText"/>
      </w:pPr>
    </w:p>
    <w:p w:rsidR="00000000" w:rsidRPr="00D11288" w:rsidP="00D11288">
      <w:pPr>
        <w:pStyle w:val="Heading1"/>
      </w:pPr>
      <w:bookmarkStart w:id="13" w:name="O_208685"/>
      <w:bookmarkEnd w:id="13"/>
      <w:r w:rsidRPr="00D11288">
        <w:t>Co-requisite units</w:t>
      </w:r>
    </w:p>
    <w:tbl>
      <w:tblPr>
        <w:tblW w:w="0" w:type="auto"/>
        <w:tblLayout w:type="fixed"/>
        <w:tblCellMar>
          <w:left w:w="62" w:type="dxa"/>
          <w:right w:w="62" w:type="dxa"/>
        </w:tblCellMar>
        <w:tblLook w:val="0000"/>
      </w:tblPr>
      <w:tblGrid>
        <w:gridCol w:w="2570"/>
        <w:gridCol w:w="1480"/>
        <w:gridCol w:w="4472"/>
      </w:tblGrid>
      <w:tr w:rsidTr="00FB467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Co-requisite units</w:t>
            </w:r>
          </w:p>
        </w:tc>
        <w:tc>
          <w:tcPr>
            <w:tcW w:w="595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p>
        </w:tc>
      </w:tr>
      <w:tr w:rsidTr="00FB4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p>
        </w:tc>
      </w:tr>
      <w:tr w:rsidTr="00FB467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BodyText"/>
            </w:pPr>
          </w:p>
        </w:tc>
      </w:tr>
    </w:tbl>
    <w:p w:rsidR="00FB467B" w:rsidP="00D11288">
      <w:pPr>
        <w:pStyle w:val="BodyText"/>
      </w:pPr>
    </w:p>
    <w:p w:rsidR="00FB467B" w:rsidP="00D11288">
      <w:pPr>
        <w:pStyle w:val="BodyText"/>
      </w:pPr>
    </w:p>
    <w:p w:rsidR="00000000" w:rsidRPr="00D11288" w:rsidP="00D11288">
      <w:pPr>
        <w:pStyle w:val="Heading1"/>
      </w:pPr>
      <w:bookmarkStart w:id="14" w:name="O_208687"/>
      <w:bookmarkEnd w:id="14"/>
      <w:r w:rsidRPr="00D11288">
        <w:t>Competency field</w:t>
      </w:r>
    </w:p>
    <w:tbl>
      <w:tblPr>
        <w:tblW w:w="0" w:type="auto"/>
        <w:tblLayout w:type="fixed"/>
        <w:tblCellMar>
          <w:left w:w="62" w:type="dxa"/>
          <w:right w:w="62" w:type="dxa"/>
        </w:tblCellMar>
        <w:tblLook w:val="0000"/>
      </w:tblPr>
      <w:tblGrid>
        <w:gridCol w:w="2711"/>
        <w:gridCol w:w="5811"/>
      </w:tblGrid>
      <w:tr w:rsidTr="00FB467B">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288">
            <w:pPr>
              <w:pStyle w:val="BodyText"/>
              <w:rPr>
                <w:lang w:val="en-NZ"/>
              </w:rPr>
            </w:pPr>
            <w:r w:rsidRPr="00D11288">
              <w:rPr>
                <w:rStyle w:val="SpecialBold"/>
              </w:rPr>
              <w:t>Competency field</w:t>
            </w:r>
          </w:p>
        </w:tc>
        <w:tc>
          <w:tcPr>
            <w:tcW w:w="5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288" w:rsidP="00D11288">
            <w:pPr>
              <w:pStyle w:val="BodyText"/>
            </w:pPr>
            <w:r w:rsidRPr="00D11288">
              <w:t>Cabling</w:t>
            </w:r>
          </w:p>
        </w:tc>
      </w:tr>
    </w:tbl>
    <w:p w:rsidR="00FB467B" w:rsidP="00D11288">
      <w:pPr>
        <w:pStyle w:val="BodyText"/>
      </w:pPr>
    </w:p>
    <w:p w:rsidR="00FB467B" w:rsidP="00D11288">
      <w:pPr>
        <w:pStyle w:val="BodyText"/>
      </w:pPr>
    </w:p>
    <w:p w:rsidR="00000000" w:rsidRPr="00D11288" w:rsidP="00D11288"/>
    <w:sectPr w:rsidSect="00D112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67B" w:rsidP="00FB46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67B" w:rsidP="00D112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B467B" w:rsidP="00D112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467B" w:rsidP="00D112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88" w:rsidRPr="00FB467B" w:rsidP="00FB46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67B" w:rsidRPr="002D2AF8" w:rsidP="00D11288">
    <w:pPr>
      <w:pStyle w:val="Header"/>
      <w:framePr w:wrap="around"/>
    </w:pPr>
    <w:r>
      <w:fldChar w:fldCharType="begin"/>
    </w:r>
    <w:r>
      <w:instrText xml:space="preserve"> TITLE   \* MERGEFORMAT </w:instrText>
    </w:r>
    <w:r>
      <w:fldChar w:fldCharType="separate"/>
    </w:r>
    <w:r>
      <w:t>ICTCBL2136A Install, maintain and modify customer premises communications cabling: ACMA Restricted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B467B" w:rsidP="00D11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80F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86E4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E85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288"/>
    <w:pPr>
      <w:spacing w:before="360" w:after="60"/>
      <w:outlineLvl w:val="0"/>
    </w:pPr>
    <w:rPr>
      <w:sz w:val="32"/>
    </w:rPr>
  </w:style>
  <w:style w:type="paragraph" w:styleId="Heading2">
    <w:name w:val="heading 2"/>
    <w:basedOn w:val="HeadingBase"/>
    <w:next w:val="BodyText"/>
    <w:link w:val="Heading2Char"/>
    <w:qFormat/>
    <w:rsid w:val="00D11288"/>
    <w:pPr>
      <w:keepLines/>
      <w:spacing w:before="240" w:after="120"/>
      <w:outlineLvl w:val="1"/>
    </w:pPr>
    <w:rPr>
      <w:sz w:val="28"/>
      <w:szCs w:val="40"/>
    </w:rPr>
  </w:style>
  <w:style w:type="paragraph" w:styleId="Heading3">
    <w:name w:val="heading 3"/>
    <w:basedOn w:val="HeadingBase"/>
    <w:next w:val="BodyText"/>
    <w:link w:val="Heading3Char"/>
    <w:qFormat/>
    <w:rsid w:val="00D11288"/>
    <w:pPr>
      <w:spacing w:before="180" w:after="120"/>
      <w:outlineLvl w:val="2"/>
    </w:pPr>
    <w:rPr>
      <w:spacing w:val="-10"/>
      <w:kern w:val="32"/>
    </w:rPr>
  </w:style>
  <w:style w:type="paragraph" w:styleId="Heading4">
    <w:name w:val="heading 4"/>
    <w:basedOn w:val="HeadingBase"/>
    <w:next w:val="BodyText"/>
    <w:link w:val="Heading4Char"/>
    <w:qFormat/>
    <w:rsid w:val="00D11288"/>
    <w:pPr>
      <w:spacing w:before="160" w:after="120"/>
      <w:outlineLvl w:val="3"/>
    </w:pPr>
    <w:rPr>
      <w:sz w:val="22"/>
    </w:rPr>
  </w:style>
  <w:style w:type="paragraph" w:styleId="Heading5">
    <w:name w:val="heading 5"/>
    <w:basedOn w:val="HeadingBase"/>
    <w:next w:val="Normal"/>
    <w:link w:val="Heading5Char"/>
    <w:qFormat/>
    <w:rsid w:val="00D11288"/>
    <w:pPr>
      <w:spacing w:before="80"/>
      <w:outlineLvl w:val="4"/>
    </w:pPr>
    <w:rPr>
      <w:color w:val="918585"/>
      <w:sz w:val="20"/>
    </w:rPr>
  </w:style>
  <w:style w:type="paragraph" w:styleId="Heading6">
    <w:name w:val="heading 6"/>
    <w:basedOn w:val="HeadingBase"/>
    <w:next w:val="Normal"/>
    <w:link w:val="Heading6Char"/>
    <w:qFormat/>
    <w:rsid w:val="00D11288"/>
    <w:pPr>
      <w:spacing w:before="60"/>
      <w:outlineLvl w:val="5"/>
    </w:pPr>
    <w:rPr>
      <w:color w:val="918585"/>
      <w:sz w:val="20"/>
    </w:rPr>
  </w:style>
  <w:style w:type="paragraph" w:styleId="Heading7">
    <w:name w:val="heading 7"/>
    <w:basedOn w:val="Normal"/>
    <w:next w:val="Normal"/>
    <w:link w:val="Heading7Char"/>
    <w:qFormat/>
    <w:rsid w:val="00D11288"/>
    <w:pPr>
      <w:ind w:left="720"/>
      <w:outlineLvl w:val="6"/>
    </w:pPr>
    <w:rPr>
      <w:i/>
    </w:rPr>
  </w:style>
  <w:style w:type="paragraph" w:styleId="Heading8">
    <w:name w:val="heading 8"/>
    <w:basedOn w:val="Normal"/>
    <w:next w:val="Normal"/>
    <w:link w:val="Heading8Char"/>
    <w:qFormat/>
    <w:rsid w:val="00D11288"/>
    <w:pPr>
      <w:ind w:left="720"/>
      <w:outlineLvl w:val="7"/>
    </w:pPr>
    <w:rPr>
      <w:i/>
    </w:rPr>
  </w:style>
  <w:style w:type="paragraph" w:styleId="Heading9">
    <w:name w:val="heading 9"/>
    <w:basedOn w:val="Normal"/>
    <w:next w:val="Normal"/>
    <w:link w:val="Heading9Char"/>
    <w:qFormat/>
    <w:rsid w:val="00D11288"/>
    <w:pPr>
      <w:ind w:left="720"/>
      <w:outlineLvl w:val="8"/>
    </w:pPr>
    <w:rPr>
      <w:i/>
    </w:rPr>
  </w:style>
  <w:style w:type="character" w:default="1" w:styleId="DefaultParagraphFont">
    <w:name w:val="Default Paragraph Font"/>
    <w:uiPriority w:val="1"/>
    <w:unhideWhenUsed/>
    <w:rsid w:val="00D11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288"/>
  </w:style>
  <w:style w:type="character" w:customStyle="1" w:styleId="Heading1Char">
    <w:name w:val="Heading 1 Char"/>
    <w:basedOn w:val="DefaultParagraphFont"/>
    <w:link w:val="Heading1"/>
    <w:rsid w:val="00D11288"/>
    <w:rPr>
      <w:rFonts w:ascii="Times New Roman" w:eastAsia="Times New Roman" w:hAnsi="Times New Roman" w:cs="Times New Roman"/>
      <w:b/>
      <w:sz w:val="32"/>
      <w:szCs w:val="20"/>
      <w:lang w:eastAsia="en-US"/>
    </w:rPr>
  </w:style>
  <w:style w:type="paragraph" w:styleId="BodyText">
    <w:name w:val="Body Text"/>
    <w:basedOn w:val="Normal"/>
    <w:link w:val="BodyTextChar"/>
    <w:rsid w:val="00D112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1288"/>
    <w:rPr>
      <w:rFonts w:ascii="Times New Roman" w:eastAsia="Times New Roman" w:hAnsi="Times New Roman" w:cs="Times New Roman"/>
      <w:sz w:val="24"/>
      <w:lang w:eastAsia="en-US"/>
    </w:rPr>
  </w:style>
  <w:style w:type="paragraph" w:styleId="Footer">
    <w:name w:val="footer"/>
    <w:basedOn w:val="Normal"/>
    <w:link w:val="FooterChar"/>
    <w:rsid w:val="00D11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288"/>
    <w:rPr>
      <w:rFonts w:ascii="Times New Roman" w:eastAsia="Times New Roman" w:hAnsi="Times New Roman" w:cs="Times New Roman"/>
      <w:sz w:val="16"/>
      <w:lang w:eastAsia="en-US"/>
    </w:rPr>
  </w:style>
  <w:style w:type="paragraph" w:styleId="List">
    <w:name w:val="List"/>
    <w:basedOn w:val="BodyText"/>
    <w:next w:val="BodyText"/>
    <w:rsid w:val="00D11288"/>
    <w:pPr>
      <w:tabs>
        <w:tab w:val="left" w:pos="340"/>
      </w:tabs>
      <w:spacing w:before="60" w:after="60"/>
      <w:ind w:left="340" w:hanging="340"/>
    </w:pPr>
  </w:style>
  <w:style w:type="paragraph" w:styleId="ListBullet">
    <w:name w:val="List Bullet"/>
    <w:basedOn w:val="List"/>
    <w:rsid w:val="00D11288"/>
    <w:pPr>
      <w:numPr>
        <w:numId w:val="14"/>
      </w:numPr>
      <w:tabs>
        <w:tab w:val="clear" w:pos="340"/>
      </w:tabs>
      <w:spacing w:before="40" w:after="40"/>
    </w:pPr>
  </w:style>
  <w:style w:type="character" w:customStyle="1" w:styleId="SpecialBold">
    <w:name w:val="Special Bold"/>
    <w:basedOn w:val="DefaultParagraphFont"/>
    <w:rsid w:val="00D11288"/>
    <w:rPr>
      <w:b/>
      <w:spacing w:val="0"/>
    </w:rPr>
  </w:style>
  <w:style w:type="paragraph" w:styleId="ListBullet2">
    <w:name w:val="List Bullet 2"/>
    <w:basedOn w:val="List2"/>
    <w:rsid w:val="00D11288"/>
    <w:pPr>
      <w:numPr>
        <w:numId w:val="15"/>
      </w:numPr>
      <w:tabs>
        <w:tab w:val="clear" w:pos="680"/>
      </w:tabs>
    </w:pPr>
  </w:style>
  <w:style w:type="paragraph" w:customStyle="1" w:styleId="SuperHeading">
    <w:name w:val="SuperHeading"/>
    <w:basedOn w:val="Normal"/>
    <w:rsid w:val="00D11288"/>
    <w:pPr>
      <w:spacing w:before="240" w:after="120"/>
      <w:outlineLvl w:val="0"/>
    </w:pPr>
    <w:rPr>
      <w:rFonts w:ascii="Times New Roman" w:hAnsi="Times New Roman"/>
      <w:b/>
      <w:sz w:val="28"/>
    </w:rPr>
  </w:style>
  <w:style w:type="paragraph" w:customStyle="1" w:styleId="AllowPageBreak">
    <w:name w:val="AllowPageBreak"/>
    <w:rsid w:val="00D112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1288"/>
    <w:pPr>
      <w:tabs>
        <w:tab w:val="left" w:pos="680"/>
      </w:tabs>
      <w:spacing w:before="60" w:after="60"/>
      <w:ind w:left="680" w:hanging="340"/>
    </w:pPr>
  </w:style>
  <w:style w:type="paragraph" w:styleId="ListBullet3">
    <w:name w:val="List Bullet 3"/>
    <w:basedOn w:val="List3"/>
    <w:rsid w:val="00D11288"/>
    <w:pPr>
      <w:numPr>
        <w:numId w:val="3"/>
      </w:numPr>
      <w:tabs>
        <w:tab w:val="clear" w:pos="1021"/>
      </w:tabs>
      <w:ind w:left="1037" w:hanging="357"/>
    </w:pPr>
  </w:style>
  <w:style w:type="character" w:customStyle="1" w:styleId="BoldandItalics">
    <w:name w:val="Bold and Italics"/>
    <w:qFormat/>
    <w:rsid w:val="00D11288"/>
    <w:rPr>
      <w:b/>
      <w:i/>
      <w:u w:val="none"/>
    </w:rPr>
  </w:style>
  <w:style w:type="character" w:customStyle="1" w:styleId="Heading2Char">
    <w:name w:val="Heading 2 Char"/>
    <w:basedOn w:val="DefaultParagraphFont"/>
    <w:link w:val="Heading2"/>
    <w:rsid w:val="00D11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288"/>
    <w:rPr>
      <w:rFonts w:ascii="Courier New" w:eastAsia="Times New Roman" w:hAnsi="Courier New" w:cs="Times New Roman"/>
      <w:i/>
      <w:szCs w:val="20"/>
      <w:lang w:eastAsia="en-US"/>
    </w:rPr>
  </w:style>
  <w:style w:type="paragraph" w:customStyle="1" w:styleId="HeadingBase">
    <w:name w:val="Heading Base"/>
    <w:rsid w:val="00D11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288"/>
    <w:pPr>
      <w:tabs>
        <w:tab w:val="right" w:leader="dot" w:pos="9072"/>
      </w:tabs>
      <w:ind w:left="567"/>
    </w:pPr>
    <w:rPr>
      <w:szCs w:val="22"/>
    </w:rPr>
  </w:style>
  <w:style w:type="paragraph" w:customStyle="1" w:styleId="TOCBase">
    <w:name w:val="TOC Base"/>
    <w:rsid w:val="00D11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288"/>
    <w:pPr>
      <w:tabs>
        <w:tab w:val="right" w:leader="dot" w:pos="9072"/>
      </w:tabs>
      <w:spacing w:before="40" w:after="40"/>
      <w:ind w:left="284"/>
    </w:pPr>
    <w:rPr>
      <w:rFonts w:ascii="Times New Roman" w:hAnsi="Times New Roman"/>
    </w:rPr>
  </w:style>
  <w:style w:type="paragraph" w:styleId="TOC1">
    <w:name w:val="toc 1"/>
    <w:basedOn w:val="TOCBase"/>
    <w:next w:val="Normal"/>
    <w:rsid w:val="00D112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1288"/>
    <w:pPr>
      <w:spacing w:before="5040"/>
      <w:jc w:val="center"/>
    </w:pPr>
    <w:rPr>
      <w:sz w:val="48"/>
      <w:szCs w:val="72"/>
      <w:lang w:val="en-US"/>
    </w:rPr>
  </w:style>
  <w:style w:type="character" w:customStyle="1" w:styleId="TitleChar">
    <w:name w:val="Title Char"/>
    <w:basedOn w:val="DefaultParagraphFont"/>
    <w:link w:val="Title"/>
    <w:rsid w:val="00D11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288"/>
    <w:pPr>
      <w:tabs>
        <w:tab w:val="left" w:pos="3600"/>
        <w:tab w:val="left" w:pos="3958"/>
      </w:tabs>
    </w:pPr>
  </w:style>
  <w:style w:type="paragraph" w:customStyle="1" w:styleId="Note">
    <w:name w:val="Note"/>
    <w:basedOn w:val="BodyText"/>
    <w:rsid w:val="00D11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288"/>
    <w:pPr>
      <w:framePr w:wrap="auto" w:hAnchor="text" w:y="6049"/>
    </w:pPr>
    <w:rPr>
      <w:color w:val="000000"/>
      <w:sz w:val="40"/>
    </w:rPr>
  </w:style>
  <w:style w:type="paragraph" w:customStyle="1" w:styleId="TOCTitle">
    <w:name w:val="TOCTitle"/>
    <w:basedOn w:val="Heading1"/>
    <w:rsid w:val="00D11288"/>
    <w:pPr>
      <w:spacing w:after="240"/>
      <w:jc w:val="center"/>
      <w:outlineLvl w:val="9"/>
    </w:pPr>
    <w:rPr>
      <w:caps/>
    </w:rPr>
  </w:style>
  <w:style w:type="paragraph" w:customStyle="1" w:styleId="Version">
    <w:name w:val="Version"/>
    <w:rsid w:val="00D112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288"/>
    <w:pPr>
      <w:keepNext w:val="0"/>
      <w:tabs>
        <w:tab w:val="right" w:pos="4176"/>
      </w:tabs>
      <w:ind w:left="198" w:hanging="198"/>
    </w:pPr>
    <w:rPr>
      <w:rFonts w:ascii="Garamond" w:hAnsi="Garamond"/>
    </w:rPr>
  </w:style>
  <w:style w:type="paragraph" w:styleId="IndexHeading">
    <w:name w:val="index heading"/>
    <w:basedOn w:val="Normal"/>
    <w:next w:val="Index1"/>
    <w:semiHidden/>
    <w:rsid w:val="00D11288"/>
    <w:pPr>
      <w:spacing w:before="120" w:after="120"/>
    </w:pPr>
    <w:rPr>
      <w:rFonts w:ascii="Arial" w:hAnsi="Arial"/>
      <w:b/>
      <w:color w:val="918585"/>
      <w:sz w:val="24"/>
    </w:rPr>
  </w:style>
  <w:style w:type="paragraph" w:styleId="Header">
    <w:name w:val="header"/>
    <w:basedOn w:val="Normal"/>
    <w:link w:val="HeaderChar"/>
    <w:rsid w:val="00D11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288"/>
    <w:rPr>
      <w:rFonts w:ascii="Times New Roman" w:eastAsia="Times New Roman" w:hAnsi="Times New Roman" w:cs="Times New Roman"/>
      <w:sz w:val="16"/>
      <w:szCs w:val="20"/>
      <w:lang w:val="en-GB" w:eastAsia="en-US"/>
    </w:rPr>
  </w:style>
  <w:style w:type="paragraph" w:customStyle="1" w:styleId="Chapter">
    <w:name w:val="Chapter"/>
    <w:basedOn w:val="Normal"/>
    <w:rsid w:val="00D11288"/>
    <w:pPr>
      <w:spacing w:before="240"/>
    </w:pPr>
    <w:rPr>
      <w:rFonts w:ascii="Times New Roman" w:hAnsi="Times New Roman"/>
      <w:smallCaps/>
      <w:spacing w:val="80"/>
      <w:sz w:val="28"/>
    </w:rPr>
  </w:style>
  <w:style w:type="paragraph" w:customStyle="1" w:styleId="InChapter">
    <w:name w:val="InChapter"/>
    <w:basedOn w:val="Heading3"/>
    <w:rsid w:val="00D11288"/>
    <w:pPr>
      <w:spacing w:after="240"/>
      <w:outlineLvl w:val="9"/>
    </w:pPr>
    <w:rPr>
      <w:noProof/>
    </w:rPr>
  </w:style>
  <w:style w:type="paragraph" w:styleId="Index2">
    <w:name w:val="index 2"/>
    <w:basedOn w:val="Normal"/>
    <w:next w:val="Normal"/>
    <w:semiHidden/>
    <w:rsid w:val="00D11288"/>
    <w:pPr>
      <w:tabs>
        <w:tab w:val="right" w:pos="4176"/>
      </w:tabs>
      <w:ind w:left="568" w:hanging="284"/>
    </w:pPr>
    <w:rPr>
      <w:rFonts w:ascii="Garamond" w:hAnsi="Garamond"/>
    </w:rPr>
  </w:style>
  <w:style w:type="paragraph" w:customStyle="1" w:styleId="Byline">
    <w:name w:val="Byline"/>
    <w:rsid w:val="00D11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288"/>
    <w:pPr>
      <w:tabs>
        <w:tab w:val="clear" w:pos="3600"/>
        <w:tab w:val="clear" w:pos="3958"/>
      </w:tabs>
      <w:jc w:val="right"/>
    </w:pPr>
  </w:style>
  <w:style w:type="character" w:styleId="Emphasis">
    <w:name w:val="Emphasis"/>
    <w:basedOn w:val="DefaultParagraphFont"/>
    <w:qFormat/>
    <w:rsid w:val="00D11288"/>
    <w:rPr>
      <w:i/>
    </w:rPr>
  </w:style>
  <w:style w:type="paragraph" w:styleId="Caption">
    <w:name w:val="caption"/>
    <w:basedOn w:val="BodyText"/>
    <w:next w:val="Normal"/>
    <w:qFormat/>
    <w:rsid w:val="00D11288"/>
    <w:pPr>
      <w:framePr w:w="2268" w:hSpace="181" w:vSpace="181" w:wrap="around" w:vAnchor="text" w:hAnchor="page" w:x="1135" w:y="285" w:anchorLock="1"/>
    </w:pPr>
    <w:rPr>
      <w:i/>
    </w:rPr>
  </w:style>
  <w:style w:type="paragraph" w:customStyle="1" w:styleId="MiniTOCTitle">
    <w:name w:val="MiniTOCTitle"/>
    <w:basedOn w:val="Heading4"/>
    <w:rsid w:val="00D11288"/>
    <w:pPr>
      <w:spacing w:before="240"/>
      <w:outlineLvl w:val="9"/>
    </w:pPr>
    <w:rPr>
      <w:noProof/>
      <w:sz w:val="24"/>
    </w:rPr>
  </w:style>
  <w:style w:type="paragraph" w:customStyle="1" w:styleId="MiniTOCItem">
    <w:name w:val="MiniTOCItem"/>
    <w:basedOn w:val="ListBullet"/>
    <w:rsid w:val="00D11288"/>
    <w:pPr>
      <w:numPr>
        <w:numId w:val="0"/>
      </w:numPr>
      <w:tabs>
        <w:tab w:val="right" w:leader="dot" w:pos="6521"/>
      </w:tabs>
      <w:spacing w:before="0" w:after="0"/>
    </w:pPr>
  </w:style>
  <w:style w:type="paragraph" w:customStyle="1" w:styleId="TOFTitle">
    <w:name w:val="TOFTitle"/>
    <w:basedOn w:val="TOCTitle"/>
    <w:rsid w:val="00D11288"/>
  </w:style>
  <w:style w:type="paragraph" w:styleId="TableofFigures">
    <w:name w:val="table of figures"/>
    <w:basedOn w:val="Normal"/>
    <w:next w:val="Normal"/>
    <w:semiHidden/>
    <w:rsid w:val="00D11288"/>
    <w:pPr>
      <w:tabs>
        <w:tab w:val="right" w:leader="dot" w:pos="9072"/>
      </w:tabs>
      <w:ind w:left="970" w:hanging="403"/>
    </w:pPr>
    <w:rPr>
      <w:rFonts w:ascii="Times New Roman" w:hAnsi="Times New Roman"/>
      <w:b/>
    </w:rPr>
  </w:style>
  <w:style w:type="paragraph" w:styleId="ListNumber">
    <w:name w:val="List Number"/>
    <w:basedOn w:val="List"/>
    <w:rsid w:val="00D11288"/>
    <w:pPr>
      <w:numPr>
        <w:numId w:val="12"/>
      </w:numPr>
    </w:pPr>
  </w:style>
  <w:style w:type="character" w:customStyle="1" w:styleId="WingdingSymbols">
    <w:name w:val="Wingding Symbols"/>
    <w:rsid w:val="00D11288"/>
    <w:rPr>
      <w:rFonts w:ascii="Wingdings" w:hAnsi="Wingdings"/>
    </w:rPr>
  </w:style>
  <w:style w:type="paragraph" w:customStyle="1" w:styleId="TableHeading">
    <w:name w:val="Table Heading"/>
    <w:basedOn w:val="HeadingBase"/>
    <w:rsid w:val="00D11288"/>
    <w:pPr>
      <w:keepLines/>
      <w:pBdr>
        <w:bottom w:val="single" w:sz="6" w:space="1" w:color="918585"/>
      </w:pBdr>
      <w:spacing w:before="240"/>
    </w:pPr>
  </w:style>
  <w:style w:type="character" w:customStyle="1" w:styleId="HotSpot">
    <w:name w:val="HotSpot"/>
    <w:rsid w:val="00D11288"/>
    <w:rPr>
      <w:color w:val="0033CC"/>
      <w:u w:val="none"/>
    </w:rPr>
  </w:style>
  <w:style w:type="paragraph" w:customStyle="1" w:styleId="BodyTextRight">
    <w:name w:val="Body Text Right"/>
    <w:basedOn w:val="BodyText"/>
    <w:rsid w:val="00D11288"/>
    <w:pPr>
      <w:spacing w:before="0" w:after="0"/>
      <w:jc w:val="right"/>
    </w:pPr>
  </w:style>
  <w:style w:type="paragraph" w:styleId="Index3">
    <w:name w:val="index 3"/>
    <w:basedOn w:val="ListNumber2"/>
    <w:next w:val="Normal"/>
    <w:semiHidden/>
    <w:rsid w:val="00D11288"/>
    <w:pPr>
      <w:numPr>
        <w:numId w:val="0"/>
      </w:numPr>
      <w:tabs>
        <w:tab w:val="right" w:leader="dot" w:pos="4176"/>
      </w:tabs>
    </w:pPr>
  </w:style>
  <w:style w:type="paragraph" w:styleId="ListNumber2">
    <w:name w:val="List Number 2"/>
    <w:basedOn w:val="List2"/>
    <w:rsid w:val="00D11288"/>
    <w:pPr>
      <w:numPr>
        <w:numId w:val="11"/>
      </w:numPr>
      <w:tabs>
        <w:tab w:val="clear" w:pos="1060"/>
      </w:tabs>
    </w:pPr>
  </w:style>
  <w:style w:type="paragraph" w:customStyle="1" w:styleId="MarginNote">
    <w:name w:val="Margin Note"/>
    <w:basedOn w:val="BodyText"/>
    <w:rsid w:val="00D11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288"/>
    <w:rPr>
      <w:sz w:val="32"/>
    </w:rPr>
  </w:style>
  <w:style w:type="paragraph" w:customStyle="1" w:styleId="HeadingProcedure">
    <w:name w:val="Heading Procedure"/>
    <w:basedOn w:val="HeadingBase"/>
    <w:next w:val="Normal"/>
    <w:rsid w:val="00D11288"/>
    <w:pPr>
      <w:tabs>
        <w:tab w:val="left" w:pos="0"/>
      </w:tabs>
      <w:spacing w:before="120" w:after="60"/>
    </w:pPr>
    <w:rPr>
      <w:i/>
      <w:color w:val="918585"/>
      <w:sz w:val="22"/>
    </w:rPr>
  </w:style>
  <w:style w:type="paragraph" w:customStyle="1" w:styleId="TableBodyText">
    <w:name w:val="Table Body Text"/>
    <w:basedOn w:val="BodyText"/>
    <w:rsid w:val="00D11288"/>
    <w:pPr>
      <w:spacing w:before="60" w:after="60"/>
    </w:pPr>
  </w:style>
  <w:style w:type="paragraph" w:styleId="ListContinue">
    <w:name w:val="List Continue"/>
    <w:basedOn w:val="List"/>
    <w:rsid w:val="00D11288"/>
    <w:pPr>
      <w:ind w:firstLine="0"/>
    </w:pPr>
  </w:style>
  <w:style w:type="paragraph" w:customStyle="1" w:styleId="ListNote">
    <w:name w:val="List Note"/>
    <w:basedOn w:val="List"/>
    <w:rsid w:val="00D11288"/>
    <w:pPr>
      <w:pBdr>
        <w:top w:val="single" w:sz="6" w:space="2" w:color="918585"/>
        <w:bottom w:val="single" w:sz="6" w:space="2" w:color="918585"/>
      </w:pBdr>
      <w:tabs>
        <w:tab w:val="left" w:pos="1021"/>
      </w:tabs>
      <w:ind w:firstLine="0"/>
    </w:pPr>
  </w:style>
  <w:style w:type="paragraph" w:customStyle="1" w:styleId="Warning">
    <w:name w:val="Warning"/>
    <w:basedOn w:val="BodyText"/>
    <w:rsid w:val="00D11288"/>
    <w:pPr>
      <w:shd w:val="clear" w:color="auto" w:fill="D9D9D9"/>
      <w:tabs>
        <w:tab w:val="left" w:pos="992"/>
      </w:tabs>
      <w:ind w:left="119" w:right="119"/>
    </w:pPr>
    <w:rPr>
      <w:sz w:val="20"/>
    </w:rPr>
  </w:style>
  <w:style w:type="paragraph" w:customStyle="1" w:styleId="MarginIcons">
    <w:name w:val="Margin Icons"/>
    <w:basedOn w:val="BodyText"/>
    <w:rsid w:val="00D11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288"/>
    <w:rPr>
      <w:rFonts w:ascii="Courier New" w:hAnsi="Courier New"/>
    </w:rPr>
  </w:style>
  <w:style w:type="paragraph" w:customStyle="1" w:styleId="NoteBullet">
    <w:name w:val="Note Bullet"/>
    <w:basedOn w:val="Note"/>
    <w:rsid w:val="00D11288"/>
    <w:pPr>
      <w:tabs>
        <w:tab w:val="clear" w:pos="680"/>
      </w:tabs>
      <w:spacing w:before="60" w:after="60"/>
    </w:pPr>
  </w:style>
  <w:style w:type="paragraph" w:customStyle="1" w:styleId="SubHeading2">
    <w:name w:val="SubHeading2"/>
    <w:basedOn w:val="HeadingBase"/>
    <w:rsid w:val="00D11288"/>
    <w:pPr>
      <w:spacing w:before="240" w:after="60"/>
    </w:pPr>
    <w:rPr>
      <w:sz w:val="20"/>
    </w:rPr>
  </w:style>
  <w:style w:type="paragraph" w:customStyle="1" w:styleId="SubHeading1">
    <w:name w:val="SubHeading1"/>
    <w:basedOn w:val="HeadingBase"/>
    <w:rsid w:val="00D11288"/>
    <w:pPr>
      <w:spacing w:before="240" w:after="60"/>
    </w:pPr>
    <w:rPr>
      <w:color w:val="918585"/>
      <w:sz w:val="22"/>
    </w:rPr>
  </w:style>
  <w:style w:type="paragraph" w:customStyle="1" w:styleId="SideHeading">
    <w:name w:val="Side Heading"/>
    <w:basedOn w:val="HeadingBase"/>
    <w:rsid w:val="00D11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288"/>
    <w:pPr>
      <w:numPr>
        <w:numId w:val="13"/>
      </w:numPr>
    </w:pPr>
  </w:style>
  <w:style w:type="paragraph" w:styleId="PlainText">
    <w:name w:val="Plain Text"/>
    <w:basedOn w:val="Normal"/>
    <w:link w:val="PlainTextChar"/>
    <w:rsid w:val="00D11288"/>
    <w:rPr>
      <w:sz w:val="20"/>
    </w:rPr>
  </w:style>
  <w:style w:type="character" w:customStyle="1" w:styleId="PlainTextChar">
    <w:name w:val="Plain Text Char"/>
    <w:basedOn w:val="DefaultParagraphFont"/>
    <w:link w:val="PlainText"/>
    <w:rsid w:val="00D11288"/>
    <w:rPr>
      <w:rFonts w:ascii="Courier New" w:eastAsia="Times New Roman" w:hAnsi="Courier New" w:cs="Times New Roman"/>
      <w:sz w:val="20"/>
      <w:szCs w:val="20"/>
      <w:lang w:eastAsia="en-US"/>
    </w:rPr>
  </w:style>
  <w:style w:type="character" w:customStyle="1" w:styleId="MenuOption">
    <w:name w:val="Menu Option"/>
    <w:basedOn w:val="DefaultParagraphFont"/>
    <w:rsid w:val="00D11288"/>
    <w:rPr>
      <w:b/>
      <w:smallCaps/>
    </w:rPr>
  </w:style>
  <w:style w:type="paragraph" w:customStyle="1" w:styleId="TableListNumber">
    <w:name w:val="Table List Number"/>
    <w:basedOn w:val="ListNumber"/>
    <w:rsid w:val="00D11288"/>
    <w:pPr>
      <w:numPr>
        <w:numId w:val="0"/>
      </w:numPr>
    </w:pPr>
  </w:style>
  <w:style w:type="paragraph" w:styleId="TOC4">
    <w:name w:val="toc 4"/>
    <w:basedOn w:val="TOCBase"/>
    <w:next w:val="Normal"/>
    <w:semiHidden/>
    <w:rsid w:val="00D11288"/>
    <w:pPr>
      <w:tabs>
        <w:tab w:val="right" w:leader="dot" w:pos="9071"/>
      </w:tabs>
      <w:ind w:left="1701"/>
    </w:pPr>
  </w:style>
  <w:style w:type="paragraph" w:customStyle="1" w:styleId="ListAlpha">
    <w:name w:val="List Alpha"/>
    <w:basedOn w:val="List"/>
    <w:rsid w:val="00D11288"/>
    <w:pPr>
      <w:numPr>
        <w:numId w:val="10"/>
      </w:numPr>
    </w:pPr>
  </w:style>
  <w:style w:type="paragraph" w:customStyle="1" w:styleId="ListAlpha2">
    <w:name w:val="List Alpha 2"/>
    <w:basedOn w:val="List2"/>
    <w:rsid w:val="00D11288"/>
    <w:pPr>
      <w:numPr>
        <w:numId w:val="9"/>
      </w:numPr>
    </w:pPr>
  </w:style>
  <w:style w:type="paragraph" w:styleId="List3">
    <w:name w:val="List 3"/>
    <w:basedOn w:val="BodyText"/>
    <w:rsid w:val="00D11288"/>
    <w:pPr>
      <w:tabs>
        <w:tab w:val="left" w:pos="1021"/>
      </w:tabs>
      <w:spacing w:before="60" w:after="60"/>
      <w:ind w:left="1020" w:hanging="340"/>
    </w:pPr>
  </w:style>
  <w:style w:type="paragraph" w:styleId="List4">
    <w:name w:val="List 4"/>
    <w:basedOn w:val="BodyText"/>
    <w:rsid w:val="00D11288"/>
    <w:pPr>
      <w:tabs>
        <w:tab w:val="left" w:pos="1361"/>
      </w:tabs>
      <w:spacing w:before="60" w:after="60"/>
      <w:ind w:left="1361" w:hanging="340"/>
    </w:pPr>
  </w:style>
  <w:style w:type="paragraph" w:styleId="List5">
    <w:name w:val="List 5"/>
    <w:basedOn w:val="BodyText"/>
    <w:rsid w:val="00D11288"/>
    <w:pPr>
      <w:tabs>
        <w:tab w:val="left" w:pos="1701"/>
      </w:tabs>
      <w:spacing w:before="60" w:after="60"/>
      <w:ind w:left="1701" w:hanging="340"/>
    </w:pPr>
  </w:style>
  <w:style w:type="paragraph" w:styleId="ListBullet4">
    <w:name w:val="List Bullet 4"/>
    <w:basedOn w:val="List4"/>
    <w:rsid w:val="00D11288"/>
    <w:pPr>
      <w:numPr>
        <w:numId w:val="4"/>
      </w:numPr>
    </w:pPr>
  </w:style>
  <w:style w:type="paragraph" w:styleId="ListBullet5">
    <w:name w:val="List Bullet 5"/>
    <w:basedOn w:val="List5"/>
    <w:rsid w:val="00D11288"/>
    <w:pPr>
      <w:numPr>
        <w:numId w:val="5"/>
      </w:numPr>
    </w:pPr>
  </w:style>
  <w:style w:type="paragraph" w:styleId="ListContinue2">
    <w:name w:val="List Continue 2"/>
    <w:basedOn w:val="List2"/>
    <w:rsid w:val="00D11288"/>
    <w:pPr>
      <w:ind w:firstLine="0"/>
    </w:pPr>
  </w:style>
  <w:style w:type="paragraph" w:styleId="ListContinue3">
    <w:name w:val="List Continue 3"/>
    <w:basedOn w:val="List3"/>
    <w:rsid w:val="00D11288"/>
    <w:pPr>
      <w:ind w:left="1021" w:firstLine="0"/>
    </w:pPr>
  </w:style>
  <w:style w:type="paragraph" w:styleId="ListContinue4">
    <w:name w:val="List Continue 4"/>
    <w:basedOn w:val="List4"/>
    <w:rsid w:val="00D11288"/>
    <w:pPr>
      <w:ind w:firstLine="0"/>
    </w:pPr>
  </w:style>
  <w:style w:type="paragraph" w:styleId="ListContinue5">
    <w:name w:val="List Continue 5"/>
    <w:basedOn w:val="List5"/>
    <w:rsid w:val="00D11288"/>
    <w:pPr>
      <w:ind w:firstLine="0"/>
    </w:pPr>
  </w:style>
  <w:style w:type="paragraph" w:styleId="ListNumber3">
    <w:name w:val="List Number 3"/>
    <w:basedOn w:val="List3"/>
    <w:rsid w:val="00D11288"/>
    <w:pPr>
      <w:numPr>
        <w:numId w:val="6"/>
      </w:numPr>
    </w:pPr>
  </w:style>
  <w:style w:type="paragraph" w:styleId="ListNumber4">
    <w:name w:val="List Number 4"/>
    <w:basedOn w:val="List4"/>
    <w:rsid w:val="00D11288"/>
    <w:pPr>
      <w:numPr>
        <w:numId w:val="7"/>
      </w:numPr>
    </w:pPr>
  </w:style>
  <w:style w:type="paragraph" w:styleId="ListNumber5">
    <w:name w:val="List Number 5"/>
    <w:basedOn w:val="List5"/>
    <w:rsid w:val="00D11288"/>
    <w:pPr>
      <w:numPr>
        <w:numId w:val="8"/>
      </w:numPr>
    </w:pPr>
  </w:style>
  <w:style w:type="paragraph" w:styleId="BlockText">
    <w:name w:val="Block Text"/>
    <w:basedOn w:val="Normal"/>
    <w:rsid w:val="00D11288"/>
    <w:pPr>
      <w:spacing w:after="120"/>
      <w:ind w:left="1440" w:right="1440"/>
    </w:pPr>
  </w:style>
  <w:style w:type="character" w:customStyle="1" w:styleId="Subscript">
    <w:name w:val="Subscript"/>
    <w:basedOn w:val="DefaultParagraphFont"/>
    <w:rsid w:val="00D11288"/>
    <w:rPr>
      <w:sz w:val="16"/>
      <w:vertAlign w:val="subscript"/>
    </w:rPr>
  </w:style>
  <w:style w:type="character" w:customStyle="1" w:styleId="Superscript">
    <w:name w:val="Superscript"/>
    <w:basedOn w:val="DefaultParagraphFont"/>
    <w:rsid w:val="00D11288"/>
    <w:rPr>
      <w:sz w:val="16"/>
      <w:vertAlign w:val="superscript"/>
    </w:rPr>
  </w:style>
  <w:style w:type="character" w:customStyle="1" w:styleId="Symbols">
    <w:name w:val="Symbols"/>
    <w:basedOn w:val="DefaultParagraphFont"/>
    <w:rsid w:val="00D11288"/>
    <w:rPr>
      <w:rFonts w:ascii="Symbol" w:hAnsi="Symbol"/>
    </w:rPr>
  </w:style>
  <w:style w:type="character" w:customStyle="1" w:styleId="MenuOptions">
    <w:name w:val="Menu Options"/>
    <w:basedOn w:val="DefaultParagraphFont"/>
    <w:rsid w:val="00D11288"/>
    <w:rPr>
      <w:rFonts w:ascii="Arial Narrow" w:hAnsi="Arial Narrow"/>
      <w:smallCaps/>
    </w:rPr>
  </w:style>
  <w:style w:type="character" w:customStyle="1" w:styleId="Buttons">
    <w:name w:val="Buttons"/>
    <w:basedOn w:val="DefaultParagraphFont"/>
    <w:rsid w:val="00D11288"/>
    <w:rPr>
      <w:b/>
    </w:rPr>
  </w:style>
  <w:style w:type="character" w:customStyle="1" w:styleId="Underlined">
    <w:name w:val="Underlined"/>
    <w:basedOn w:val="DefaultParagraphFont"/>
    <w:rsid w:val="00D11288"/>
    <w:rPr>
      <w:u w:val="single"/>
    </w:rPr>
  </w:style>
  <w:style w:type="paragraph" w:customStyle="1" w:styleId="TableBodyTextRight">
    <w:name w:val="Table Body Text Right"/>
    <w:basedOn w:val="TableBodyText"/>
    <w:rsid w:val="00D11288"/>
    <w:pPr>
      <w:widowControl w:val="0"/>
      <w:autoSpaceDE w:val="0"/>
      <w:autoSpaceDN w:val="0"/>
      <w:adjustRightInd w:val="0"/>
      <w:jc w:val="right"/>
    </w:pPr>
    <w:rPr>
      <w:rFonts w:cs="Arial"/>
      <w:szCs w:val="18"/>
    </w:rPr>
  </w:style>
  <w:style w:type="paragraph" w:customStyle="1" w:styleId="CopyrightText">
    <w:name w:val="Copyright Text"/>
    <w:basedOn w:val="BodyText"/>
    <w:rsid w:val="00D11288"/>
    <w:rPr>
      <w:sz w:val="18"/>
    </w:rPr>
  </w:style>
  <w:style w:type="paragraph" w:customStyle="1" w:styleId="BodySmallRight">
    <w:name w:val="Body Small Right"/>
    <w:basedOn w:val="BodyTextRight"/>
    <w:rsid w:val="00D11288"/>
    <w:rPr>
      <w:sz w:val="18"/>
      <w:szCs w:val="18"/>
    </w:rPr>
  </w:style>
  <w:style w:type="paragraph" w:customStyle="1" w:styleId="MarginEdition">
    <w:name w:val="Margin Edition"/>
    <w:basedOn w:val="MarginNote"/>
    <w:rsid w:val="00D11288"/>
    <w:pPr>
      <w:spacing w:before="0" w:after="0"/>
    </w:pPr>
    <w:rPr>
      <w:rFonts w:ascii="Times New Roman" w:hAnsi="Times New Roman"/>
      <w:color w:val="999999"/>
    </w:rPr>
  </w:style>
  <w:style w:type="paragraph" w:customStyle="1" w:styleId="Spacer">
    <w:name w:val="Spacer"/>
    <w:basedOn w:val="Normal"/>
    <w:rsid w:val="00D11288"/>
    <w:rPr>
      <w:sz w:val="2"/>
      <w:szCs w:val="2"/>
    </w:rPr>
  </w:style>
  <w:style w:type="character" w:customStyle="1" w:styleId="Small">
    <w:name w:val="Small"/>
    <w:basedOn w:val="DefaultParagraphFont"/>
    <w:rsid w:val="00D11288"/>
    <w:rPr>
      <w:sz w:val="16"/>
    </w:rPr>
  </w:style>
  <w:style w:type="paragraph" w:customStyle="1" w:styleId="WideTable">
    <w:name w:val="Wide Table"/>
    <w:basedOn w:val="Normal"/>
    <w:rsid w:val="00D11288"/>
    <w:pPr>
      <w:ind w:left="-1418"/>
    </w:pPr>
    <w:rPr>
      <w:sz w:val="2"/>
      <w:szCs w:val="2"/>
    </w:rPr>
  </w:style>
  <w:style w:type="character" w:styleId="PageNumber">
    <w:name w:val="page number"/>
    <w:basedOn w:val="DefaultParagraphFont"/>
    <w:rsid w:val="00D11288"/>
  </w:style>
  <w:style w:type="paragraph" w:styleId="Quote">
    <w:name w:val="Quote"/>
    <w:basedOn w:val="Heading1"/>
    <w:link w:val="QuoteChar"/>
    <w:qFormat/>
    <w:rsid w:val="00D11288"/>
    <w:rPr>
      <w:b w:val="0"/>
      <w:sz w:val="72"/>
      <w:szCs w:val="72"/>
      <w:lang w:val="en-NZ"/>
    </w:rPr>
  </w:style>
  <w:style w:type="character" w:customStyle="1" w:styleId="QuoteChar">
    <w:name w:val="Quote Char"/>
    <w:basedOn w:val="DefaultParagraphFont"/>
    <w:link w:val="Quote"/>
    <w:rsid w:val="00D11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288"/>
    <w:pPr>
      <w:pageBreakBefore/>
    </w:pPr>
  </w:style>
  <w:style w:type="paragraph" w:customStyle="1" w:styleId="Border">
    <w:name w:val="Border"/>
    <w:basedOn w:val="Normal"/>
    <w:qFormat/>
    <w:rsid w:val="00D11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288"/>
    <w:rPr>
      <w:b/>
      <w:bCs/>
      <w:i/>
      <w:iCs/>
      <w:color w:val="auto"/>
    </w:rPr>
  </w:style>
  <w:style w:type="paragraph" w:styleId="IntenseQuote">
    <w:name w:val="Intense Quote"/>
    <w:basedOn w:val="Normal"/>
    <w:next w:val="Normal"/>
    <w:link w:val="IntenseQuoteChar"/>
    <w:uiPriority w:val="30"/>
    <w:qFormat/>
    <w:rsid w:val="00D11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288"/>
    <w:rPr>
      <w:smallCaps/>
      <w:color w:val="auto"/>
      <w:u w:val="single"/>
    </w:rPr>
  </w:style>
  <w:style w:type="character" w:styleId="IntenseReference">
    <w:name w:val="Intense Reference"/>
    <w:basedOn w:val="DefaultParagraphFont"/>
    <w:uiPriority w:val="32"/>
    <w:qFormat/>
    <w:rsid w:val="00D11288"/>
    <w:rPr>
      <w:b/>
      <w:bCs/>
      <w:smallCaps/>
      <w:color w:val="auto"/>
      <w:spacing w:val="5"/>
      <w:u w:val="single"/>
    </w:rPr>
  </w:style>
  <w:style w:type="paragraph" w:customStyle="1" w:styleId="2ColumnHeading">
    <w:name w:val="2Column Heading"/>
    <w:basedOn w:val="BodyText"/>
    <w:qFormat/>
    <w:rsid w:val="00D11288"/>
    <w:pPr>
      <w:spacing w:after="60"/>
      <w:ind w:left="-2268"/>
    </w:pPr>
    <w:rPr>
      <w:b/>
    </w:rPr>
  </w:style>
  <w:style w:type="paragraph" w:customStyle="1" w:styleId="Heading1TOC">
    <w:name w:val="Heading1 TOC"/>
    <w:basedOn w:val="Normal"/>
    <w:qFormat/>
    <w:rsid w:val="00D11288"/>
    <w:pPr>
      <w:spacing w:before="240" w:after="120"/>
    </w:pPr>
    <w:rPr>
      <w:rFonts w:ascii="Times New Roman" w:hAnsi="Times New Roman"/>
      <w:b/>
      <w:sz w:val="32"/>
    </w:rPr>
  </w:style>
  <w:style w:type="paragraph" w:customStyle="1" w:styleId="Heading2TOC">
    <w:name w:val="Heading2 TOC"/>
    <w:basedOn w:val="Normal"/>
    <w:qFormat/>
    <w:rsid w:val="00D11288"/>
    <w:pPr>
      <w:spacing w:before="240" w:after="60"/>
    </w:pPr>
    <w:rPr>
      <w:rFonts w:ascii="Times New Roman" w:hAnsi="Times New Roman"/>
      <w:b/>
      <w:sz w:val="28"/>
    </w:rPr>
  </w:style>
  <w:style w:type="character" w:customStyle="1" w:styleId="Underline">
    <w:name w:val="Underline"/>
    <w:basedOn w:val="DefaultParagraphFont"/>
    <w:qFormat/>
    <w:rsid w:val="00D11288"/>
    <w:rPr>
      <w:u w:val="single"/>
    </w:rPr>
  </w:style>
  <w:style w:type="paragraph" w:styleId="BalloonText">
    <w:name w:val="Balloon Text"/>
    <w:basedOn w:val="Normal"/>
    <w:link w:val="BalloonTextChar"/>
    <w:rsid w:val="00D11288"/>
    <w:rPr>
      <w:rFonts w:ascii="Tahoma" w:hAnsi="Tahoma" w:cs="Tahoma"/>
      <w:sz w:val="16"/>
      <w:szCs w:val="16"/>
    </w:rPr>
  </w:style>
  <w:style w:type="character" w:customStyle="1" w:styleId="BalloonTextChar">
    <w:name w:val="Balloon Text Char"/>
    <w:basedOn w:val="DefaultParagraphFont"/>
    <w:link w:val="BalloonText"/>
    <w:rsid w:val="00D11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2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1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288"/>
    <w:rPr>
      <w:b/>
      <w:color w:val="660033"/>
      <w:spacing w:val="0"/>
    </w:rPr>
  </w:style>
  <w:style w:type="paragraph" w:customStyle="1" w:styleId="Nameditemlist">
    <w:name w:val="Named item list"/>
    <w:basedOn w:val="BodyText"/>
    <w:qFormat/>
    <w:rsid w:val="00D112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2197</Words>
  <Characters>13942</Characters>
  <Application>Microsoft Office Word</Application>
  <DocSecurity>0</DocSecurity>
  <Lines>490</Lines>
  <Paragraphs>247</Paragraphs>
  <ScaleCrop>false</ScaleCrop>
  <Company>Author-it Software Corporation Ltd.</Company>
  <LinksUpToDate>false</LinksUpToDate>
  <CharactersWithSpaces>16049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ICTCBL2136A Install, maintain and modify customer premises communications cabling: ACMA Restricted Rule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2012-10-05T14:53:00Z</dcterms:created>
  <dcterms:modified xsi:type="dcterms:W3CDTF">2012-10-05T14:53:00Z</dcterms:modified>
</cp:coreProperties>
</file>