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0F1" w:rsidP="003A70F1">
      <w:pPr>
        <w:pStyle w:val="Title"/>
      </w:pPr>
      <w:r>
        <w:fldChar w:fldCharType="begin"/>
      </w:r>
      <w:r>
        <w:instrText xml:space="preserve"> TITLE   \* MERGEFORMAT </w:instrText>
      </w:r>
      <w:r>
        <w:fldChar w:fldCharType="separate"/>
      </w:r>
      <w:r>
        <w:t>ICTCBL2131A Install an above ground equipment enclosure</w:t>
      </w:r>
      <w:r>
        <w:fldChar w:fldCharType="end"/>
      </w:r>
    </w:p>
    <w:p w:rsidR="003A70F1" w:rsidP="003A70F1">
      <w:pPr>
        <w:pStyle w:val="Version"/>
        <w:sectPr w:rsidSect="007E1D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DDB" w:rsidP="007E1DDB">
      <w:pPr>
        <w:pStyle w:val="SuperHeading"/>
      </w:pPr>
      <w:r w:rsidRPr="007E1DDB">
        <w:t>ICTCBL2131A Install an above ground equipment enclosure</w:t>
      </w:r>
    </w:p>
    <w:p w:rsidR="00000000" w:rsidRPr="007E1DDB" w:rsidP="007E1DDB">
      <w:pPr>
        <w:pStyle w:val="Heading1"/>
      </w:pPr>
      <w:bookmarkStart w:id="1" w:name="O_271744"/>
      <w:bookmarkEnd w:id="1"/>
      <w:r w:rsidRPr="007E1DDB">
        <w:t>Modification History</w:t>
      </w:r>
    </w:p>
    <w:p w:rsidR="00000000" w:rsidRPr="007E1DDB" w:rsidP="007E1DDB">
      <w:pPr>
        <w:pStyle w:val="BodyText"/>
      </w:pPr>
      <w:r w:rsidRPr="007E1DDB">
        <w:t>Not Applicable</w:t>
      </w:r>
    </w:p>
    <w:p w:rsidR="00000000" w:rsidRPr="007E1DDB" w:rsidP="007E1DDB">
      <w:pPr>
        <w:pStyle w:val="AllowPageBreak"/>
      </w:pPr>
    </w:p>
    <w:p w:rsidR="00000000" w:rsidRPr="007E1DDB" w:rsidP="007E1DDB">
      <w:pPr>
        <w:pStyle w:val="Heading1"/>
      </w:pPr>
      <w:bookmarkStart w:id="2" w:name="O_208647"/>
      <w:bookmarkEnd w:id="2"/>
      <w:r w:rsidRPr="007E1DDB">
        <w:t>Unit Descriptor</w:t>
      </w:r>
    </w:p>
    <w:tbl>
      <w:tblPr>
        <w:tblW w:w="0" w:type="auto"/>
        <w:tblLayout w:type="fixed"/>
        <w:tblCellMar>
          <w:left w:w="62" w:type="dxa"/>
          <w:right w:w="62" w:type="dxa"/>
        </w:tblCellMar>
        <w:tblLook w:val="0000"/>
      </w:tblPr>
      <w:tblGrid>
        <w:gridCol w:w="2659"/>
        <w:gridCol w:w="5863"/>
      </w:tblGrid>
      <w:tr w:rsidTr="003A70F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r w:rsidRPr="007E1DDB">
              <w:t>This unit describes the performance outcomes, skills and knowledge required to install an above</w:t>
            </w:r>
            <w:r w:rsidRPr="007E1DDB">
              <w:t xml:space="preserve"> ground equipment enclosure for cabling provisioning. It involves planning, building and earthing an enclosure.</w:t>
            </w:r>
          </w:p>
          <w:p w:rsidR="00000000" w:rsidRPr="007E1DDB" w:rsidP="007E1DDB">
            <w:pPr>
              <w:pStyle w:val="BodyText"/>
            </w:pPr>
          </w:p>
          <w:p w:rsidR="00000000" w:rsidRPr="007E1DDB" w:rsidP="007E1DDB">
            <w:pPr>
              <w:pStyle w:val="BodyText"/>
            </w:pPr>
            <w:r w:rsidRPr="007E1DDB">
              <w:t xml:space="preserve">Licensing, legislative, regulatory and certification requirements apply to working at heights. If an elevated work platform (EWP) is required, </w:t>
            </w:r>
            <w:r w:rsidRPr="007E1DDB">
              <w:t>verify state or territory law requirements for a licence to operate an EWP. Users should confirm requirements with the relevant federal, state or territory authority.</w:t>
            </w:r>
          </w:p>
          <w:p w:rsidR="00000000" w:rsidRPr="007E1DDB" w:rsidP="007E1DDB">
            <w:pPr>
              <w:pStyle w:val="BodyText"/>
            </w:pPr>
          </w:p>
          <w:p w:rsidR="00000000" w:rsidRPr="007E1DDB" w:rsidP="007E1DDB">
            <w:pPr>
              <w:pStyle w:val="BodyText"/>
            </w:pPr>
            <w:r w:rsidRPr="007E1DDB">
              <w:t>If working at heights, achievement of the unit 'CPCPCM2015A Work safely on roofs' from the CPC08 Construction and Plumbing Services Integrated framework training Package fulfils this requirement.</w:t>
            </w:r>
          </w:p>
        </w:tc>
      </w:tr>
    </w:tbl>
    <w:p w:rsidR="003A70F1" w:rsidP="007E1DDB">
      <w:pPr>
        <w:pStyle w:val="BodyText"/>
      </w:pPr>
    </w:p>
    <w:p w:rsidR="003A70F1" w:rsidP="007E1DDB">
      <w:pPr>
        <w:pStyle w:val="BodyText"/>
      </w:pPr>
    </w:p>
    <w:p w:rsidR="00000000" w:rsidRPr="007E1DDB" w:rsidP="007E1DDB">
      <w:pPr>
        <w:pStyle w:val="Heading1"/>
      </w:pPr>
      <w:bookmarkStart w:id="3" w:name="O_208651"/>
      <w:bookmarkEnd w:id="3"/>
      <w:r w:rsidRPr="007E1DDB">
        <w:t>Application of the Unit</w:t>
      </w:r>
    </w:p>
    <w:tbl>
      <w:tblPr>
        <w:tblW w:w="0" w:type="auto"/>
        <w:tblLayout w:type="fixed"/>
        <w:tblCellMar>
          <w:left w:w="62" w:type="dxa"/>
          <w:right w:w="62" w:type="dxa"/>
        </w:tblCellMar>
        <w:tblLook w:val="0000"/>
      </w:tblPr>
      <w:tblGrid>
        <w:gridCol w:w="2751"/>
        <w:gridCol w:w="5771"/>
      </w:tblGrid>
      <w:tr w:rsidTr="003A70F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Application of t</w:t>
            </w:r>
            <w:r w:rsidRPr="007E1DDB">
              <w:rPr>
                <w:rStyle w:val="SpecialBold"/>
              </w:rPr>
              <w: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r w:rsidRPr="007E1DDB">
              <w:t>Technical staff whose work involves installing an above ground equipment enclosure apply the skills and knowledge in this unit.</w:t>
            </w:r>
          </w:p>
          <w:p w:rsidR="00000000" w:rsidRPr="007E1DDB" w:rsidP="007E1DDB">
            <w:pPr>
              <w:pStyle w:val="BodyText"/>
            </w:pPr>
          </w:p>
          <w:p w:rsidR="00000000" w:rsidRPr="007E1DDB" w:rsidP="007E1DDB">
            <w:pPr>
              <w:pStyle w:val="BodyText"/>
            </w:pPr>
            <w:r w:rsidRPr="007E1DDB">
              <w:t>A relevant job role is civil construction worker whose work includes installation of enclosures including pillars, cabi</w:t>
            </w:r>
            <w:r w:rsidRPr="007E1DDB">
              <w:t>nets, remote integrated multiplexers (RIMs) and mobile equipment enclosures for new installations or network upgrades.</w:t>
            </w:r>
          </w:p>
        </w:tc>
      </w:tr>
    </w:tbl>
    <w:p w:rsidR="003A70F1" w:rsidP="007E1DDB">
      <w:pPr>
        <w:pStyle w:val="BodyText"/>
      </w:pPr>
    </w:p>
    <w:p w:rsidR="003A70F1" w:rsidP="007E1DDB">
      <w:pPr>
        <w:pStyle w:val="BodyText"/>
      </w:pPr>
    </w:p>
    <w:p w:rsidR="00000000" w:rsidRPr="007E1DDB" w:rsidP="007E1DDB">
      <w:pPr>
        <w:pStyle w:val="Heading1"/>
      </w:pPr>
      <w:bookmarkStart w:id="4" w:name="O_280004"/>
      <w:bookmarkEnd w:id="4"/>
      <w:r w:rsidRPr="007E1DDB">
        <w:t>Licensing/Regulatory Information</w:t>
      </w:r>
    </w:p>
    <w:p w:rsidR="00000000" w:rsidRPr="007E1DDB" w:rsidP="007E1DDB">
      <w:pPr>
        <w:pStyle w:val="BodyText"/>
      </w:pPr>
      <w:r w:rsidRPr="007E1DDB">
        <w:t>Refer to Unit Descriptor</w:t>
      </w:r>
    </w:p>
    <w:p w:rsidR="00000000" w:rsidRPr="007E1DDB" w:rsidP="007E1DDB">
      <w:pPr>
        <w:pStyle w:val="AllowPageBreak"/>
      </w:pPr>
    </w:p>
    <w:p w:rsidR="00000000" w:rsidRPr="007E1DDB" w:rsidP="007E1DDB">
      <w:pPr>
        <w:pStyle w:val="Heading1"/>
      </w:pPr>
      <w:bookmarkStart w:id="5" w:name="O_208649"/>
      <w:bookmarkEnd w:id="5"/>
      <w:r w:rsidRPr="007E1DDB">
        <w:t>Pre-Requisites</w:t>
      </w:r>
    </w:p>
    <w:tbl>
      <w:tblPr>
        <w:tblW w:w="0" w:type="auto"/>
        <w:tblLayout w:type="fixed"/>
        <w:tblCellMar>
          <w:left w:w="62" w:type="dxa"/>
          <w:right w:w="62" w:type="dxa"/>
        </w:tblCellMar>
        <w:tblLook w:val="0000"/>
      </w:tblPr>
      <w:tblGrid>
        <w:gridCol w:w="2775"/>
        <w:gridCol w:w="1295"/>
        <w:gridCol w:w="4452"/>
      </w:tblGrid>
      <w:tr w:rsidTr="003A70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p>
        </w:tc>
      </w:tr>
      <w:tr w:rsidTr="003A70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p>
        </w:tc>
      </w:tr>
      <w:tr w:rsidTr="003A70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p>
        </w:tc>
      </w:tr>
    </w:tbl>
    <w:p w:rsidR="003A70F1" w:rsidP="007E1DDB">
      <w:pPr>
        <w:pStyle w:val="BodyText"/>
      </w:pPr>
    </w:p>
    <w:p w:rsidR="003A70F1" w:rsidP="007E1DDB">
      <w:pPr>
        <w:pStyle w:val="BodyText"/>
      </w:pPr>
    </w:p>
    <w:p w:rsidR="00000000" w:rsidRPr="007E1DDB" w:rsidP="007E1DDB">
      <w:pPr>
        <w:pStyle w:val="Heading1"/>
      </w:pPr>
      <w:bookmarkStart w:id="6" w:name="O_208648"/>
      <w:bookmarkEnd w:id="6"/>
      <w:r w:rsidRPr="007E1DDB">
        <w:t>Employability Skills Information</w:t>
      </w:r>
    </w:p>
    <w:tbl>
      <w:tblPr>
        <w:tblW w:w="0" w:type="auto"/>
        <w:tblLayout w:type="fixed"/>
        <w:tblCellMar>
          <w:left w:w="62" w:type="dxa"/>
          <w:right w:w="62" w:type="dxa"/>
        </w:tblCellMar>
        <w:tblLook w:val="0000"/>
      </w:tblPr>
      <w:tblGrid>
        <w:gridCol w:w="2802"/>
        <w:gridCol w:w="5720"/>
      </w:tblGrid>
      <w:tr w:rsidTr="003A70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r w:rsidRPr="007E1DDB">
              <w:t>This unit contains employability skills.</w:t>
            </w:r>
          </w:p>
        </w:tc>
      </w:tr>
    </w:tbl>
    <w:p w:rsidR="003A70F1" w:rsidP="007E1DDB">
      <w:pPr>
        <w:pStyle w:val="BodyText"/>
      </w:pPr>
    </w:p>
    <w:p w:rsidR="003A70F1" w:rsidP="007E1DDB">
      <w:pPr>
        <w:pStyle w:val="BodyText"/>
      </w:pPr>
    </w:p>
    <w:p w:rsidR="00000000" w:rsidRPr="007E1DDB" w:rsidP="007E1DDB">
      <w:pPr>
        <w:pStyle w:val="Heading1"/>
      </w:pPr>
      <w:bookmarkStart w:id="7" w:name="O_289790"/>
      <w:bookmarkEnd w:id="7"/>
      <w:r w:rsidRPr="007E1DDB">
        <w:t>Elements and Performance Criteria Pre-Content</w:t>
      </w:r>
    </w:p>
    <w:tbl>
      <w:tblPr>
        <w:tblW w:w="0" w:type="auto"/>
        <w:tblLayout w:type="fixed"/>
        <w:tblCellMar>
          <w:left w:w="62" w:type="dxa"/>
          <w:right w:w="62" w:type="dxa"/>
        </w:tblCellMar>
        <w:tblLook w:val="0000"/>
      </w:tblPr>
      <w:tblGrid>
        <w:gridCol w:w="2569"/>
        <w:gridCol w:w="5953"/>
      </w:tblGrid>
      <w:tr w:rsidTr="003A70F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r w:rsidRPr="007E1DDB">
              <w:t>Performance criteria describe the performance needed to demonstrate achievement of the element. Where bold italicised text is used, further information is detailed in the required skills and knowledge section and the range statement. Assessment of performa</w:t>
            </w:r>
            <w:r w:rsidRPr="007E1DDB">
              <w:t>nce is to be consistent with the evidence guide.</w:t>
            </w:r>
          </w:p>
        </w:tc>
      </w:tr>
    </w:tbl>
    <w:p w:rsidR="00000000" w:rsidRPr="007E1DDB" w:rsidP="007E1DDB">
      <w:pPr>
        <w:pStyle w:val="BodyText"/>
      </w:pPr>
    </w:p>
    <w:p w:rsidR="00000000" w:rsidRPr="007E1DDB" w:rsidP="007E1DDB">
      <w:pPr>
        <w:pStyle w:val="AllowPageBreak"/>
      </w:pPr>
    </w:p>
    <w:p w:rsidR="00000000" w:rsidRPr="007E1DDB" w:rsidP="007E1DDB">
      <w:pPr>
        <w:pStyle w:val="Heading1"/>
      </w:pPr>
      <w:bookmarkStart w:id="8" w:name="O_236457"/>
      <w:bookmarkEnd w:id="8"/>
      <w:r w:rsidRPr="007E1DDB">
        <w:t>Elements and Performance Criteria</w:t>
      </w:r>
    </w:p>
    <w:tbl>
      <w:tblPr>
        <w:tblW w:w="0" w:type="auto"/>
        <w:tblLayout w:type="fixed"/>
        <w:tblCellMar>
          <w:left w:w="62" w:type="dxa"/>
          <w:right w:w="62" w:type="dxa"/>
        </w:tblCellMar>
        <w:tblLook w:val="0000"/>
      </w:tblPr>
      <w:tblGrid>
        <w:gridCol w:w="2569"/>
        <w:gridCol w:w="5953"/>
      </w:tblGrid>
      <w:tr w:rsidTr="003A70F1">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r w:rsidRPr="007E1DDB">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PERFORMANCE CRITERIA</w:t>
            </w:r>
          </w:p>
        </w:tc>
      </w:tr>
      <w:tr w:rsidTr="003A70F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List"/>
              <w:rPr>
                <w:lang w:val="en-NZ"/>
              </w:rPr>
            </w:pPr>
            <w:r w:rsidRPr="007E1DDB">
              <w:t>1.</w:t>
            </w:r>
            <w:r w:rsidRPr="007E1DDB">
              <w:tab/>
              <w:t>Prepare to construct and install enclosure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List2"/>
            </w:pPr>
            <w:r w:rsidRPr="007E1DDB">
              <w:t>1.1.</w:t>
            </w:r>
            <w:r w:rsidRPr="007E1DDB">
              <w:tab/>
              <w:t xml:space="preserve">Obtain construction plan from </w:t>
            </w:r>
            <w:r w:rsidRPr="007E1DDB">
              <w:rPr>
                <w:rStyle w:val="BoldandItalics"/>
              </w:rPr>
              <w:t>appropriate personnel</w:t>
            </w:r>
            <w:r w:rsidRPr="007E1DDB">
              <w:t xml:space="preserve"> to scope the work and arrange for site access</w:t>
            </w:r>
          </w:p>
          <w:p w:rsidR="00000000" w:rsidRPr="007E1DDB" w:rsidP="007E1DDB">
            <w:pPr>
              <w:pStyle w:val="List2"/>
            </w:pPr>
            <w:r w:rsidRPr="007E1DDB">
              <w:t>1.2.</w:t>
            </w:r>
            <w:r w:rsidRPr="007E1DDB">
              <w:tab/>
              <w:t xml:space="preserve">Notify appropriate personnel of identified </w:t>
            </w:r>
            <w:r w:rsidRPr="007E1DDB">
              <w:rPr>
                <w:rStyle w:val="BoldandItalics"/>
              </w:rPr>
              <w:t>safety hazards</w:t>
            </w:r>
            <w:r w:rsidRPr="007E1DDB">
              <w:t xml:space="preserve"> and </w:t>
            </w:r>
            <w:r w:rsidRPr="007E1DDB">
              <w:rPr>
                <w:rStyle w:val="BoldandItalics"/>
              </w:rPr>
              <w:t>other services</w:t>
            </w:r>
            <w:r w:rsidRPr="007E1DDB">
              <w:t xml:space="preserve"> at the worksite</w:t>
            </w:r>
          </w:p>
          <w:p w:rsidR="00000000" w:rsidRPr="007E1DDB" w:rsidP="007E1DDB">
            <w:pPr>
              <w:pStyle w:val="List2"/>
            </w:pPr>
            <w:r w:rsidRPr="007E1DDB">
              <w:t>1.3.</w:t>
            </w:r>
            <w:r w:rsidRPr="007E1DDB">
              <w:tab/>
              <w:t xml:space="preserve">Obtain </w:t>
            </w:r>
            <w:r w:rsidRPr="007E1DDB">
              <w:rPr>
                <w:rStyle w:val="BoldandItalics"/>
              </w:rPr>
              <w:t>plant</w:t>
            </w:r>
            <w:r w:rsidRPr="007E1DDB">
              <w:t xml:space="preserve">, </w:t>
            </w:r>
            <w:r w:rsidRPr="007E1DDB">
              <w:rPr>
                <w:rStyle w:val="BoldandItalics"/>
              </w:rPr>
              <w:t>tools</w:t>
            </w:r>
            <w:r w:rsidRPr="007E1DDB">
              <w:t xml:space="preserve">, </w:t>
            </w:r>
            <w:r w:rsidRPr="007E1DDB">
              <w:rPr>
                <w:rStyle w:val="BoldandItalics"/>
              </w:rPr>
              <w:t>safety equipment</w:t>
            </w:r>
            <w:r w:rsidRPr="007E1DDB">
              <w:t xml:space="preserve"> and material to perform tasks safely and efficiently</w:t>
            </w:r>
          </w:p>
          <w:p w:rsidR="00000000" w:rsidP="007E1DDB">
            <w:pPr>
              <w:pStyle w:val="List2"/>
              <w:rPr>
                <w:lang w:val="en-NZ"/>
              </w:rPr>
            </w:pPr>
            <w:r w:rsidRPr="007E1DDB">
              <w:t>1.4.</w:t>
            </w:r>
            <w:r w:rsidRPr="007E1DDB">
              <w:tab/>
              <w:t xml:space="preserve">Determine </w:t>
            </w:r>
            <w:r w:rsidRPr="007E1DDB">
              <w:t xml:space="preserve">the location and type of </w:t>
            </w:r>
            <w:r w:rsidRPr="007E1DDB">
              <w:rPr>
                <w:rStyle w:val="BoldandItalics"/>
              </w:rPr>
              <w:t>above ground</w:t>
            </w:r>
            <w:r w:rsidRPr="007E1DDB">
              <w:t xml:space="preserve"> </w:t>
            </w:r>
            <w:r w:rsidRPr="007E1DDB">
              <w:rPr>
                <w:rStyle w:val="BoldandItalics"/>
              </w:rPr>
              <w:t>enclosure</w:t>
            </w:r>
            <w:r w:rsidRPr="007E1DDB">
              <w:t xml:space="preserve"> specified in the construction plan that is required for the project</w:t>
            </w:r>
          </w:p>
        </w:tc>
      </w:tr>
      <w:tr w:rsidTr="003A70F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List"/>
              <w:rPr>
                <w:lang w:val="en-NZ"/>
              </w:rPr>
            </w:pPr>
            <w:r w:rsidRPr="007E1DDB">
              <w:t>2.</w:t>
            </w:r>
            <w:r w:rsidRPr="007E1DDB">
              <w:tab/>
              <w:t>Build enclosure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List2"/>
            </w:pPr>
            <w:r w:rsidRPr="007E1DDB">
              <w:t>2.1.</w:t>
            </w:r>
            <w:r w:rsidRPr="007E1DDB">
              <w:tab/>
              <w:t>Use tools according to enterprise guidelines and occupational health and safety (</w:t>
            </w:r>
            <w:r w:rsidRPr="007E1DDB">
              <w:rPr>
                <w:rStyle w:val="BoldandItalics"/>
              </w:rPr>
              <w:t>OHS</w:t>
            </w:r>
            <w:r w:rsidRPr="007E1DDB">
              <w:t xml:space="preserve">) </w:t>
            </w:r>
            <w:r w:rsidRPr="007E1DDB">
              <w:rPr>
                <w:rStyle w:val="BoldandItalics"/>
              </w:rPr>
              <w:t>regulations</w:t>
            </w:r>
            <w:r w:rsidRPr="007E1DDB">
              <w:t xml:space="preserve"> </w:t>
            </w:r>
          </w:p>
          <w:p w:rsidR="00000000" w:rsidRPr="007E1DDB" w:rsidP="007E1DDB">
            <w:pPr>
              <w:pStyle w:val="List2"/>
            </w:pPr>
            <w:r w:rsidRPr="007E1DDB">
              <w:t>2.2.</w:t>
            </w:r>
            <w:r w:rsidRPr="007E1DDB">
              <w:tab/>
            </w:r>
            <w:r w:rsidRPr="007E1DDB">
              <w:t>Construct footings or foundations to the construction design specifications</w:t>
            </w:r>
          </w:p>
          <w:p w:rsidR="00000000" w:rsidRPr="007E1DDB" w:rsidP="007E1DDB">
            <w:pPr>
              <w:pStyle w:val="List2"/>
            </w:pPr>
            <w:r w:rsidRPr="007E1DDB">
              <w:t>2.3.</w:t>
            </w:r>
            <w:r w:rsidRPr="007E1DDB">
              <w:tab/>
              <w:t>Construct enclosure to specifications given in the construction design</w:t>
            </w:r>
          </w:p>
          <w:p w:rsidR="00000000" w:rsidP="007E1DDB">
            <w:pPr>
              <w:pStyle w:val="List2"/>
              <w:rPr>
                <w:lang w:val="en-NZ"/>
              </w:rPr>
            </w:pPr>
            <w:r w:rsidRPr="007E1DDB">
              <w:t>2.4.</w:t>
            </w:r>
            <w:r w:rsidRPr="007E1DDB">
              <w:tab/>
              <w:t>Connect enclosure to earth according to construction plan and industry practice</w:t>
            </w:r>
          </w:p>
        </w:tc>
      </w:tr>
      <w:tr w:rsidTr="003A70F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List"/>
              <w:rPr>
                <w:lang w:val="en-NZ"/>
              </w:rPr>
            </w:pPr>
            <w:r w:rsidRPr="007E1DDB">
              <w:t>3.</w:t>
            </w:r>
            <w:r w:rsidRPr="007E1DDB">
              <w:tab/>
              <w:t>Complete projec</w:t>
            </w:r>
            <w:r w:rsidRPr="007E1DDB">
              <w:t>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List2"/>
            </w:pPr>
            <w:r w:rsidRPr="007E1DDB">
              <w:t>3.1.</w:t>
            </w:r>
            <w:r w:rsidRPr="007E1DDB">
              <w:tab/>
              <w:t>Complete reports according to enterprise policy and record alterations to plans using appropriate symbols</w:t>
            </w:r>
          </w:p>
          <w:p w:rsidR="00000000" w:rsidRPr="007E1DDB" w:rsidP="007E1DDB">
            <w:pPr>
              <w:pStyle w:val="List2"/>
            </w:pPr>
            <w:r w:rsidRPr="007E1DDB">
              <w:t>3.2.</w:t>
            </w:r>
            <w:r w:rsidRPr="007E1DDB">
              <w:tab/>
              <w:t>Recover obsolete materials and equipment and return to appropriate point for disposal</w:t>
            </w:r>
          </w:p>
          <w:p w:rsidR="00000000" w:rsidRPr="007E1DDB" w:rsidP="007E1DDB">
            <w:pPr>
              <w:pStyle w:val="List2"/>
            </w:pPr>
            <w:r w:rsidRPr="007E1DDB">
              <w:t>3.3.</w:t>
            </w:r>
            <w:r w:rsidRPr="007E1DDB">
              <w:tab/>
              <w:t>Restore site according to the requirements of e</w:t>
            </w:r>
            <w:r w:rsidRPr="007E1DDB">
              <w:t>nterprise or approving authority and to customer satisfaction</w:t>
            </w:r>
          </w:p>
          <w:p w:rsidR="00000000" w:rsidRPr="007E1DDB" w:rsidP="007E1DDB">
            <w:pPr>
              <w:pStyle w:val="List2"/>
            </w:pPr>
            <w:r w:rsidRPr="007E1DDB">
              <w:t>3.4.</w:t>
            </w:r>
            <w:r w:rsidRPr="007E1DDB">
              <w:tab/>
              <w:t>Notify appropriate personnel of job completion and obtain sign off</w:t>
            </w:r>
          </w:p>
        </w:tc>
      </w:tr>
    </w:tbl>
    <w:p w:rsidR="003A70F1" w:rsidP="007E1DDB">
      <w:pPr>
        <w:pStyle w:val="BodyText"/>
      </w:pPr>
    </w:p>
    <w:p w:rsidR="003A70F1" w:rsidP="007E1DDB">
      <w:pPr>
        <w:pStyle w:val="BodyText"/>
      </w:pPr>
    </w:p>
    <w:p w:rsidR="00000000" w:rsidRPr="007E1DDB" w:rsidP="007E1DDB">
      <w:pPr>
        <w:pStyle w:val="Heading1"/>
      </w:pPr>
      <w:bookmarkStart w:id="9" w:name="O_260407"/>
      <w:bookmarkEnd w:id="9"/>
      <w:r w:rsidRPr="007E1DDB">
        <w:t>Required Skills and Knowledge</w:t>
      </w:r>
    </w:p>
    <w:tbl>
      <w:tblPr>
        <w:tblW w:w="0" w:type="auto"/>
        <w:tblLayout w:type="fixed"/>
        <w:tblCellMar>
          <w:left w:w="62" w:type="dxa"/>
          <w:right w:w="62" w:type="dxa"/>
        </w:tblCellMar>
        <w:tblLook w:val="0000"/>
      </w:tblPr>
      <w:tblGrid>
        <w:gridCol w:w="8522"/>
      </w:tblGrid>
      <w:tr w:rsidTr="003A70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REQUIRED SKILLS AND KNOWLEDGE</w:t>
            </w:r>
          </w:p>
        </w:tc>
      </w:tr>
      <w:tr w:rsidTr="003A70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t>This section describes the skills and knowledge required for this unit.</w:t>
            </w:r>
          </w:p>
        </w:tc>
      </w:tr>
      <w:tr w:rsidTr="003A70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Required skills</w:t>
            </w:r>
          </w:p>
        </w:tc>
      </w:tr>
      <w:tr w:rsidTr="003A70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ListBullet"/>
            </w:pPr>
            <w:r w:rsidRPr="007E1DDB">
              <w:t>communication skills to liaise with internal and external personnel on technical and operational matters</w:t>
            </w:r>
          </w:p>
          <w:p w:rsidR="00000000" w:rsidRPr="007E1DDB" w:rsidP="007E1DDB">
            <w:pPr>
              <w:pStyle w:val="ListBullet"/>
            </w:pPr>
            <w:r w:rsidRPr="007E1DDB">
              <w:t xml:space="preserve">literacy skills to interpret plans and specifications </w:t>
            </w:r>
          </w:p>
          <w:p w:rsidR="00000000" w:rsidRPr="007E1DDB" w:rsidP="007E1DDB">
            <w:pPr>
              <w:pStyle w:val="ListBullet"/>
            </w:pPr>
            <w:r w:rsidRPr="007E1DDB">
              <w:t>numeracy skills to take and analyse measurements for construction work</w:t>
            </w:r>
          </w:p>
          <w:p w:rsidR="00000000" w:rsidRPr="007E1DDB" w:rsidP="007E1DDB">
            <w:pPr>
              <w:pStyle w:val="ListBullet"/>
            </w:pPr>
            <w:r w:rsidRPr="007E1DDB">
              <w:t>planning and organisational skills to organise and maintain equipment</w:t>
            </w:r>
          </w:p>
          <w:p w:rsidR="00000000" w:rsidRPr="007E1DDB" w:rsidP="007E1DDB">
            <w:pPr>
              <w:pStyle w:val="ListBullet"/>
            </w:pPr>
            <w:r w:rsidRPr="007E1DDB">
              <w:t>problem solving skills to solve logistics problems on site</w:t>
            </w:r>
          </w:p>
          <w:p w:rsidR="00000000" w:rsidRPr="007E1DDB" w:rsidP="007E1DDB">
            <w:pPr>
              <w:pStyle w:val="ListBullet"/>
            </w:pPr>
            <w:r w:rsidRPr="007E1DDB">
              <w:t>safety awareness skills to:</w:t>
            </w:r>
          </w:p>
          <w:p w:rsidR="00000000" w:rsidRPr="007E1DDB" w:rsidP="007E1DDB">
            <w:pPr>
              <w:pStyle w:val="ListBullet2"/>
            </w:pPr>
            <w:r w:rsidRPr="007E1DDB">
              <w:t>apply precautions and requi</w:t>
            </w:r>
            <w:r w:rsidRPr="007E1DDB">
              <w:t>red action to minimise, control or eliminate hazards that may exist during work activities</w:t>
            </w:r>
          </w:p>
          <w:p w:rsidR="00000000" w:rsidRPr="007E1DDB" w:rsidP="007E1DDB">
            <w:pPr>
              <w:pStyle w:val="ListBullet2"/>
            </w:pPr>
            <w:r w:rsidRPr="007E1DDB">
              <w:t>select and use required personal protective equipment conforming to industry and OHS standards</w:t>
            </w:r>
          </w:p>
          <w:p w:rsidR="00000000" w:rsidRPr="007E1DDB" w:rsidP="007E1DDB">
            <w:pPr>
              <w:pStyle w:val="ListBullet2"/>
            </w:pPr>
            <w:r w:rsidRPr="007E1DDB">
              <w:t xml:space="preserve">work systematically with required attention to detail without injury to self or others, or damage to goods or equipment </w:t>
            </w:r>
          </w:p>
          <w:p w:rsidR="00000000" w:rsidRPr="007E1DDB" w:rsidP="007E1DDB">
            <w:pPr>
              <w:pStyle w:val="ListBullet"/>
            </w:pPr>
            <w:r w:rsidRPr="007E1DDB">
              <w:t xml:space="preserve">task management skills to work systematically with required attention to detail </w:t>
            </w:r>
          </w:p>
          <w:p w:rsidR="00000000" w:rsidRPr="007E1DDB" w:rsidP="007E1DDB">
            <w:pPr>
              <w:pStyle w:val="ListBullet"/>
            </w:pPr>
            <w:r w:rsidRPr="007E1DDB">
              <w:t>technical skills to:</w:t>
            </w:r>
          </w:p>
          <w:p w:rsidR="00000000" w:rsidRPr="007E1DDB" w:rsidP="007E1DDB">
            <w:pPr>
              <w:pStyle w:val="ListBullet2"/>
            </w:pPr>
            <w:r w:rsidRPr="007E1DDB">
              <w:t>construct footings and foundati</w:t>
            </w:r>
            <w:r w:rsidRPr="007E1DDB">
              <w:t>ons</w:t>
            </w:r>
          </w:p>
          <w:p w:rsidR="00000000" w:rsidRPr="007E1DDB" w:rsidP="007E1DDB">
            <w:pPr>
              <w:pStyle w:val="ListBullet2"/>
            </w:pPr>
            <w:r w:rsidRPr="007E1DDB">
              <w:t>construct earthing enclosures</w:t>
            </w:r>
          </w:p>
          <w:p w:rsidR="00000000" w:rsidP="007E1DDB">
            <w:pPr>
              <w:pStyle w:val="ListBullet2"/>
              <w:rPr>
                <w:lang w:val="en-NZ"/>
              </w:rPr>
            </w:pPr>
            <w:r w:rsidRPr="007E1DDB">
              <w:t>use hand and power tools in civil construction work</w:t>
            </w:r>
          </w:p>
        </w:tc>
      </w:tr>
      <w:tr w:rsidTr="003A70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Required knowledge</w:t>
            </w:r>
          </w:p>
        </w:tc>
      </w:tr>
      <w:tr w:rsidTr="003A70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ListBullet"/>
            </w:pPr>
            <w:r w:rsidRPr="007E1DDB">
              <w:t>civil construction:</w:t>
            </w:r>
          </w:p>
          <w:p w:rsidR="00000000" w:rsidRPr="007E1DDB" w:rsidP="007E1DDB">
            <w:pPr>
              <w:pStyle w:val="ListBullet2"/>
            </w:pPr>
            <w:r w:rsidRPr="007E1DDB">
              <w:t>construction plant, tools and equipment operation</w:t>
            </w:r>
          </w:p>
          <w:p w:rsidR="00000000" w:rsidRPr="007E1DDB" w:rsidP="007E1DDB">
            <w:pPr>
              <w:pStyle w:val="ListBullet2"/>
            </w:pPr>
            <w:r w:rsidRPr="007E1DDB">
              <w:t>enclosure construction methods</w:t>
            </w:r>
          </w:p>
          <w:p w:rsidR="00000000" w:rsidRPr="007E1DDB" w:rsidP="007E1DDB">
            <w:pPr>
              <w:pStyle w:val="ListBullet2"/>
            </w:pPr>
            <w:r w:rsidRPr="007E1DDB">
              <w:t>footings and foundations</w:t>
            </w:r>
          </w:p>
          <w:p w:rsidR="00000000" w:rsidRPr="007E1DDB" w:rsidP="007E1DDB">
            <w:pPr>
              <w:pStyle w:val="ListBullet2"/>
            </w:pPr>
            <w:r w:rsidRPr="007E1DDB">
              <w:t>plans</w:t>
            </w:r>
          </w:p>
          <w:p w:rsidR="00000000" w:rsidRPr="007E1DDB" w:rsidP="007E1DDB">
            <w:pPr>
              <w:pStyle w:val="ListBullet"/>
            </w:pPr>
            <w:r w:rsidRPr="007E1DDB">
              <w:t>legislation, codes of practice and other formal agreements that impact on the work activity</w:t>
            </w:r>
          </w:p>
          <w:p w:rsidR="00000000" w:rsidRPr="007E1DDB" w:rsidP="007E1DDB">
            <w:pPr>
              <w:pStyle w:val="ListBullet"/>
            </w:pPr>
            <w:r w:rsidRPr="007E1DDB">
              <w:t>specific OHS requirements relating to the activity and site conditions</w:t>
            </w:r>
          </w:p>
          <w:p w:rsidR="00000000" w:rsidRPr="007E1DDB" w:rsidP="007E1DDB">
            <w:pPr>
              <w:pStyle w:val="ListBullet"/>
            </w:pPr>
            <w:r w:rsidRPr="007E1DDB">
              <w:t>typical issues and challenges that occur on site</w:t>
            </w:r>
          </w:p>
        </w:tc>
      </w:tr>
    </w:tbl>
    <w:p w:rsidR="003A70F1" w:rsidP="007E1DDB">
      <w:pPr>
        <w:pStyle w:val="BodyText"/>
      </w:pPr>
    </w:p>
    <w:p w:rsidR="003A70F1" w:rsidP="007E1DDB">
      <w:pPr>
        <w:pStyle w:val="BodyText"/>
      </w:pPr>
    </w:p>
    <w:p w:rsidR="00000000" w:rsidRPr="007E1DDB" w:rsidP="007E1DDB">
      <w:pPr>
        <w:pStyle w:val="AllowPageBreak"/>
      </w:pPr>
    </w:p>
    <w:p w:rsidR="00000000" w:rsidRPr="007E1DDB" w:rsidP="007E1DDB">
      <w:pPr>
        <w:pStyle w:val="Heading1"/>
      </w:pPr>
      <w:bookmarkStart w:id="10" w:name="O_244441"/>
      <w:bookmarkEnd w:id="10"/>
      <w:r w:rsidRPr="007E1DDB">
        <w:t>Evidence Guide</w:t>
      </w:r>
    </w:p>
    <w:tbl>
      <w:tblPr>
        <w:tblW w:w="9570" w:type="dxa"/>
        <w:tblLayout w:type="fixed"/>
        <w:tblCellMar>
          <w:left w:w="62" w:type="dxa"/>
          <w:right w:w="62" w:type="dxa"/>
        </w:tblCellMar>
        <w:tblLook w:val="0000"/>
      </w:tblPr>
      <w:tblGrid>
        <w:gridCol w:w="3908"/>
        <w:gridCol w:w="5662"/>
      </w:tblGrid>
      <w:tr w:rsidTr="003A70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EVIDENCE GUIDE</w:t>
            </w:r>
          </w:p>
        </w:tc>
      </w:tr>
      <w:tr w:rsidTr="003A70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t>The evidence guide provides advice on assessment and must be read in conjunction with the performance criteria, required skills and knowledge, range statement and the Assessment Guidelines for the Training Package.</w:t>
            </w:r>
          </w:p>
        </w:tc>
      </w:tr>
      <w:tr w:rsidTr="003A70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p>
        </w:tc>
      </w:tr>
      <w:tr w:rsidTr="003A70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r w:rsidRPr="007E1DDB">
              <w:t>Evidence of the ability to:</w:t>
            </w:r>
          </w:p>
          <w:p w:rsidR="00000000" w:rsidRPr="007E1DDB" w:rsidP="007E1DDB">
            <w:pPr>
              <w:pStyle w:val="ListBullet"/>
            </w:pPr>
            <w:r w:rsidRPr="007E1DDB">
              <w:t>prepare to install an enclosure using construction plans with necessary tools and equipment</w:t>
            </w:r>
          </w:p>
          <w:p w:rsidR="00000000" w:rsidRPr="007E1DDB" w:rsidP="007E1DDB">
            <w:pPr>
              <w:pStyle w:val="ListBullet"/>
            </w:pPr>
            <w:r w:rsidRPr="007E1DDB">
              <w:t>construct and connect an enclosure according to plans, specifications and OHS requirements</w:t>
            </w:r>
          </w:p>
          <w:p w:rsidR="00000000" w:rsidP="007E1DDB">
            <w:pPr>
              <w:pStyle w:val="ListBullet"/>
              <w:rPr>
                <w:lang w:val="en-NZ"/>
              </w:rPr>
            </w:pPr>
            <w:r w:rsidRPr="007E1DDB">
              <w:t>complete reports and document alterations to plans.</w:t>
            </w:r>
          </w:p>
        </w:tc>
      </w:tr>
      <w:tr w:rsidTr="003A70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Context of</w:t>
            </w:r>
            <w:r w:rsidRPr="007E1DDB">
              <w:t xml:space="preserve">, </w:t>
            </w:r>
            <w:r w:rsidRPr="007E1DD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r w:rsidRPr="007E1DDB">
              <w:t>Assessment must ensure:</w:t>
            </w:r>
          </w:p>
          <w:p w:rsidR="00000000" w:rsidRPr="007E1DDB" w:rsidP="007E1DDB">
            <w:pPr>
              <w:pStyle w:val="ListBullet"/>
            </w:pPr>
            <w:r w:rsidRPr="007E1DDB">
              <w:t>sites where enclosure construction an</w:t>
            </w:r>
            <w:r w:rsidRPr="007E1DDB">
              <w:t>d connection may be conducted</w:t>
            </w:r>
          </w:p>
          <w:p w:rsidR="00000000" w:rsidRPr="007E1DDB" w:rsidP="007E1DDB">
            <w:pPr>
              <w:pStyle w:val="ListBullet"/>
            </w:pPr>
            <w:r w:rsidRPr="007E1DDB">
              <w:t>use of construction equipment currently used in industry</w:t>
            </w:r>
          </w:p>
          <w:p w:rsidR="00000000" w:rsidP="007E1DDB">
            <w:pPr>
              <w:pStyle w:val="ListBullet"/>
              <w:rPr>
                <w:lang w:val="en-NZ"/>
              </w:rPr>
            </w:pPr>
            <w:r w:rsidRPr="007E1DDB">
              <w:t>relevant regulatory and equipment documentation that impact on construction.</w:t>
            </w:r>
          </w:p>
        </w:tc>
      </w:tr>
      <w:tr w:rsidTr="003A70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r w:rsidRPr="007E1DDB">
              <w:t>A range of assessment methods should be used to assess practical skill</w:t>
            </w:r>
            <w:r w:rsidRPr="007E1DDB">
              <w:t>s and knowledge. The following examples are appropriate for this unit:</w:t>
            </w:r>
          </w:p>
          <w:p w:rsidR="00000000" w:rsidRPr="007E1DDB" w:rsidP="007E1DDB">
            <w:pPr>
              <w:pStyle w:val="ListBullet"/>
            </w:pPr>
            <w:r w:rsidRPr="007E1DDB">
              <w:t xml:space="preserve">review of an enclosure constructed by the candidate </w:t>
            </w:r>
          </w:p>
          <w:p w:rsidR="00000000" w:rsidRPr="007E1DDB" w:rsidP="007E1DDB">
            <w:pPr>
              <w:pStyle w:val="ListBullet"/>
            </w:pPr>
            <w:r w:rsidRPr="007E1DDB">
              <w:t>review of an oral and written report with completed documentation, including reports and records of alterations</w:t>
            </w:r>
          </w:p>
          <w:p w:rsidR="00000000" w:rsidRPr="007E1DDB" w:rsidP="007E1DDB">
            <w:pPr>
              <w:pStyle w:val="ListBullet"/>
            </w:pPr>
            <w:r w:rsidRPr="007E1DDB">
              <w:t xml:space="preserve">direct observation </w:t>
            </w:r>
            <w:r w:rsidRPr="007E1DDB">
              <w:t>of the candidate installing an above ground equipment enclosure</w:t>
            </w:r>
          </w:p>
          <w:p w:rsidR="00000000" w:rsidP="007E1DDB">
            <w:pPr>
              <w:pStyle w:val="ListBullet"/>
              <w:rPr>
                <w:lang w:val="en-NZ"/>
              </w:rPr>
            </w:pPr>
            <w:r w:rsidRPr="007E1DDB">
              <w:t>oral or written questioning to assess required knowledge .</w:t>
            </w:r>
          </w:p>
        </w:tc>
      </w:tr>
      <w:tr w:rsidTr="003A70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Guidance information for assessment</w:t>
            </w:r>
            <w:r w:rsidRPr="007E1DDB">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r w:rsidRPr="007E1DDB">
              <w:t>Holistic assessment with other units relevant to the industry sector, workplace and job role is recommended, for example:</w:t>
            </w:r>
          </w:p>
          <w:p w:rsidR="00000000" w:rsidRPr="007E1DDB" w:rsidP="007E1DDB">
            <w:pPr>
              <w:pStyle w:val="ListBullet"/>
            </w:pPr>
            <w:r w:rsidRPr="007E1DDB">
              <w:t>ICTCBL2133A Construct underground telecommunications infrastructure.</w:t>
            </w:r>
          </w:p>
          <w:p w:rsidR="00000000" w:rsidRPr="007E1DDB" w:rsidP="007E1DDB">
            <w:pPr>
              <w:pStyle w:val="BodyText"/>
            </w:pPr>
          </w:p>
          <w:p w:rsidR="00000000" w:rsidRPr="007E1DDB" w:rsidP="007E1DDB">
            <w:pPr>
              <w:pStyle w:val="BodyText"/>
            </w:pPr>
            <w:r w:rsidRPr="007E1DDB">
              <w:t xml:space="preserve">Aboriginal people and other people from a non-English speaking </w:t>
            </w:r>
            <w:r w:rsidRPr="007E1DDB">
              <w:t>background may have second language issues.</w:t>
            </w:r>
          </w:p>
          <w:p w:rsidR="00000000" w:rsidRPr="007E1DDB" w:rsidP="007E1DDB">
            <w:pPr>
              <w:pStyle w:val="BodyText"/>
            </w:pPr>
          </w:p>
          <w:p w:rsidR="00000000" w:rsidRPr="007E1DDB" w:rsidP="007E1DDB">
            <w:pPr>
              <w:pStyle w:val="BodyText"/>
            </w:pPr>
            <w:r w:rsidRPr="007E1DDB">
              <w:t xml:space="preserve">Access must be provided to appropriate learning and assessment support when required. </w:t>
            </w:r>
          </w:p>
          <w:p w:rsidR="00000000" w:rsidRPr="007E1DDB" w:rsidP="007E1DDB">
            <w:pPr>
              <w:pStyle w:val="BodyText"/>
            </w:pPr>
          </w:p>
          <w:p w:rsidR="00000000" w:rsidRPr="007E1DDB" w:rsidP="007E1DDB">
            <w:pPr>
              <w:pStyle w:val="BodyText"/>
            </w:pPr>
            <w:r w:rsidRPr="007E1DDB">
              <w:t xml:space="preserve">Assessment processes and techniques must be culturally appropriate, and appropriate to the oral communication skill level, </w:t>
            </w:r>
            <w:r w:rsidRPr="007E1DDB">
              <w:t>and language and literacy capacity of the candidate and the work being performed.</w:t>
            </w:r>
          </w:p>
          <w:p w:rsidR="00000000" w:rsidRPr="007E1DDB" w:rsidP="007E1DDB">
            <w:pPr>
              <w:pStyle w:val="BodyText"/>
            </w:pPr>
          </w:p>
          <w:p w:rsidR="00000000" w:rsidRPr="007E1DDB" w:rsidP="007E1DDB">
            <w:pPr>
              <w:pStyle w:val="BodyText"/>
            </w:pPr>
            <w:r w:rsidRPr="007E1DDB">
              <w:t>In all cases where practical assessment is used it will be combined with targeted questioning to assess required knowledge. Questioning techniques should not require languag</w:t>
            </w:r>
            <w:r w:rsidRPr="007E1DDB">
              <w:t xml:space="preserve">e, literacy and numeracy skills beyond those required in this unit of competency. </w:t>
            </w:r>
          </w:p>
          <w:p w:rsidR="00000000" w:rsidRPr="007E1DDB" w:rsidP="007E1DDB">
            <w:pPr>
              <w:pStyle w:val="BodyText"/>
            </w:pPr>
          </w:p>
          <w:p w:rsidR="00000000" w:rsidRPr="007E1DDB" w:rsidP="007E1DDB">
            <w:pPr>
              <w:pStyle w:val="BodyText"/>
            </w:pPr>
            <w:r w:rsidRPr="007E1DDB">
              <w:t>Where applicable, physical resources should include equipment modified for people with special needs.</w:t>
            </w:r>
          </w:p>
        </w:tc>
      </w:tr>
    </w:tbl>
    <w:p w:rsidR="003A70F1" w:rsidP="007E1DDB">
      <w:pPr>
        <w:pStyle w:val="BodyText"/>
      </w:pPr>
    </w:p>
    <w:p w:rsidR="003A70F1" w:rsidP="007E1DDB">
      <w:pPr>
        <w:pStyle w:val="BodyText"/>
      </w:pPr>
    </w:p>
    <w:p w:rsidR="00000000" w:rsidRPr="007E1DDB" w:rsidP="007E1DDB">
      <w:pPr>
        <w:pStyle w:val="Heading1"/>
      </w:pPr>
      <w:bookmarkStart w:id="11" w:name="O_252424"/>
      <w:bookmarkEnd w:id="11"/>
      <w:r w:rsidRPr="007E1DDB">
        <w:t>Range Statement</w:t>
      </w:r>
    </w:p>
    <w:tbl>
      <w:tblPr>
        <w:tblW w:w="0" w:type="auto"/>
        <w:tblLayout w:type="fixed"/>
        <w:tblCellMar>
          <w:left w:w="62" w:type="dxa"/>
          <w:right w:w="62" w:type="dxa"/>
        </w:tblCellMar>
        <w:tblLook w:val="0000"/>
      </w:tblPr>
      <w:tblGrid>
        <w:gridCol w:w="3409"/>
        <w:gridCol w:w="5113"/>
      </w:tblGrid>
      <w:tr w:rsidTr="003A70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RANGE STATEMENT</w:t>
            </w:r>
          </w:p>
        </w:tc>
      </w:tr>
      <w:tr w:rsidTr="003A70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t>The range statement relates to the unit of competency as a whole. It allows for different work environments and situations that may affect performance. Bold italicised wording, if used in the performance criteria, is detailed below. Essential operating con</w:t>
            </w:r>
            <w:r w:rsidRPr="007E1DDB">
              <w:t>ditions that may be present with training and assessment (depending on the work situation, needs of the candidate, accessibility of the item, and local industry and regional contexts) may also be included.</w:t>
            </w:r>
          </w:p>
        </w:tc>
      </w:tr>
      <w:tr w:rsidTr="003A70F1">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BoldandItalics"/>
              </w:rPr>
              <w:t>Appropriate personnel</w:t>
            </w:r>
            <w:r w:rsidRPr="007E1DD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ListBullet"/>
            </w:pPr>
            <w:r w:rsidRPr="007E1DDB">
              <w:t xml:space="preserve">customer representative </w:t>
            </w:r>
          </w:p>
          <w:p w:rsidR="00000000" w:rsidRPr="007E1DDB" w:rsidP="007E1DDB">
            <w:pPr>
              <w:pStyle w:val="ListBullet"/>
            </w:pPr>
            <w:r w:rsidRPr="007E1DDB">
              <w:t>project manager</w:t>
            </w:r>
          </w:p>
          <w:p w:rsidR="00000000" w:rsidP="007E1DDB">
            <w:pPr>
              <w:pStyle w:val="ListBullet"/>
              <w:rPr>
                <w:lang w:val="en-NZ"/>
              </w:rPr>
            </w:pPr>
            <w:r w:rsidRPr="007E1DDB">
              <w:t>site manager.</w:t>
            </w:r>
          </w:p>
        </w:tc>
      </w:tr>
      <w:tr w:rsidTr="003A70F1">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BoldandItalics"/>
              </w:rPr>
              <w:t>Safety hazards</w:t>
            </w:r>
            <w:r w:rsidRPr="007E1DDB">
              <w:t xml:space="preserve"> may refer to:</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ListBullet"/>
            </w:pPr>
            <w:r w:rsidRPr="007E1DDB">
              <w:t>contact with remote power feed</w:t>
            </w:r>
          </w:p>
          <w:p w:rsidR="00000000" w:rsidRPr="007E1DDB" w:rsidP="007E1DDB">
            <w:pPr>
              <w:pStyle w:val="ListBullet"/>
            </w:pPr>
            <w:r w:rsidRPr="007E1DDB">
              <w:t>electrical supply and areas of earth potential rise (EPR) that require mandatory separation from cable work</w:t>
            </w:r>
          </w:p>
          <w:p w:rsidR="00000000" w:rsidRPr="007E1DDB" w:rsidP="007E1DDB">
            <w:pPr>
              <w:pStyle w:val="ListBullet"/>
            </w:pPr>
            <w:r w:rsidRPr="007E1DDB">
              <w:t>hazardous conduit as in conduit</w:t>
            </w:r>
            <w:r w:rsidRPr="007E1DDB">
              <w:t xml:space="preserve"> colours according to AS 1345:1995 associated with a hazardous service</w:t>
            </w:r>
          </w:p>
          <w:p w:rsidR="00000000" w:rsidP="007E1DDB">
            <w:pPr>
              <w:pStyle w:val="ListBullet"/>
              <w:rPr>
                <w:lang w:val="en-NZ"/>
              </w:rPr>
            </w:pPr>
            <w:r w:rsidRPr="007E1DDB">
              <w:t>unstable ground.</w:t>
            </w:r>
          </w:p>
        </w:tc>
      </w:tr>
      <w:tr w:rsidTr="003A70F1">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BoldandItalics"/>
              </w:rPr>
              <w:t>Other services</w:t>
            </w:r>
            <w:r w:rsidRPr="007E1DD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ListBullet"/>
            </w:pPr>
            <w:r w:rsidRPr="007E1DDB">
              <w:t xml:space="preserve">fire services </w:t>
            </w:r>
          </w:p>
          <w:p w:rsidR="00000000" w:rsidRPr="007E1DDB" w:rsidP="007E1DDB">
            <w:pPr>
              <w:pStyle w:val="ListBullet"/>
            </w:pPr>
            <w:r w:rsidRPr="007E1DDB">
              <w:t>gas and water mains</w:t>
            </w:r>
          </w:p>
          <w:p w:rsidR="00000000" w:rsidP="007E1DDB">
            <w:pPr>
              <w:pStyle w:val="ListBullet"/>
              <w:rPr>
                <w:lang w:val="en-NZ"/>
              </w:rPr>
            </w:pPr>
            <w:r w:rsidRPr="007E1DDB">
              <w:t>high voltage (HV) power.</w:t>
            </w:r>
          </w:p>
        </w:tc>
      </w:tr>
      <w:tr w:rsidTr="003A70F1">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BoldandItalics"/>
              </w:rPr>
              <w:t>Plant</w:t>
            </w:r>
            <w:r w:rsidRPr="007E1DDB">
              <w:t xml:space="preserve">, </w:t>
            </w:r>
            <w:r w:rsidRPr="007E1DDB">
              <w:rPr>
                <w:rStyle w:val="BoldandItalics"/>
              </w:rPr>
              <w:t>tools</w:t>
            </w:r>
            <w:r w:rsidRPr="007E1DDB">
              <w:t xml:space="preserve">, </w:t>
            </w:r>
            <w:r w:rsidRPr="007E1DDB">
              <w:rPr>
                <w:rStyle w:val="BoldandItalics"/>
              </w:rPr>
              <w:t>safety equipment</w:t>
            </w:r>
            <w:r w:rsidRPr="007E1DD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ListBullet"/>
            </w:pPr>
            <w:r w:rsidRPr="007E1DDB">
              <w:t>equipment:</w:t>
            </w:r>
          </w:p>
          <w:p w:rsidR="00000000" w:rsidRPr="007E1DDB" w:rsidP="007E1DDB">
            <w:pPr>
              <w:pStyle w:val="ListBullet2"/>
            </w:pPr>
            <w:r w:rsidRPr="007E1DDB">
              <w:t>flashing lights</w:t>
            </w:r>
          </w:p>
          <w:p w:rsidR="00000000" w:rsidRPr="007E1DDB" w:rsidP="007E1DDB">
            <w:pPr>
              <w:pStyle w:val="ListBullet2"/>
            </w:pPr>
            <w:r w:rsidRPr="007E1DDB">
              <w:t>gas and other hazard detection equipment</w:t>
            </w:r>
          </w:p>
          <w:p w:rsidR="00000000" w:rsidRPr="007E1DDB" w:rsidP="007E1DDB">
            <w:pPr>
              <w:pStyle w:val="ListBullet2"/>
            </w:pPr>
            <w:r w:rsidRPr="007E1DDB">
              <w:t>safety barriers</w:t>
            </w:r>
          </w:p>
          <w:p w:rsidR="00000000" w:rsidRPr="007E1DDB" w:rsidP="007E1DDB">
            <w:pPr>
              <w:pStyle w:val="ListBullet2"/>
            </w:pPr>
            <w:r w:rsidRPr="007E1DDB">
              <w:t>trench guards</w:t>
            </w:r>
          </w:p>
          <w:p w:rsidR="00000000" w:rsidRPr="007E1DDB" w:rsidP="007E1DDB">
            <w:pPr>
              <w:pStyle w:val="ListBullet2"/>
            </w:pPr>
            <w:r w:rsidRPr="007E1DDB">
              <w:t xml:space="preserve">warning signs and tapes </w:t>
            </w:r>
          </w:p>
          <w:p w:rsidR="00000000" w:rsidRPr="007E1DDB" w:rsidP="007E1DDB">
            <w:pPr>
              <w:pStyle w:val="ListBullet"/>
            </w:pPr>
            <w:r w:rsidRPr="007E1DDB">
              <w:t>plant:</w:t>
            </w:r>
          </w:p>
          <w:p w:rsidR="00000000" w:rsidRPr="007E1DDB" w:rsidP="007E1DDB">
            <w:pPr>
              <w:pStyle w:val="ListBullet2"/>
            </w:pPr>
            <w:r w:rsidRPr="007E1DDB">
              <w:t>back hoe</w:t>
            </w:r>
          </w:p>
          <w:p w:rsidR="00000000" w:rsidRPr="007E1DDB" w:rsidP="007E1DDB">
            <w:pPr>
              <w:pStyle w:val="ListBullet2"/>
            </w:pPr>
            <w:r w:rsidRPr="007E1DDB">
              <w:t>bobcat</w:t>
            </w:r>
          </w:p>
          <w:p w:rsidR="00000000" w:rsidRPr="007E1DDB" w:rsidP="007E1DDB">
            <w:pPr>
              <w:pStyle w:val="ListBullet2"/>
            </w:pPr>
            <w:r w:rsidRPr="007E1DDB">
              <w:t>excavator</w:t>
            </w:r>
          </w:p>
          <w:p w:rsidR="00000000" w:rsidRPr="007E1DDB" w:rsidP="007E1DDB">
            <w:pPr>
              <w:pStyle w:val="ListBullet2"/>
            </w:pPr>
            <w:r w:rsidRPr="007E1DDB">
              <w:t>trencher</w:t>
            </w:r>
          </w:p>
          <w:p w:rsidR="00000000" w:rsidRPr="007E1DDB" w:rsidP="007E1DDB">
            <w:pPr>
              <w:pStyle w:val="ListBullet"/>
            </w:pPr>
            <w:r w:rsidRPr="007E1DDB">
              <w:t>safety equipment:</w:t>
            </w:r>
          </w:p>
          <w:p w:rsidR="00000000" w:rsidRPr="007E1DDB" w:rsidP="007E1DDB">
            <w:pPr>
              <w:pStyle w:val="ListBullet2"/>
            </w:pPr>
            <w:r w:rsidRPr="007E1DDB">
              <w:t>personal protective clothing:</w:t>
            </w:r>
          </w:p>
          <w:p w:rsidR="00000000" w:rsidRPr="007E1DDB" w:rsidP="007E1DDB">
            <w:pPr>
              <w:pStyle w:val="ListBullet3"/>
            </w:pPr>
            <w:r w:rsidRPr="007E1DDB">
              <w:t>earmuffs</w:t>
            </w:r>
          </w:p>
          <w:p w:rsidR="00000000" w:rsidRPr="007E1DDB" w:rsidP="007E1DDB">
            <w:pPr>
              <w:pStyle w:val="ListBullet3"/>
            </w:pPr>
            <w:r w:rsidRPr="007E1DDB">
              <w:t>gloves</w:t>
            </w:r>
          </w:p>
          <w:p w:rsidR="00000000" w:rsidRPr="007E1DDB" w:rsidP="007E1DDB">
            <w:pPr>
              <w:pStyle w:val="ListBullet3"/>
            </w:pPr>
            <w:r w:rsidRPr="007E1DDB">
              <w:t>head protection</w:t>
            </w:r>
          </w:p>
          <w:p w:rsidR="00000000" w:rsidRPr="007E1DDB" w:rsidP="007E1DDB">
            <w:pPr>
              <w:pStyle w:val="ListBullet3"/>
            </w:pPr>
            <w:r w:rsidRPr="007E1DDB">
              <w:t>kneepads</w:t>
            </w:r>
          </w:p>
          <w:p w:rsidR="00000000" w:rsidRPr="007E1DDB" w:rsidP="007E1DDB">
            <w:pPr>
              <w:pStyle w:val="ListBullet3"/>
            </w:pPr>
            <w:r w:rsidRPr="007E1DDB">
              <w:t xml:space="preserve">masks </w:t>
            </w:r>
          </w:p>
          <w:p w:rsidR="00000000" w:rsidRPr="007E1DDB" w:rsidP="007E1DDB">
            <w:pPr>
              <w:pStyle w:val="ListBullet3"/>
            </w:pPr>
            <w:r w:rsidRPr="007E1DDB">
              <w:t>protective suits</w:t>
            </w:r>
          </w:p>
          <w:p w:rsidR="00000000" w:rsidRPr="007E1DDB" w:rsidP="007E1DDB">
            <w:pPr>
              <w:pStyle w:val="ListBullet3"/>
            </w:pPr>
            <w:r w:rsidRPr="007E1DDB">
              <w:t>safety boots</w:t>
            </w:r>
          </w:p>
          <w:p w:rsidR="00000000" w:rsidRPr="007E1DDB" w:rsidP="007E1DDB">
            <w:pPr>
              <w:pStyle w:val="ListBullet3"/>
            </w:pPr>
            <w:r w:rsidRPr="007E1DDB">
              <w:t>safety glasses</w:t>
            </w:r>
          </w:p>
          <w:p w:rsidR="00000000" w:rsidRPr="007E1DDB" w:rsidP="007E1DDB">
            <w:pPr>
              <w:pStyle w:val="ListBullet"/>
            </w:pPr>
            <w:r w:rsidRPr="007E1DDB">
              <w:t>tools:</w:t>
            </w:r>
          </w:p>
          <w:p w:rsidR="00000000" w:rsidRPr="007E1DDB" w:rsidP="007E1DDB">
            <w:pPr>
              <w:pStyle w:val="ListBullet2"/>
            </w:pPr>
            <w:r w:rsidRPr="007E1DDB">
              <w:t>concrete tool</w:t>
            </w:r>
          </w:p>
          <w:p w:rsidR="00000000" w:rsidRPr="007E1DDB" w:rsidP="007E1DDB">
            <w:pPr>
              <w:pStyle w:val="ListBullet2"/>
            </w:pPr>
            <w:r w:rsidRPr="007E1DDB">
              <w:t>diggers</w:t>
            </w:r>
          </w:p>
          <w:p w:rsidR="00000000" w:rsidRPr="007E1DDB" w:rsidP="007E1DDB">
            <w:pPr>
              <w:pStyle w:val="ListBullet2"/>
            </w:pPr>
            <w:r w:rsidRPr="007E1DDB">
              <w:t>jack-hammers</w:t>
            </w:r>
          </w:p>
          <w:p w:rsidR="00000000" w:rsidRPr="007E1DDB" w:rsidP="007E1DDB">
            <w:pPr>
              <w:pStyle w:val="ListBullet2"/>
            </w:pPr>
            <w:r w:rsidRPr="007E1DDB">
              <w:t>power tools:</w:t>
            </w:r>
          </w:p>
          <w:p w:rsidR="00000000" w:rsidRPr="007E1DDB" w:rsidP="007E1DDB">
            <w:pPr>
              <w:pStyle w:val="ListBullet3"/>
            </w:pPr>
            <w:r w:rsidRPr="007E1DDB">
              <w:t>cutters</w:t>
            </w:r>
          </w:p>
          <w:p w:rsidR="00000000" w:rsidRPr="007E1DDB" w:rsidP="007E1DDB">
            <w:pPr>
              <w:pStyle w:val="ListBullet3"/>
            </w:pPr>
            <w:r w:rsidRPr="007E1DDB">
              <w:t>drills</w:t>
            </w:r>
          </w:p>
          <w:p w:rsidR="00000000" w:rsidRPr="007E1DDB" w:rsidP="007E1DDB">
            <w:pPr>
              <w:pStyle w:val="ListBullet2"/>
            </w:pPr>
            <w:r w:rsidRPr="007E1DDB">
              <w:t>saws</w:t>
            </w:r>
          </w:p>
          <w:p w:rsidR="00000000" w:rsidP="007E1DDB">
            <w:pPr>
              <w:pStyle w:val="ListBullet2"/>
              <w:rPr>
                <w:lang w:val="en-NZ"/>
              </w:rPr>
            </w:pPr>
            <w:r w:rsidRPr="007E1DDB">
              <w:t>shovels.</w:t>
            </w:r>
          </w:p>
        </w:tc>
      </w:tr>
      <w:tr w:rsidTr="003A70F1">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BoldandItalics"/>
              </w:rPr>
              <w:t>Above ground</w:t>
            </w:r>
            <w:r w:rsidRPr="007E1DDB">
              <w:t xml:space="preserve"> </w:t>
            </w:r>
            <w:r w:rsidRPr="007E1DDB">
              <w:rPr>
                <w:rStyle w:val="BoldandItalics"/>
              </w:rPr>
              <w:t>enclosure</w:t>
            </w:r>
            <w:r w:rsidRPr="007E1DD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ListBullet"/>
            </w:pPr>
            <w:r w:rsidRPr="007E1DDB">
              <w:t>conduit and pipe</w:t>
            </w:r>
          </w:p>
          <w:p w:rsidR="00000000" w:rsidRPr="007E1DDB" w:rsidP="007E1DDB">
            <w:pPr>
              <w:pStyle w:val="ListBullet"/>
            </w:pPr>
            <w:r w:rsidRPr="007E1DDB">
              <w:t>enclosure constructed of:</w:t>
            </w:r>
          </w:p>
          <w:p w:rsidR="00000000" w:rsidRPr="007E1DDB" w:rsidP="007E1DDB">
            <w:pPr>
              <w:pStyle w:val="ListBullet2"/>
            </w:pPr>
            <w:r w:rsidRPr="007E1DDB">
              <w:t>fibreglass</w:t>
            </w:r>
          </w:p>
          <w:p w:rsidR="00000000" w:rsidRPr="007E1DDB" w:rsidP="007E1DDB">
            <w:pPr>
              <w:pStyle w:val="ListBullet2"/>
            </w:pPr>
            <w:r w:rsidRPr="007E1DDB">
              <w:t>metal</w:t>
            </w:r>
          </w:p>
          <w:p w:rsidR="00000000" w:rsidRPr="007E1DDB" w:rsidP="007E1DDB">
            <w:pPr>
              <w:pStyle w:val="ListBullet2"/>
            </w:pPr>
            <w:r w:rsidRPr="007E1DDB">
              <w:t xml:space="preserve">plastic </w:t>
            </w:r>
          </w:p>
          <w:p w:rsidR="00000000" w:rsidRPr="007E1DDB" w:rsidP="007E1DDB">
            <w:pPr>
              <w:pStyle w:val="ListBullet"/>
            </w:pPr>
            <w:r w:rsidRPr="007E1DDB">
              <w:t>fibre hub</w:t>
            </w:r>
          </w:p>
          <w:p w:rsidR="00000000" w:rsidP="007E1DDB">
            <w:pPr>
              <w:pStyle w:val="ListBullet"/>
              <w:rPr>
                <w:lang w:val="en-NZ"/>
              </w:rPr>
            </w:pPr>
            <w:r w:rsidRPr="007E1DDB">
              <w:t>hybrid fibre coaxial (HFC) cabinet.</w:t>
            </w:r>
          </w:p>
        </w:tc>
      </w:tr>
      <w:tr w:rsidTr="003A70F1">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BoldandItalics"/>
              </w:rPr>
              <w:t>OHS regulations</w:t>
            </w:r>
            <w:r w:rsidRPr="007E1DD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ListBullet"/>
            </w:pPr>
            <w:r w:rsidRPr="007E1DDB">
              <w:t>appropriate licences:</w:t>
            </w:r>
          </w:p>
          <w:p w:rsidR="00000000" w:rsidRPr="007E1DDB" w:rsidP="007E1DDB">
            <w:pPr>
              <w:pStyle w:val="ListBullet2"/>
            </w:pPr>
            <w:r w:rsidRPr="007E1DDB">
              <w:t>crane</w:t>
            </w:r>
          </w:p>
          <w:p w:rsidR="00000000" w:rsidRPr="007E1DDB" w:rsidP="007E1DDB">
            <w:pPr>
              <w:pStyle w:val="ListBullet2"/>
            </w:pPr>
            <w:r w:rsidRPr="007E1DDB">
              <w:t>EWP</w:t>
            </w:r>
          </w:p>
          <w:p w:rsidR="00000000" w:rsidRPr="007E1DDB" w:rsidP="007E1DDB">
            <w:pPr>
              <w:pStyle w:val="ListBullet2"/>
            </w:pPr>
            <w:r w:rsidRPr="007E1DDB">
              <w:t>forklift</w:t>
            </w:r>
          </w:p>
          <w:p w:rsidR="00000000" w:rsidRPr="007E1DDB" w:rsidP="007E1DDB">
            <w:pPr>
              <w:pStyle w:val="ListBullet2"/>
            </w:pPr>
            <w:r w:rsidRPr="007E1DDB">
              <w:t>winch</w:t>
            </w:r>
          </w:p>
          <w:p w:rsidR="00000000" w:rsidRPr="007E1DDB" w:rsidP="007E1DDB">
            <w:pPr>
              <w:pStyle w:val="ListBullet"/>
            </w:pPr>
            <w:r w:rsidRPr="007E1DDB">
              <w:t>Australian Communications Industry Forum (ACIF) standards and codes</w:t>
            </w:r>
          </w:p>
          <w:p w:rsidR="00000000" w:rsidRPr="007E1DDB" w:rsidP="007E1DDB">
            <w:pPr>
              <w:pStyle w:val="ListBullet"/>
            </w:pPr>
            <w:r w:rsidRPr="007E1DDB">
              <w:t xml:space="preserve">AS Communications Cabling Manual (CCM) </w:t>
            </w:r>
            <w:r w:rsidRPr="007E1DDB">
              <w:br/>
              <w:t>Volume 1</w:t>
            </w:r>
          </w:p>
          <w:p w:rsidR="00000000" w:rsidRPr="007E1DDB" w:rsidP="007E1DDB">
            <w:pPr>
              <w:pStyle w:val="ListBullet"/>
            </w:pPr>
            <w:r w:rsidRPr="007E1DDB">
              <w:t>AS/NZS 3000:2007</w:t>
            </w:r>
          </w:p>
          <w:p w:rsidR="00000000" w:rsidRPr="007E1DDB" w:rsidP="007E1DDB">
            <w:pPr>
              <w:pStyle w:val="ListBullet"/>
            </w:pPr>
            <w:r w:rsidRPr="007E1DDB">
              <w:t>AS/NZS 3080:2003</w:t>
            </w:r>
          </w:p>
          <w:p w:rsidR="00000000" w:rsidRPr="007E1DDB" w:rsidP="007E1DDB">
            <w:pPr>
              <w:pStyle w:val="ListBullet"/>
            </w:pPr>
            <w:r w:rsidRPr="007E1DDB">
              <w:t>AS/NZS 3084:2003</w:t>
            </w:r>
          </w:p>
          <w:p w:rsidR="00000000" w:rsidRPr="007E1DDB" w:rsidP="007E1DDB">
            <w:pPr>
              <w:pStyle w:val="ListBullet"/>
            </w:pPr>
            <w:r w:rsidRPr="007E1DDB">
              <w:t>AS/NZS 3085.1:2004</w:t>
            </w:r>
          </w:p>
          <w:p w:rsidR="00000000" w:rsidRPr="007E1DDB" w:rsidP="007E1DDB">
            <w:pPr>
              <w:pStyle w:val="ListBullet"/>
            </w:pPr>
            <w:r w:rsidRPr="007E1DDB">
              <w:t>AS/NZS IEC 61935.1:2006</w:t>
            </w:r>
          </w:p>
          <w:p w:rsidR="00000000" w:rsidRPr="007E1DDB" w:rsidP="007E1DDB">
            <w:pPr>
              <w:pStyle w:val="ListBullet"/>
            </w:pPr>
            <w:r w:rsidRPr="007E1DDB">
              <w:t>AS/NZS IEC 61935.2:2006</w:t>
            </w:r>
          </w:p>
          <w:p w:rsidR="00000000" w:rsidRPr="007E1DDB" w:rsidP="007E1DDB">
            <w:pPr>
              <w:pStyle w:val="ListBullet"/>
            </w:pPr>
            <w:r w:rsidRPr="007E1DDB">
              <w:t>AS/NZS ISO/IEC 14763.3:2007</w:t>
            </w:r>
          </w:p>
          <w:p w:rsidR="00000000" w:rsidRPr="007E1DDB" w:rsidP="007E1DDB">
            <w:pPr>
              <w:pStyle w:val="ListBullet"/>
            </w:pPr>
            <w:r w:rsidRPr="007E1DDB">
              <w:t>AS/NZS ISO/IEC 15018:2005</w:t>
            </w:r>
          </w:p>
          <w:p w:rsidR="00000000" w:rsidRPr="007E1DDB" w:rsidP="007E1DDB">
            <w:pPr>
              <w:pStyle w:val="ListBullet"/>
            </w:pPr>
            <w:r w:rsidRPr="007E1DDB">
              <w:t xml:space="preserve">AS/NZS ISO/IEC 24702:2007 </w:t>
            </w:r>
          </w:p>
          <w:p w:rsidR="00000000" w:rsidRPr="007E1DDB" w:rsidP="007E1DDB">
            <w:pPr>
              <w:pStyle w:val="ListBullet"/>
            </w:pPr>
            <w:r w:rsidRPr="007E1DDB">
              <w:t>cabling security codes and regulations</w:t>
            </w:r>
          </w:p>
          <w:p w:rsidR="00000000" w:rsidRPr="007E1DDB" w:rsidP="007E1DDB">
            <w:pPr>
              <w:pStyle w:val="ListBullet"/>
            </w:pPr>
            <w:r w:rsidRPr="007E1DDB">
              <w:t>Environmental Protection Acts</w:t>
            </w:r>
          </w:p>
          <w:p w:rsidR="00000000" w:rsidRPr="007E1DDB" w:rsidP="007E1DDB">
            <w:pPr>
              <w:pStyle w:val="ListBullet"/>
            </w:pPr>
            <w:r w:rsidRPr="007E1DDB">
              <w:t>OHS</w:t>
            </w:r>
          </w:p>
          <w:p w:rsidR="00000000" w:rsidRPr="007E1DDB" w:rsidP="007E1DDB">
            <w:pPr>
              <w:pStyle w:val="ListBullet"/>
            </w:pPr>
            <w:r w:rsidRPr="007E1DDB">
              <w:t>road and traffic control legislation and codes</w:t>
            </w:r>
          </w:p>
          <w:p w:rsidR="00000000" w:rsidRPr="007E1DDB" w:rsidP="007E1DDB">
            <w:pPr>
              <w:pStyle w:val="ListBullet"/>
            </w:pPr>
            <w:r w:rsidRPr="007E1DDB">
              <w:t>technical standards AS/ACIF S008:2006 and AS/ACIF S009:2006.</w:t>
            </w:r>
          </w:p>
        </w:tc>
      </w:tr>
    </w:tbl>
    <w:p w:rsidR="003A70F1" w:rsidP="007E1DDB">
      <w:pPr>
        <w:pStyle w:val="BodyText"/>
      </w:pPr>
    </w:p>
    <w:p w:rsidR="003A70F1" w:rsidP="007E1DDB">
      <w:pPr>
        <w:pStyle w:val="BodyText"/>
      </w:pPr>
    </w:p>
    <w:p w:rsidR="00000000" w:rsidRPr="007E1DDB" w:rsidP="007E1DDB">
      <w:pPr>
        <w:pStyle w:val="Heading1"/>
      </w:pPr>
      <w:bookmarkStart w:id="12" w:name="O_208653"/>
      <w:bookmarkEnd w:id="12"/>
      <w:r w:rsidRPr="007E1DDB">
        <w:t>Unit Sector(s)</w:t>
      </w:r>
    </w:p>
    <w:tbl>
      <w:tblPr>
        <w:tblW w:w="0" w:type="auto"/>
        <w:tblLayout w:type="fixed"/>
        <w:tblCellMar>
          <w:left w:w="62" w:type="dxa"/>
          <w:right w:w="62" w:type="dxa"/>
        </w:tblCellMar>
        <w:tblLook w:val="0000"/>
      </w:tblPr>
      <w:tblGrid>
        <w:gridCol w:w="2570"/>
        <w:gridCol w:w="5952"/>
      </w:tblGrid>
      <w:tr w:rsidTr="003A70F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r w:rsidRPr="007E1DDB">
              <w:t>Telecommunications</w:t>
            </w:r>
          </w:p>
        </w:tc>
      </w:tr>
    </w:tbl>
    <w:p w:rsidR="003A70F1" w:rsidP="007E1DDB">
      <w:pPr>
        <w:pStyle w:val="BodyText"/>
      </w:pPr>
    </w:p>
    <w:p w:rsidR="003A70F1" w:rsidP="007E1DDB">
      <w:pPr>
        <w:pStyle w:val="BodyText"/>
      </w:pPr>
    </w:p>
    <w:p w:rsidR="00000000" w:rsidRPr="007E1DDB" w:rsidP="007E1DDB">
      <w:pPr>
        <w:pStyle w:val="Heading1"/>
      </w:pPr>
      <w:bookmarkStart w:id="13" w:name="O_208650"/>
      <w:bookmarkEnd w:id="13"/>
      <w:r w:rsidRPr="007E1DDB">
        <w:t>Co-requisite units</w:t>
      </w:r>
    </w:p>
    <w:tbl>
      <w:tblPr>
        <w:tblW w:w="0" w:type="auto"/>
        <w:tblLayout w:type="fixed"/>
        <w:tblCellMar>
          <w:left w:w="62" w:type="dxa"/>
          <w:right w:w="62" w:type="dxa"/>
        </w:tblCellMar>
        <w:tblLook w:val="0000"/>
      </w:tblPr>
      <w:tblGrid>
        <w:gridCol w:w="2641"/>
        <w:gridCol w:w="1322"/>
        <w:gridCol w:w="4559"/>
      </w:tblGrid>
      <w:tr w:rsidTr="003A70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p>
        </w:tc>
      </w:tr>
      <w:tr w:rsidTr="003A70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p>
        </w:tc>
      </w:tr>
      <w:tr w:rsidTr="003A70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p>
        </w:tc>
      </w:tr>
    </w:tbl>
    <w:p w:rsidR="003A70F1" w:rsidP="007E1DDB">
      <w:pPr>
        <w:pStyle w:val="BodyText"/>
      </w:pPr>
    </w:p>
    <w:p w:rsidR="003A70F1" w:rsidP="007E1DDB">
      <w:pPr>
        <w:pStyle w:val="BodyText"/>
      </w:pPr>
    </w:p>
    <w:p w:rsidR="00000000" w:rsidRPr="007E1DDB" w:rsidP="007E1DDB">
      <w:pPr>
        <w:pStyle w:val="Heading1"/>
      </w:pPr>
      <w:bookmarkStart w:id="14" w:name="O_208652"/>
      <w:bookmarkEnd w:id="14"/>
      <w:r w:rsidRPr="007E1DDB">
        <w:t>Competency field</w:t>
      </w:r>
    </w:p>
    <w:tbl>
      <w:tblPr>
        <w:tblW w:w="0" w:type="auto"/>
        <w:tblLayout w:type="fixed"/>
        <w:tblCellMar>
          <w:left w:w="62" w:type="dxa"/>
          <w:right w:w="62" w:type="dxa"/>
        </w:tblCellMar>
        <w:tblLook w:val="0000"/>
      </w:tblPr>
      <w:tblGrid>
        <w:gridCol w:w="2778"/>
        <w:gridCol w:w="5744"/>
      </w:tblGrid>
      <w:tr w:rsidTr="003A70F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DB">
            <w:pPr>
              <w:pStyle w:val="BodyText"/>
              <w:rPr>
                <w:lang w:val="en-NZ"/>
              </w:rPr>
            </w:pPr>
            <w:r w:rsidRPr="007E1DD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DB" w:rsidP="007E1DDB">
            <w:pPr>
              <w:pStyle w:val="BodyText"/>
            </w:pPr>
            <w:r w:rsidRPr="007E1DDB">
              <w:t>Cabling</w:t>
            </w:r>
          </w:p>
        </w:tc>
      </w:tr>
    </w:tbl>
    <w:p w:rsidR="003A70F1" w:rsidP="007E1DDB">
      <w:pPr>
        <w:pStyle w:val="BodyText"/>
      </w:pPr>
    </w:p>
    <w:p w:rsidR="003A70F1" w:rsidP="007E1DDB">
      <w:pPr>
        <w:pStyle w:val="BodyText"/>
      </w:pPr>
    </w:p>
    <w:p w:rsidR="00000000" w:rsidRPr="007E1DDB" w:rsidP="007E1DDB"/>
    <w:sectPr w:rsidSect="007E1D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0F1" w:rsidP="003A70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F1" w:rsidP="007E1D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A70F1" w:rsidP="007E1D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70F1" w:rsidP="007E1D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0F1" w:rsidP="003A70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F1" w:rsidP="007E1DDB">
    <w:pPr>
      <w:pStyle w:val="Header"/>
      <w:framePr w:wrap="around"/>
    </w:pPr>
    <w:r>
      <w:fldChar w:fldCharType="begin"/>
    </w:r>
    <w:r>
      <w:instrText xml:space="preserve"> TITLE   \* MERGEFORMAT </w:instrText>
    </w:r>
    <w:r>
      <w:fldChar w:fldCharType="separate"/>
    </w:r>
    <w:r>
      <w:t>ICTCBL2131A Install an above ground equipment enclosure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70F1" w:rsidP="007E1D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669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5C0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322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D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1DDB"/>
    <w:pPr>
      <w:spacing w:before="360" w:after="60"/>
      <w:outlineLvl w:val="0"/>
    </w:pPr>
    <w:rPr>
      <w:sz w:val="32"/>
    </w:rPr>
  </w:style>
  <w:style w:type="paragraph" w:styleId="Heading2">
    <w:name w:val="heading 2"/>
    <w:basedOn w:val="HeadingBase"/>
    <w:next w:val="BodyText"/>
    <w:link w:val="Heading2Char"/>
    <w:qFormat/>
    <w:rsid w:val="007E1DDB"/>
    <w:pPr>
      <w:keepLines/>
      <w:spacing w:before="240" w:after="120"/>
      <w:outlineLvl w:val="1"/>
    </w:pPr>
    <w:rPr>
      <w:sz w:val="28"/>
      <w:szCs w:val="40"/>
    </w:rPr>
  </w:style>
  <w:style w:type="paragraph" w:styleId="Heading3">
    <w:name w:val="heading 3"/>
    <w:basedOn w:val="HeadingBase"/>
    <w:next w:val="BodyText"/>
    <w:link w:val="Heading3Char"/>
    <w:qFormat/>
    <w:rsid w:val="007E1DDB"/>
    <w:pPr>
      <w:spacing w:before="180" w:after="120"/>
      <w:outlineLvl w:val="2"/>
    </w:pPr>
    <w:rPr>
      <w:spacing w:val="-10"/>
      <w:kern w:val="32"/>
    </w:rPr>
  </w:style>
  <w:style w:type="paragraph" w:styleId="Heading4">
    <w:name w:val="heading 4"/>
    <w:basedOn w:val="HeadingBase"/>
    <w:next w:val="BodyText"/>
    <w:link w:val="Heading4Char"/>
    <w:qFormat/>
    <w:rsid w:val="007E1DDB"/>
    <w:pPr>
      <w:spacing w:before="160" w:after="120"/>
      <w:outlineLvl w:val="3"/>
    </w:pPr>
    <w:rPr>
      <w:sz w:val="22"/>
    </w:rPr>
  </w:style>
  <w:style w:type="paragraph" w:styleId="Heading5">
    <w:name w:val="heading 5"/>
    <w:basedOn w:val="HeadingBase"/>
    <w:next w:val="Normal"/>
    <w:link w:val="Heading5Char"/>
    <w:qFormat/>
    <w:rsid w:val="007E1DDB"/>
    <w:pPr>
      <w:spacing w:before="80"/>
      <w:outlineLvl w:val="4"/>
    </w:pPr>
    <w:rPr>
      <w:color w:val="918585"/>
      <w:sz w:val="20"/>
    </w:rPr>
  </w:style>
  <w:style w:type="paragraph" w:styleId="Heading6">
    <w:name w:val="heading 6"/>
    <w:basedOn w:val="HeadingBase"/>
    <w:next w:val="Normal"/>
    <w:link w:val="Heading6Char"/>
    <w:qFormat/>
    <w:rsid w:val="007E1DDB"/>
    <w:pPr>
      <w:spacing w:before="60"/>
      <w:outlineLvl w:val="5"/>
    </w:pPr>
    <w:rPr>
      <w:color w:val="918585"/>
      <w:sz w:val="20"/>
    </w:rPr>
  </w:style>
  <w:style w:type="paragraph" w:styleId="Heading7">
    <w:name w:val="heading 7"/>
    <w:basedOn w:val="Normal"/>
    <w:next w:val="Normal"/>
    <w:link w:val="Heading7Char"/>
    <w:qFormat/>
    <w:rsid w:val="007E1DDB"/>
    <w:pPr>
      <w:ind w:left="720"/>
      <w:outlineLvl w:val="6"/>
    </w:pPr>
    <w:rPr>
      <w:i/>
    </w:rPr>
  </w:style>
  <w:style w:type="paragraph" w:styleId="Heading8">
    <w:name w:val="heading 8"/>
    <w:basedOn w:val="Normal"/>
    <w:next w:val="Normal"/>
    <w:link w:val="Heading8Char"/>
    <w:qFormat/>
    <w:rsid w:val="007E1DDB"/>
    <w:pPr>
      <w:ind w:left="720"/>
      <w:outlineLvl w:val="7"/>
    </w:pPr>
    <w:rPr>
      <w:i/>
    </w:rPr>
  </w:style>
  <w:style w:type="paragraph" w:styleId="Heading9">
    <w:name w:val="heading 9"/>
    <w:basedOn w:val="Normal"/>
    <w:next w:val="Normal"/>
    <w:link w:val="Heading9Char"/>
    <w:qFormat/>
    <w:rsid w:val="007E1DDB"/>
    <w:pPr>
      <w:ind w:left="720"/>
      <w:outlineLvl w:val="8"/>
    </w:pPr>
    <w:rPr>
      <w:i/>
    </w:rPr>
  </w:style>
  <w:style w:type="character" w:default="1" w:styleId="DefaultParagraphFont">
    <w:name w:val="Default Paragraph Font"/>
    <w:uiPriority w:val="1"/>
    <w:unhideWhenUsed/>
    <w:rsid w:val="007E1D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DDB"/>
  </w:style>
  <w:style w:type="character" w:customStyle="1" w:styleId="Heading1Char">
    <w:name w:val="Heading 1 Char"/>
    <w:basedOn w:val="DefaultParagraphFont"/>
    <w:link w:val="Heading1"/>
    <w:rsid w:val="007E1DDB"/>
    <w:rPr>
      <w:rFonts w:ascii="Times New Roman" w:eastAsia="Times New Roman" w:hAnsi="Times New Roman" w:cs="Times New Roman"/>
      <w:b/>
      <w:sz w:val="32"/>
      <w:szCs w:val="20"/>
      <w:lang w:eastAsia="en-US"/>
    </w:rPr>
  </w:style>
  <w:style w:type="paragraph" w:styleId="BodyText">
    <w:name w:val="Body Text"/>
    <w:basedOn w:val="Normal"/>
    <w:link w:val="BodyTextChar"/>
    <w:rsid w:val="007E1D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1DDB"/>
    <w:rPr>
      <w:rFonts w:ascii="Times New Roman" w:eastAsia="Times New Roman" w:hAnsi="Times New Roman" w:cs="Times New Roman"/>
      <w:sz w:val="24"/>
      <w:lang w:val="en-US" w:eastAsia="en-US"/>
    </w:rPr>
  </w:style>
  <w:style w:type="paragraph" w:styleId="Footer">
    <w:name w:val="footer"/>
    <w:basedOn w:val="Normal"/>
    <w:link w:val="FooterChar"/>
    <w:rsid w:val="007E1D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DDB"/>
    <w:rPr>
      <w:rFonts w:ascii="Times New Roman" w:eastAsia="Times New Roman" w:hAnsi="Times New Roman" w:cs="Times New Roman"/>
      <w:sz w:val="16"/>
      <w:lang w:val="en-US" w:eastAsia="en-US"/>
    </w:rPr>
  </w:style>
  <w:style w:type="paragraph" w:styleId="List">
    <w:name w:val="List"/>
    <w:basedOn w:val="BodyText"/>
    <w:next w:val="BodyText"/>
    <w:rsid w:val="007E1DDB"/>
    <w:pPr>
      <w:tabs>
        <w:tab w:val="left" w:pos="340"/>
      </w:tabs>
      <w:spacing w:before="60" w:after="60"/>
      <w:ind w:left="340" w:hanging="340"/>
    </w:pPr>
  </w:style>
  <w:style w:type="paragraph" w:styleId="ListBullet">
    <w:name w:val="List Bullet"/>
    <w:basedOn w:val="List"/>
    <w:rsid w:val="007E1DDB"/>
    <w:pPr>
      <w:numPr>
        <w:numId w:val="14"/>
      </w:numPr>
      <w:tabs>
        <w:tab w:val="clear" w:pos="340"/>
      </w:tabs>
      <w:spacing w:before="40" w:after="40"/>
    </w:pPr>
  </w:style>
  <w:style w:type="character" w:customStyle="1" w:styleId="SpecialBold">
    <w:name w:val="Special Bold"/>
    <w:basedOn w:val="DefaultParagraphFont"/>
    <w:rsid w:val="007E1DDB"/>
    <w:rPr>
      <w:b/>
      <w:spacing w:val="0"/>
    </w:rPr>
  </w:style>
  <w:style w:type="paragraph" w:styleId="ListBullet2">
    <w:name w:val="List Bullet 2"/>
    <w:basedOn w:val="List2"/>
    <w:rsid w:val="007E1DDB"/>
    <w:pPr>
      <w:numPr>
        <w:numId w:val="15"/>
      </w:numPr>
      <w:tabs>
        <w:tab w:val="clear" w:pos="680"/>
      </w:tabs>
    </w:pPr>
  </w:style>
  <w:style w:type="paragraph" w:styleId="Header">
    <w:name w:val="header"/>
    <w:basedOn w:val="Normal"/>
    <w:link w:val="HeaderChar"/>
    <w:rsid w:val="007E1D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D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1DDB"/>
    <w:pPr>
      <w:spacing w:before="240" w:after="120"/>
      <w:outlineLvl w:val="0"/>
    </w:pPr>
    <w:rPr>
      <w:rFonts w:ascii="Times New Roman" w:hAnsi="Times New Roman"/>
      <w:b/>
      <w:sz w:val="28"/>
    </w:rPr>
  </w:style>
  <w:style w:type="paragraph" w:customStyle="1" w:styleId="AllowPageBreak">
    <w:name w:val="AllowPageBreak"/>
    <w:rsid w:val="007E1D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1DDB"/>
    <w:pPr>
      <w:tabs>
        <w:tab w:val="left" w:pos="680"/>
      </w:tabs>
      <w:spacing w:before="60" w:after="60"/>
      <w:ind w:left="680" w:hanging="340"/>
    </w:pPr>
  </w:style>
  <w:style w:type="paragraph" w:styleId="ListBullet3">
    <w:name w:val="List Bullet 3"/>
    <w:basedOn w:val="List3"/>
    <w:rsid w:val="007E1DDB"/>
    <w:pPr>
      <w:numPr>
        <w:numId w:val="3"/>
      </w:numPr>
      <w:tabs>
        <w:tab w:val="clear" w:pos="1021"/>
      </w:tabs>
      <w:ind w:left="1037" w:hanging="357"/>
    </w:pPr>
  </w:style>
  <w:style w:type="character" w:customStyle="1" w:styleId="BoldandItalics">
    <w:name w:val="Bold and Italics"/>
    <w:qFormat/>
    <w:rsid w:val="007E1DDB"/>
    <w:rPr>
      <w:b/>
      <w:i/>
      <w:u w:val="none"/>
    </w:rPr>
  </w:style>
  <w:style w:type="character" w:customStyle="1" w:styleId="Heading2Char">
    <w:name w:val="Heading 2 Char"/>
    <w:basedOn w:val="DefaultParagraphFont"/>
    <w:link w:val="Heading2"/>
    <w:rsid w:val="007E1D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D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D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D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D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D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1D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1DDB"/>
    <w:rPr>
      <w:rFonts w:ascii="Courier New" w:eastAsia="Times New Roman" w:hAnsi="Courier New" w:cs="Times New Roman"/>
      <w:i/>
      <w:szCs w:val="20"/>
      <w:lang w:val="en-US" w:eastAsia="en-US"/>
    </w:rPr>
  </w:style>
  <w:style w:type="paragraph" w:customStyle="1" w:styleId="HeadingBase">
    <w:name w:val="Heading Base"/>
    <w:rsid w:val="007E1D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DDB"/>
    <w:pPr>
      <w:tabs>
        <w:tab w:val="right" w:leader="dot" w:pos="9072"/>
      </w:tabs>
      <w:ind w:left="567"/>
    </w:pPr>
    <w:rPr>
      <w:szCs w:val="22"/>
    </w:rPr>
  </w:style>
  <w:style w:type="paragraph" w:customStyle="1" w:styleId="TOCBase">
    <w:name w:val="TOC Base"/>
    <w:rsid w:val="007E1D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DDB"/>
    <w:pPr>
      <w:tabs>
        <w:tab w:val="right" w:leader="dot" w:pos="9072"/>
      </w:tabs>
      <w:spacing w:before="40" w:after="40"/>
      <w:ind w:left="284"/>
    </w:pPr>
    <w:rPr>
      <w:rFonts w:ascii="Times New Roman" w:hAnsi="Times New Roman"/>
    </w:rPr>
  </w:style>
  <w:style w:type="paragraph" w:styleId="TOC1">
    <w:name w:val="toc 1"/>
    <w:basedOn w:val="TOCBase"/>
    <w:next w:val="Normal"/>
    <w:rsid w:val="007E1D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1DDB"/>
    <w:pPr>
      <w:spacing w:before="5040"/>
      <w:jc w:val="center"/>
    </w:pPr>
    <w:rPr>
      <w:sz w:val="48"/>
      <w:szCs w:val="72"/>
      <w:lang w:val="en-US"/>
    </w:rPr>
  </w:style>
  <w:style w:type="character" w:customStyle="1" w:styleId="TitleChar">
    <w:name w:val="Title Char"/>
    <w:basedOn w:val="DefaultParagraphFont"/>
    <w:link w:val="Title"/>
    <w:rsid w:val="007E1D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DDB"/>
    <w:pPr>
      <w:tabs>
        <w:tab w:val="left" w:pos="3600"/>
        <w:tab w:val="left" w:pos="3958"/>
      </w:tabs>
    </w:pPr>
  </w:style>
  <w:style w:type="paragraph" w:customStyle="1" w:styleId="Note">
    <w:name w:val="Note"/>
    <w:basedOn w:val="BodyText"/>
    <w:rsid w:val="007E1D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DDB"/>
    <w:pPr>
      <w:framePr w:wrap="auto" w:hAnchor="text" w:y="6049"/>
    </w:pPr>
    <w:rPr>
      <w:color w:val="000000"/>
      <w:sz w:val="40"/>
    </w:rPr>
  </w:style>
  <w:style w:type="paragraph" w:customStyle="1" w:styleId="TOCTitle">
    <w:name w:val="TOCTitle"/>
    <w:basedOn w:val="Heading1"/>
    <w:rsid w:val="007E1DDB"/>
    <w:pPr>
      <w:spacing w:after="240"/>
      <w:jc w:val="center"/>
      <w:outlineLvl w:val="9"/>
    </w:pPr>
    <w:rPr>
      <w:caps/>
    </w:rPr>
  </w:style>
  <w:style w:type="paragraph" w:customStyle="1" w:styleId="Version">
    <w:name w:val="Version"/>
    <w:rsid w:val="007E1D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DDB"/>
    <w:pPr>
      <w:keepNext w:val="0"/>
      <w:tabs>
        <w:tab w:val="right" w:pos="4176"/>
      </w:tabs>
      <w:ind w:left="198" w:hanging="198"/>
    </w:pPr>
    <w:rPr>
      <w:rFonts w:ascii="Garamond" w:hAnsi="Garamond"/>
    </w:rPr>
  </w:style>
  <w:style w:type="paragraph" w:styleId="IndexHeading">
    <w:name w:val="index heading"/>
    <w:basedOn w:val="Normal"/>
    <w:next w:val="Index1"/>
    <w:semiHidden/>
    <w:rsid w:val="007E1DDB"/>
    <w:pPr>
      <w:spacing w:before="120" w:after="120"/>
    </w:pPr>
    <w:rPr>
      <w:rFonts w:ascii="Arial" w:hAnsi="Arial"/>
      <w:b/>
      <w:color w:val="918585"/>
      <w:sz w:val="24"/>
    </w:rPr>
  </w:style>
  <w:style w:type="paragraph" w:customStyle="1" w:styleId="Chapter">
    <w:name w:val="Chapter"/>
    <w:basedOn w:val="Normal"/>
    <w:rsid w:val="007E1DDB"/>
    <w:pPr>
      <w:spacing w:before="240"/>
    </w:pPr>
    <w:rPr>
      <w:rFonts w:ascii="Times New Roman" w:hAnsi="Times New Roman"/>
      <w:smallCaps/>
      <w:spacing w:val="80"/>
      <w:sz w:val="28"/>
    </w:rPr>
  </w:style>
  <w:style w:type="paragraph" w:customStyle="1" w:styleId="InChapter">
    <w:name w:val="InChapter"/>
    <w:basedOn w:val="Heading3"/>
    <w:rsid w:val="007E1DDB"/>
    <w:pPr>
      <w:spacing w:after="240"/>
      <w:outlineLvl w:val="9"/>
    </w:pPr>
    <w:rPr>
      <w:noProof/>
    </w:rPr>
  </w:style>
  <w:style w:type="paragraph" w:styleId="Index2">
    <w:name w:val="index 2"/>
    <w:basedOn w:val="Normal"/>
    <w:next w:val="Normal"/>
    <w:semiHidden/>
    <w:rsid w:val="007E1DDB"/>
    <w:pPr>
      <w:tabs>
        <w:tab w:val="right" w:pos="4176"/>
      </w:tabs>
      <w:ind w:left="568" w:hanging="284"/>
    </w:pPr>
    <w:rPr>
      <w:rFonts w:ascii="Garamond" w:hAnsi="Garamond"/>
    </w:rPr>
  </w:style>
  <w:style w:type="paragraph" w:customStyle="1" w:styleId="Byline">
    <w:name w:val="Byline"/>
    <w:rsid w:val="007E1D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DDB"/>
    <w:pPr>
      <w:tabs>
        <w:tab w:val="clear" w:pos="3600"/>
        <w:tab w:val="clear" w:pos="3958"/>
      </w:tabs>
      <w:jc w:val="right"/>
    </w:pPr>
  </w:style>
  <w:style w:type="character" w:styleId="Emphasis">
    <w:name w:val="Emphasis"/>
    <w:basedOn w:val="DefaultParagraphFont"/>
    <w:qFormat/>
    <w:rsid w:val="007E1DDB"/>
    <w:rPr>
      <w:i/>
    </w:rPr>
  </w:style>
  <w:style w:type="paragraph" w:styleId="Caption">
    <w:name w:val="caption"/>
    <w:basedOn w:val="BodyText"/>
    <w:next w:val="Normal"/>
    <w:qFormat/>
    <w:rsid w:val="007E1DDB"/>
    <w:pPr>
      <w:framePr w:w="2268" w:hSpace="181" w:vSpace="181" w:wrap="around" w:vAnchor="text" w:hAnchor="page" w:x="1135" w:y="285" w:anchorLock="1"/>
    </w:pPr>
    <w:rPr>
      <w:i/>
    </w:rPr>
  </w:style>
  <w:style w:type="paragraph" w:customStyle="1" w:styleId="MiniTOCTitle">
    <w:name w:val="MiniTOCTitle"/>
    <w:basedOn w:val="Heading4"/>
    <w:rsid w:val="007E1DDB"/>
    <w:pPr>
      <w:spacing w:before="240"/>
      <w:outlineLvl w:val="9"/>
    </w:pPr>
    <w:rPr>
      <w:noProof/>
      <w:sz w:val="24"/>
    </w:rPr>
  </w:style>
  <w:style w:type="paragraph" w:customStyle="1" w:styleId="MiniTOCItem">
    <w:name w:val="MiniTOCItem"/>
    <w:basedOn w:val="ListBullet"/>
    <w:rsid w:val="007E1DDB"/>
    <w:pPr>
      <w:numPr>
        <w:numId w:val="0"/>
      </w:numPr>
      <w:tabs>
        <w:tab w:val="right" w:leader="dot" w:pos="6521"/>
      </w:tabs>
      <w:spacing w:before="0" w:after="0"/>
    </w:pPr>
  </w:style>
  <w:style w:type="paragraph" w:customStyle="1" w:styleId="TOFTitle">
    <w:name w:val="TOFTitle"/>
    <w:basedOn w:val="TOCTitle"/>
    <w:rsid w:val="007E1DDB"/>
  </w:style>
  <w:style w:type="paragraph" w:styleId="TableofFigures">
    <w:name w:val="table of figures"/>
    <w:basedOn w:val="Normal"/>
    <w:next w:val="Normal"/>
    <w:semiHidden/>
    <w:rsid w:val="007E1DDB"/>
    <w:pPr>
      <w:tabs>
        <w:tab w:val="right" w:leader="dot" w:pos="9072"/>
      </w:tabs>
      <w:ind w:left="970" w:hanging="403"/>
    </w:pPr>
    <w:rPr>
      <w:rFonts w:ascii="Times New Roman" w:hAnsi="Times New Roman"/>
      <w:b/>
    </w:rPr>
  </w:style>
  <w:style w:type="paragraph" w:styleId="ListNumber">
    <w:name w:val="List Number"/>
    <w:basedOn w:val="List"/>
    <w:rsid w:val="007E1DDB"/>
    <w:pPr>
      <w:numPr>
        <w:numId w:val="12"/>
      </w:numPr>
    </w:pPr>
  </w:style>
  <w:style w:type="character" w:customStyle="1" w:styleId="WingdingSymbols">
    <w:name w:val="Wingding Symbols"/>
    <w:rsid w:val="007E1DDB"/>
    <w:rPr>
      <w:rFonts w:ascii="Wingdings" w:hAnsi="Wingdings"/>
    </w:rPr>
  </w:style>
  <w:style w:type="paragraph" w:customStyle="1" w:styleId="TableHeading">
    <w:name w:val="Table Heading"/>
    <w:basedOn w:val="HeadingBase"/>
    <w:rsid w:val="007E1DDB"/>
    <w:pPr>
      <w:keepLines/>
      <w:pBdr>
        <w:bottom w:val="single" w:sz="6" w:space="1" w:color="918585"/>
      </w:pBdr>
      <w:spacing w:before="240"/>
    </w:pPr>
  </w:style>
  <w:style w:type="character" w:customStyle="1" w:styleId="HotSpot">
    <w:name w:val="HotSpot"/>
    <w:rsid w:val="007E1DDB"/>
    <w:rPr>
      <w:color w:val="0033CC"/>
      <w:u w:val="none"/>
    </w:rPr>
  </w:style>
  <w:style w:type="paragraph" w:customStyle="1" w:styleId="BodyTextRight">
    <w:name w:val="Body Text Right"/>
    <w:basedOn w:val="BodyText"/>
    <w:rsid w:val="007E1DDB"/>
    <w:pPr>
      <w:spacing w:before="0" w:after="0"/>
      <w:jc w:val="right"/>
    </w:pPr>
  </w:style>
  <w:style w:type="paragraph" w:styleId="Index3">
    <w:name w:val="index 3"/>
    <w:basedOn w:val="ListNumber2"/>
    <w:next w:val="Normal"/>
    <w:semiHidden/>
    <w:rsid w:val="007E1DDB"/>
    <w:pPr>
      <w:numPr>
        <w:numId w:val="0"/>
      </w:numPr>
      <w:tabs>
        <w:tab w:val="right" w:leader="dot" w:pos="4176"/>
      </w:tabs>
    </w:pPr>
  </w:style>
  <w:style w:type="paragraph" w:styleId="ListNumber2">
    <w:name w:val="List Number 2"/>
    <w:basedOn w:val="List2"/>
    <w:rsid w:val="007E1DDB"/>
    <w:pPr>
      <w:numPr>
        <w:numId w:val="11"/>
      </w:numPr>
      <w:tabs>
        <w:tab w:val="clear" w:pos="1060"/>
      </w:tabs>
    </w:pPr>
  </w:style>
  <w:style w:type="paragraph" w:customStyle="1" w:styleId="MarginNote">
    <w:name w:val="Margin Note"/>
    <w:basedOn w:val="BodyText"/>
    <w:rsid w:val="007E1D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D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D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1DDB"/>
    <w:rPr>
      <w:sz w:val="32"/>
    </w:rPr>
  </w:style>
  <w:style w:type="paragraph" w:customStyle="1" w:styleId="HeadingProcedure">
    <w:name w:val="Heading Procedure"/>
    <w:basedOn w:val="HeadingBase"/>
    <w:next w:val="Normal"/>
    <w:rsid w:val="007E1DDB"/>
    <w:pPr>
      <w:tabs>
        <w:tab w:val="left" w:pos="0"/>
      </w:tabs>
      <w:spacing w:before="120" w:after="60"/>
    </w:pPr>
    <w:rPr>
      <w:i/>
      <w:color w:val="918585"/>
      <w:sz w:val="22"/>
    </w:rPr>
  </w:style>
  <w:style w:type="paragraph" w:customStyle="1" w:styleId="TableBodyText">
    <w:name w:val="Table Body Text"/>
    <w:basedOn w:val="BodyText"/>
    <w:rsid w:val="007E1DDB"/>
    <w:pPr>
      <w:spacing w:before="60" w:after="60"/>
    </w:pPr>
  </w:style>
  <w:style w:type="paragraph" w:styleId="ListContinue">
    <w:name w:val="List Continue"/>
    <w:basedOn w:val="List"/>
    <w:rsid w:val="007E1DDB"/>
    <w:pPr>
      <w:ind w:firstLine="0"/>
    </w:pPr>
  </w:style>
  <w:style w:type="paragraph" w:customStyle="1" w:styleId="ListNote">
    <w:name w:val="List Note"/>
    <w:basedOn w:val="List"/>
    <w:rsid w:val="007E1DDB"/>
    <w:pPr>
      <w:pBdr>
        <w:top w:val="single" w:sz="6" w:space="2" w:color="918585"/>
        <w:bottom w:val="single" w:sz="6" w:space="2" w:color="918585"/>
      </w:pBdr>
      <w:tabs>
        <w:tab w:val="left" w:pos="1021"/>
      </w:tabs>
      <w:ind w:firstLine="0"/>
    </w:pPr>
  </w:style>
  <w:style w:type="paragraph" w:customStyle="1" w:styleId="Warning">
    <w:name w:val="Warning"/>
    <w:basedOn w:val="BodyText"/>
    <w:rsid w:val="007E1DDB"/>
    <w:pPr>
      <w:shd w:val="clear" w:color="auto" w:fill="D9D9D9"/>
      <w:tabs>
        <w:tab w:val="left" w:pos="992"/>
      </w:tabs>
      <w:ind w:left="119" w:right="119"/>
    </w:pPr>
    <w:rPr>
      <w:sz w:val="20"/>
    </w:rPr>
  </w:style>
  <w:style w:type="paragraph" w:customStyle="1" w:styleId="MarginIcons">
    <w:name w:val="Margin Icons"/>
    <w:basedOn w:val="BodyText"/>
    <w:rsid w:val="007E1D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DDB"/>
    <w:rPr>
      <w:rFonts w:ascii="Courier New" w:hAnsi="Courier New"/>
    </w:rPr>
  </w:style>
  <w:style w:type="paragraph" w:customStyle="1" w:styleId="NoteBullet">
    <w:name w:val="Note Bullet"/>
    <w:basedOn w:val="Note"/>
    <w:rsid w:val="007E1DDB"/>
    <w:pPr>
      <w:tabs>
        <w:tab w:val="clear" w:pos="680"/>
      </w:tabs>
      <w:spacing w:before="60" w:after="60"/>
    </w:pPr>
  </w:style>
  <w:style w:type="paragraph" w:customStyle="1" w:styleId="SubHeading2">
    <w:name w:val="SubHeading2"/>
    <w:basedOn w:val="HeadingBase"/>
    <w:rsid w:val="007E1DDB"/>
    <w:pPr>
      <w:spacing w:before="240" w:after="60"/>
    </w:pPr>
    <w:rPr>
      <w:sz w:val="20"/>
    </w:rPr>
  </w:style>
  <w:style w:type="paragraph" w:customStyle="1" w:styleId="SubHeading1">
    <w:name w:val="SubHeading1"/>
    <w:basedOn w:val="HeadingBase"/>
    <w:rsid w:val="007E1DDB"/>
    <w:pPr>
      <w:spacing w:before="240" w:after="60"/>
    </w:pPr>
    <w:rPr>
      <w:color w:val="918585"/>
      <w:sz w:val="22"/>
    </w:rPr>
  </w:style>
  <w:style w:type="paragraph" w:customStyle="1" w:styleId="SideHeading">
    <w:name w:val="Side Heading"/>
    <w:basedOn w:val="HeadingBase"/>
    <w:rsid w:val="007E1D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DDB"/>
    <w:pPr>
      <w:numPr>
        <w:numId w:val="13"/>
      </w:numPr>
    </w:pPr>
  </w:style>
  <w:style w:type="paragraph" w:styleId="PlainText">
    <w:name w:val="Plain Text"/>
    <w:basedOn w:val="Normal"/>
    <w:link w:val="PlainTextChar"/>
    <w:rsid w:val="007E1DDB"/>
    <w:rPr>
      <w:sz w:val="20"/>
    </w:rPr>
  </w:style>
  <w:style w:type="character" w:customStyle="1" w:styleId="PlainTextChar">
    <w:name w:val="Plain Text Char"/>
    <w:basedOn w:val="DefaultParagraphFont"/>
    <w:link w:val="PlainText"/>
    <w:rsid w:val="007E1D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1DDB"/>
    <w:rPr>
      <w:b/>
      <w:smallCaps/>
    </w:rPr>
  </w:style>
  <w:style w:type="paragraph" w:customStyle="1" w:styleId="TableListNumber">
    <w:name w:val="Table List Number"/>
    <w:basedOn w:val="ListNumber"/>
    <w:rsid w:val="007E1DDB"/>
    <w:pPr>
      <w:numPr>
        <w:numId w:val="0"/>
      </w:numPr>
    </w:pPr>
  </w:style>
  <w:style w:type="paragraph" w:styleId="TOC4">
    <w:name w:val="toc 4"/>
    <w:basedOn w:val="TOCBase"/>
    <w:next w:val="Normal"/>
    <w:semiHidden/>
    <w:rsid w:val="007E1DDB"/>
    <w:pPr>
      <w:tabs>
        <w:tab w:val="right" w:leader="dot" w:pos="9071"/>
      </w:tabs>
      <w:ind w:left="1701"/>
    </w:pPr>
  </w:style>
  <w:style w:type="paragraph" w:customStyle="1" w:styleId="ListAlpha">
    <w:name w:val="List Alpha"/>
    <w:basedOn w:val="List"/>
    <w:rsid w:val="007E1DDB"/>
    <w:pPr>
      <w:numPr>
        <w:numId w:val="10"/>
      </w:numPr>
    </w:pPr>
  </w:style>
  <w:style w:type="paragraph" w:customStyle="1" w:styleId="ListAlpha2">
    <w:name w:val="List Alpha 2"/>
    <w:basedOn w:val="List2"/>
    <w:rsid w:val="007E1DDB"/>
    <w:pPr>
      <w:numPr>
        <w:numId w:val="9"/>
      </w:numPr>
    </w:pPr>
  </w:style>
  <w:style w:type="paragraph" w:styleId="List3">
    <w:name w:val="List 3"/>
    <w:basedOn w:val="BodyText"/>
    <w:rsid w:val="007E1DDB"/>
    <w:pPr>
      <w:tabs>
        <w:tab w:val="left" w:pos="1021"/>
      </w:tabs>
      <w:spacing w:before="60" w:after="60"/>
      <w:ind w:left="1020" w:hanging="340"/>
    </w:pPr>
  </w:style>
  <w:style w:type="paragraph" w:styleId="List4">
    <w:name w:val="List 4"/>
    <w:basedOn w:val="BodyText"/>
    <w:rsid w:val="007E1DDB"/>
    <w:pPr>
      <w:tabs>
        <w:tab w:val="left" w:pos="1361"/>
      </w:tabs>
      <w:spacing w:before="60" w:after="60"/>
      <w:ind w:left="1361" w:hanging="340"/>
    </w:pPr>
  </w:style>
  <w:style w:type="paragraph" w:styleId="List5">
    <w:name w:val="List 5"/>
    <w:basedOn w:val="BodyText"/>
    <w:rsid w:val="007E1DDB"/>
    <w:pPr>
      <w:tabs>
        <w:tab w:val="left" w:pos="1701"/>
      </w:tabs>
      <w:spacing w:before="60" w:after="60"/>
      <w:ind w:left="1701" w:hanging="340"/>
    </w:pPr>
  </w:style>
  <w:style w:type="paragraph" w:styleId="ListBullet4">
    <w:name w:val="List Bullet 4"/>
    <w:basedOn w:val="List4"/>
    <w:rsid w:val="007E1DDB"/>
    <w:pPr>
      <w:numPr>
        <w:numId w:val="4"/>
      </w:numPr>
    </w:pPr>
  </w:style>
  <w:style w:type="paragraph" w:styleId="ListBullet5">
    <w:name w:val="List Bullet 5"/>
    <w:basedOn w:val="List5"/>
    <w:rsid w:val="007E1DDB"/>
    <w:pPr>
      <w:numPr>
        <w:numId w:val="5"/>
      </w:numPr>
    </w:pPr>
  </w:style>
  <w:style w:type="paragraph" w:styleId="ListContinue2">
    <w:name w:val="List Continue 2"/>
    <w:basedOn w:val="List2"/>
    <w:rsid w:val="007E1DDB"/>
    <w:pPr>
      <w:ind w:firstLine="0"/>
    </w:pPr>
  </w:style>
  <w:style w:type="paragraph" w:styleId="ListContinue3">
    <w:name w:val="List Continue 3"/>
    <w:basedOn w:val="List3"/>
    <w:rsid w:val="007E1DDB"/>
    <w:pPr>
      <w:ind w:left="1021" w:firstLine="0"/>
    </w:pPr>
  </w:style>
  <w:style w:type="paragraph" w:styleId="ListContinue4">
    <w:name w:val="List Continue 4"/>
    <w:basedOn w:val="List4"/>
    <w:rsid w:val="007E1DDB"/>
    <w:pPr>
      <w:ind w:firstLine="0"/>
    </w:pPr>
  </w:style>
  <w:style w:type="paragraph" w:styleId="ListContinue5">
    <w:name w:val="List Continue 5"/>
    <w:basedOn w:val="List5"/>
    <w:rsid w:val="007E1DDB"/>
    <w:pPr>
      <w:ind w:firstLine="0"/>
    </w:pPr>
  </w:style>
  <w:style w:type="paragraph" w:styleId="ListNumber3">
    <w:name w:val="List Number 3"/>
    <w:basedOn w:val="List3"/>
    <w:rsid w:val="007E1DDB"/>
    <w:pPr>
      <w:numPr>
        <w:numId w:val="6"/>
      </w:numPr>
    </w:pPr>
  </w:style>
  <w:style w:type="paragraph" w:styleId="ListNumber4">
    <w:name w:val="List Number 4"/>
    <w:basedOn w:val="List4"/>
    <w:rsid w:val="007E1DDB"/>
    <w:pPr>
      <w:numPr>
        <w:numId w:val="7"/>
      </w:numPr>
    </w:pPr>
  </w:style>
  <w:style w:type="paragraph" w:styleId="ListNumber5">
    <w:name w:val="List Number 5"/>
    <w:basedOn w:val="List5"/>
    <w:rsid w:val="007E1DDB"/>
    <w:pPr>
      <w:numPr>
        <w:numId w:val="8"/>
      </w:numPr>
    </w:pPr>
  </w:style>
  <w:style w:type="paragraph" w:styleId="BlockText">
    <w:name w:val="Block Text"/>
    <w:basedOn w:val="Normal"/>
    <w:rsid w:val="007E1DDB"/>
    <w:pPr>
      <w:spacing w:after="120"/>
      <w:ind w:left="1440" w:right="1440"/>
    </w:pPr>
  </w:style>
  <w:style w:type="character" w:customStyle="1" w:styleId="Subscript">
    <w:name w:val="Subscript"/>
    <w:basedOn w:val="DefaultParagraphFont"/>
    <w:rsid w:val="007E1DDB"/>
    <w:rPr>
      <w:sz w:val="16"/>
      <w:vertAlign w:val="subscript"/>
    </w:rPr>
  </w:style>
  <w:style w:type="character" w:customStyle="1" w:styleId="Superscript">
    <w:name w:val="Superscript"/>
    <w:basedOn w:val="DefaultParagraphFont"/>
    <w:rsid w:val="007E1DDB"/>
    <w:rPr>
      <w:sz w:val="16"/>
      <w:vertAlign w:val="superscript"/>
    </w:rPr>
  </w:style>
  <w:style w:type="character" w:customStyle="1" w:styleId="Symbols">
    <w:name w:val="Symbols"/>
    <w:basedOn w:val="DefaultParagraphFont"/>
    <w:rsid w:val="007E1DDB"/>
    <w:rPr>
      <w:rFonts w:ascii="Symbol" w:hAnsi="Symbol"/>
    </w:rPr>
  </w:style>
  <w:style w:type="character" w:customStyle="1" w:styleId="MenuOptions">
    <w:name w:val="Menu Options"/>
    <w:basedOn w:val="DefaultParagraphFont"/>
    <w:rsid w:val="007E1DDB"/>
    <w:rPr>
      <w:rFonts w:ascii="Arial Narrow" w:hAnsi="Arial Narrow"/>
      <w:smallCaps/>
    </w:rPr>
  </w:style>
  <w:style w:type="character" w:customStyle="1" w:styleId="Buttons">
    <w:name w:val="Buttons"/>
    <w:basedOn w:val="DefaultParagraphFont"/>
    <w:rsid w:val="007E1DDB"/>
    <w:rPr>
      <w:b/>
    </w:rPr>
  </w:style>
  <w:style w:type="character" w:customStyle="1" w:styleId="Underlined">
    <w:name w:val="Underlined"/>
    <w:basedOn w:val="DefaultParagraphFont"/>
    <w:rsid w:val="007E1DDB"/>
    <w:rPr>
      <w:u w:val="single"/>
    </w:rPr>
  </w:style>
  <w:style w:type="paragraph" w:customStyle="1" w:styleId="TableBodyTextRight">
    <w:name w:val="Table Body Text Right"/>
    <w:basedOn w:val="TableBodyText"/>
    <w:rsid w:val="007E1DDB"/>
    <w:pPr>
      <w:widowControl w:val="0"/>
      <w:autoSpaceDE w:val="0"/>
      <w:autoSpaceDN w:val="0"/>
      <w:adjustRightInd w:val="0"/>
      <w:jc w:val="right"/>
    </w:pPr>
    <w:rPr>
      <w:rFonts w:cs="Arial"/>
      <w:szCs w:val="18"/>
    </w:rPr>
  </w:style>
  <w:style w:type="paragraph" w:customStyle="1" w:styleId="CopyrightText">
    <w:name w:val="Copyright Text"/>
    <w:basedOn w:val="BodyText"/>
    <w:rsid w:val="007E1DDB"/>
    <w:rPr>
      <w:sz w:val="18"/>
    </w:rPr>
  </w:style>
  <w:style w:type="paragraph" w:customStyle="1" w:styleId="BodySmallRight">
    <w:name w:val="Body Small Right"/>
    <w:basedOn w:val="BodyTextRight"/>
    <w:rsid w:val="007E1DDB"/>
    <w:rPr>
      <w:sz w:val="18"/>
      <w:szCs w:val="18"/>
    </w:rPr>
  </w:style>
  <w:style w:type="paragraph" w:customStyle="1" w:styleId="MarginEdition">
    <w:name w:val="Margin Edition"/>
    <w:basedOn w:val="MarginNote"/>
    <w:rsid w:val="007E1DDB"/>
    <w:pPr>
      <w:spacing w:before="0" w:after="0"/>
    </w:pPr>
    <w:rPr>
      <w:rFonts w:ascii="Times New Roman" w:hAnsi="Times New Roman"/>
      <w:color w:val="999999"/>
    </w:rPr>
  </w:style>
  <w:style w:type="paragraph" w:customStyle="1" w:styleId="Spacer">
    <w:name w:val="Spacer"/>
    <w:basedOn w:val="Normal"/>
    <w:rsid w:val="007E1DDB"/>
    <w:rPr>
      <w:sz w:val="2"/>
      <w:szCs w:val="2"/>
    </w:rPr>
  </w:style>
  <w:style w:type="character" w:customStyle="1" w:styleId="Small">
    <w:name w:val="Small"/>
    <w:basedOn w:val="DefaultParagraphFont"/>
    <w:rsid w:val="007E1DDB"/>
    <w:rPr>
      <w:sz w:val="16"/>
    </w:rPr>
  </w:style>
  <w:style w:type="paragraph" w:customStyle="1" w:styleId="WideTable">
    <w:name w:val="Wide Table"/>
    <w:basedOn w:val="Normal"/>
    <w:rsid w:val="007E1DDB"/>
    <w:pPr>
      <w:ind w:left="-1418"/>
    </w:pPr>
    <w:rPr>
      <w:sz w:val="2"/>
      <w:szCs w:val="2"/>
    </w:rPr>
  </w:style>
  <w:style w:type="character" w:styleId="PageNumber">
    <w:name w:val="page number"/>
    <w:basedOn w:val="DefaultParagraphFont"/>
    <w:rsid w:val="007E1DDB"/>
  </w:style>
  <w:style w:type="paragraph" w:styleId="Quote">
    <w:name w:val="Quote"/>
    <w:basedOn w:val="Heading1"/>
    <w:link w:val="QuoteChar"/>
    <w:qFormat/>
    <w:rsid w:val="007E1DDB"/>
    <w:rPr>
      <w:b w:val="0"/>
      <w:sz w:val="72"/>
      <w:szCs w:val="72"/>
      <w:lang w:val="en-NZ"/>
    </w:rPr>
  </w:style>
  <w:style w:type="character" w:customStyle="1" w:styleId="QuoteChar">
    <w:name w:val="Quote Char"/>
    <w:basedOn w:val="DefaultParagraphFont"/>
    <w:link w:val="Quote"/>
    <w:rsid w:val="007E1D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DDB"/>
    <w:pPr>
      <w:pageBreakBefore/>
    </w:pPr>
  </w:style>
  <w:style w:type="paragraph" w:customStyle="1" w:styleId="Border">
    <w:name w:val="Border"/>
    <w:basedOn w:val="Normal"/>
    <w:qFormat/>
    <w:rsid w:val="007E1D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DDB"/>
    <w:rPr>
      <w:b/>
      <w:bCs/>
      <w:i/>
      <w:iCs/>
      <w:color w:val="auto"/>
    </w:rPr>
  </w:style>
  <w:style w:type="paragraph" w:styleId="IntenseQuote">
    <w:name w:val="Intense Quote"/>
    <w:basedOn w:val="Normal"/>
    <w:next w:val="Normal"/>
    <w:link w:val="IntenseQuoteChar"/>
    <w:uiPriority w:val="30"/>
    <w:qFormat/>
    <w:rsid w:val="007E1D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D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1DDB"/>
    <w:rPr>
      <w:smallCaps/>
      <w:color w:val="auto"/>
      <w:u w:val="single"/>
    </w:rPr>
  </w:style>
  <w:style w:type="character" w:styleId="IntenseReference">
    <w:name w:val="Intense Reference"/>
    <w:basedOn w:val="DefaultParagraphFont"/>
    <w:uiPriority w:val="32"/>
    <w:qFormat/>
    <w:rsid w:val="007E1DDB"/>
    <w:rPr>
      <w:b/>
      <w:bCs/>
      <w:smallCaps/>
      <w:color w:val="auto"/>
      <w:spacing w:val="5"/>
      <w:u w:val="single"/>
    </w:rPr>
  </w:style>
  <w:style w:type="paragraph" w:customStyle="1" w:styleId="2ColumnHeading">
    <w:name w:val="2Column Heading"/>
    <w:basedOn w:val="BodyText"/>
    <w:qFormat/>
    <w:rsid w:val="007E1DDB"/>
    <w:pPr>
      <w:spacing w:after="60"/>
      <w:ind w:left="-2268"/>
    </w:pPr>
    <w:rPr>
      <w:b/>
    </w:rPr>
  </w:style>
  <w:style w:type="paragraph" w:customStyle="1" w:styleId="Heading1TOC">
    <w:name w:val="Heading1 TOC"/>
    <w:basedOn w:val="Normal"/>
    <w:qFormat/>
    <w:rsid w:val="007E1DDB"/>
    <w:pPr>
      <w:spacing w:before="240" w:after="120"/>
    </w:pPr>
    <w:rPr>
      <w:rFonts w:ascii="Times New Roman" w:hAnsi="Times New Roman"/>
      <w:b/>
      <w:sz w:val="32"/>
    </w:rPr>
  </w:style>
  <w:style w:type="paragraph" w:customStyle="1" w:styleId="Heading2TOC">
    <w:name w:val="Heading2 TOC"/>
    <w:basedOn w:val="Normal"/>
    <w:qFormat/>
    <w:rsid w:val="007E1DDB"/>
    <w:pPr>
      <w:spacing w:before="240" w:after="60"/>
    </w:pPr>
    <w:rPr>
      <w:rFonts w:ascii="Times New Roman" w:hAnsi="Times New Roman"/>
      <w:b/>
      <w:sz w:val="28"/>
    </w:rPr>
  </w:style>
  <w:style w:type="character" w:customStyle="1" w:styleId="Underline">
    <w:name w:val="Underline"/>
    <w:basedOn w:val="DefaultParagraphFont"/>
    <w:qFormat/>
    <w:rsid w:val="007E1DDB"/>
    <w:rPr>
      <w:u w:val="single"/>
    </w:rPr>
  </w:style>
  <w:style w:type="paragraph" w:styleId="BalloonText">
    <w:name w:val="Balloon Text"/>
    <w:basedOn w:val="Normal"/>
    <w:link w:val="BalloonTextChar"/>
    <w:rsid w:val="007E1DDB"/>
    <w:rPr>
      <w:rFonts w:ascii="Tahoma" w:hAnsi="Tahoma" w:cs="Tahoma"/>
      <w:sz w:val="16"/>
      <w:szCs w:val="16"/>
    </w:rPr>
  </w:style>
  <w:style w:type="character" w:customStyle="1" w:styleId="BalloonTextChar">
    <w:name w:val="Balloon Text Char"/>
    <w:basedOn w:val="DefaultParagraphFont"/>
    <w:link w:val="BalloonText"/>
    <w:rsid w:val="007E1D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1D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1D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1277</Words>
  <Characters>8089</Characters>
  <Application>Microsoft Office Word</Application>
  <DocSecurity>0</DocSecurity>
  <Lines>324</Lines>
  <Paragraphs>182</Paragraphs>
  <ScaleCrop>false</ScaleCrop>
  <Company>Author-it Software Corporation Ltd.</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ICTCBL2131A Install an above ground equipment enclosure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2012-05-26T07:25:00Z</dcterms:created>
  <dcterms:modified xsi:type="dcterms:W3CDTF">2012-05-26T07:25:00Z</dcterms:modified>
</cp:coreProperties>
</file>