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E88" w:rsidP="00546E88">
      <w:pPr>
        <w:pStyle w:val="Title"/>
      </w:pPr>
      <w:r>
        <w:fldChar w:fldCharType="begin"/>
      </w:r>
      <w:r>
        <w:instrText xml:space="preserve"> TITLE   \* MERGEFORMAT </w:instrText>
      </w:r>
      <w:r>
        <w:fldChar w:fldCharType="separate"/>
      </w:r>
      <w:r>
        <w:t>ICTCBL2066B Joint and terminate coaxial cable</w:t>
      </w:r>
      <w:r>
        <w:fldChar w:fldCharType="end"/>
      </w:r>
    </w:p>
    <w:p w:rsidR="00546E88" w:rsidP="00546E88">
      <w:pPr>
        <w:pStyle w:val="Version"/>
        <w:sectPr w:rsidSect="00A963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3CC" w:rsidP="00A963CC">
      <w:pPr>
        <w:pStyle w:val="SuperHeading"/>
      </w:pPr>
      <w:r w:rsidRPr="00A963CC">
        <w:t>ICTCBL2066B Joint and terminate coaxial cable</w:t>
      </w:r>
    </w:p>
    <w:p w:rsidR="00000000" w:rsidRPr="00A963CC" w:rsidP="00A963CC">
      <w:pPr>
        <w:pStyle w:val="Heading1"/>
      </w:pPr>
      <w:bookmarkStart w:id="1" w:name="O_639361"/>
      <w:bookmarkEnd w:id="1"/>
      <w:r w:rsidRPr="00A963CC">
        <w:t>Modification History</w:t>
      </w:r>
    </w:p>
    <w:tbl>
      <w:tblPr>
        <w:tblW w:w="0" w:type="auto"/>
        <w:tblLayout w:type="fixed"/>
        <w:tblCellMar>
          <w:left w:w="62" w:type="dxa"/>
          <w:right w:w="62" w:type="dxa"/>
        </w:tblCellMar>
        <w:tblLook w:val="0000"/>
      </w:tblPr>
      <w:tblGrid>
        <w:gridCol w:w="2430"/>
        <w:gridCol w:w="6315"/>
      </w:tblGrid>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SpecialBold"/>
              </w:rPr>
              <w:t>Comments</w:t>
            </w:r>
          </w:p>
        </w:tc>
      </w:tr>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 xml:space="preserve">This version first released with </w:t>
            </w:r>
            <w:r w:rsidRPr="00A963CC">
              <w:rPr>
                <w:rStyle w:val="Emphasis"/>
              </w:rPr>
              <w:t>ICT10 Integrated Telecommunications Training Package Version 3.0</w:t>
            </w:r>
            <w:r w:rsidRPr="00A963CC">
              <w:t>.</w:t>
            </w:r>
          </w:p>
          <w:p w:rsidR="00000000" w:rsidRPr="00A963CC" w:rsidP="00A963CC">
            <w:pPr>
              <w:pStyle w:val="BodyText"/>
            </w:pPr>
          </w:p>
          <w:p w:rsidR="00000000" w:rsidRPr="00A963CC" w:rsidP="00A963CC">
            <w:pPr>
              <w:pStyle w:val="BodyText"/>
            </w:pPr>
            <w:r w:rsidRPr="00A963CC">
              <w:t>Minor change to element 5.</w:t>
            </w:r>
          </w:p>
          <w:p w:rsidR="00000000" w:rsidRPr="00A963CC" w:rsidP="00A963CC">
            <w:pPr>
              <w:pStyle w:val="BodyText"/>
            </w:pPr>
          </w:p>
          <w:p w:rsidR="00000000" w:rsidP="00A963CC">
            <w:pPr>
              <w:pStyle w:val="BodyText"/>
              <w:rPr>
                <w:lang w:val="en-NZ"/>
              </w:rPr>
            </w:pPr>
            <w:r w:rsidRPr="00A963CC">
              <w:t>Outcomes deemed equivalent.</w:t>
            </w:r>
          </w:p>
        </w:tc>
      </w:tr>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t>Release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This version first released with</w:t>
            </w:r>
            <w:r w:rsidRPr="00A963CC">
              <w:t xml:space="preserve"> </w:t>
            </w:r>
            <w:r w:rsidRPr="00A963CC">
              <w:rPr>
                <w:rStyle w:val="Emphasis"/>
              </w:rPr>
              <w:t>ICT10 Integrated Telecommunications Training Package Version 1.0</w:t>
            </w:r>
            <w:r w:rsidRPr="00A963CC">
              <w:t>.</w:t>
            </w:r>
          </w:p>
        </w:tc>
      </w:tr>
    </w:tbl>
    <w:p w:rsidR="00000000" w:rsidRPr="00A963CC" w:rsidP="00A963CC">
      <w:pPr>
        <w:pStyle w:val="BodyText"/>
      </w:pPr>
    </w:p>
    <w:p w:rsidR="00000000" w:rsidRPr="00A963CC" w:rsidP="00A963CC">
      <w:pPr>
        <w:pStyle w:val="AllowPageBreak"/>
      </w:pPr>
    </w:p>
    <w:p w:rsidR="00000000" w:rsidRPr="00A963CC" w:rsidP="00A963CC">
      <w:pPr>
        <w:pStyle w:val="Heading1"/>
      </w:pPr>
      <w:bookmarkStart w:id="2" w:name="O_639362"/>
      <w:bookmarkEnd w:id="2"/>
      <w:r w:rsidRPr="00A963CC">
        <w:t>Unit Descriptor</w:t>
      </w:r>
    </w:p>
    <w:p w:rsidR="00000000" w:rsidRPr="00A963CC" w:rsidP="00A963CC">
      <w:pPr>
        <w:pStyle w:val="BodyText"/>
      </w:pPr>
      <w:r w:rsidRPr="00A963CC">
        <w:t>This unit describes the performance outcomes, skills and knowledge required to install, joint and terminate coaxial cable on customer premises.</w:t>
      </w:r>
    </w:p>
    <w:p w:rsidR="00000000" w:rsidRPr="00A963CC" w:rsidP="00A963CC">
      <w:pPr>
        <w:pStyle w:val="BodyText"/>
      </w:pPr>
    </w:p>
    <w:p w:rsidR="00000000" w:rsidRPr="00A963CC" w:rsidP="00A963CC">
      <w:pPr>
        <w:pStyle w:val="BodyText"/>
      </w:pPr>
      <w:r w:rsidRPr="00A963CC">
        <w:t>Coaxial c</w:t>
      </w:r>
      <w:r w:rsidRPr="00A963CC">
        <w:t>ables are used in all telecommunications applications, including convergence technologies of telephony, data, video and multimedia as part of Next Generation Networks (NGN).</w:t>
      </w:r>
    </w:p>
    <w:p w:rsidR="00000000" w:rsidRPr="00A963CC" w:rsidP="00A963CC">
      <w:pPr>
        <w:pStyle w:val="AllowPageBreak"/>
      </w:pPr>
    </w:p>
    <w:p w:rsidR="00000000" w:rsidRPr="00A963CC" w:rsidP="00A963CC">
      <w:pPr>
        <w:pStyle w:val="Heading1"/>
      </w:pPr>
      <w:bookmarkStart w:id="3" w:name="O_639363"/>
      <w:bookmarkEnd w:id="3"/>
      <w:r w:rsidRPr="00A963CC">
        <w:t>Application of the Unit</w:t>
      </w:r>
    </w:p>
    <w:p w:rsidR="00000000" w:rsidRPr="00A963CC" w:rsidP="00A963CC">
      <w:pPr>
        <w:pStyle w:val="BodyText"/>
      </w:pPr>
      <w:r w:rsidRPr="00A963CC">
        <w:t>Technical staff whose work involves jointing and terminating coaxial cable apply the skills and knowledge in this unit.</w:t>
      </w:r>
    </w:p>
    <w:p w:rsidR="00000000" w:rsidRPr="00A963CC" w:rsidP="00A963CC">
      <w:pPr>
        <w:pStyle w:val="BodyText"/>
      </w:pPr>
    </w:p>
    <w:p w:rsidR="00000000" w:rsidRPr="00A963CC" w:rsidP="00A963CC">
      <w:pPr>
        <w:pStyle w:val="BodyText"/>
      </w:pPr>
      <w:r w:rsidRPr="00A963CC">
        <w:t>They install and terminate coaxial cable in the customer access network (CAN) environment for emerging technologies using high speed br</w:t>
      </w:r>
      <w:r w:rsidRPr="00A963CC">
        <w:t>oadband and the delivery of cable television services.</w:t>
      </w:r>
    </w:p>
    <w:p w:rsidR="00000000" w:rsidRPr="00A963CC" w:rsidP="00A963CC">
      <w:pPr>
        <w:pStyle w:val="BodyText"/>
      </w:pPr>
    </w:p>
    <w:p w:rsidR="00000000" w:rsidRPr="00A963CC" w:rsidP="00A963CC">
      <w:pPr>
        <w:pStyle w:val="BodyText"/>
      </w:pPr>
      <w:r w:rsidRPr="00A963CC">
        <w:t>This unit applies to domestic, commercial or industrial installations.</w:t>
      </w:r>
    </w:p>
    <w:p w:rsidR="00000000" w:rsidRPr="00A963CC" w:rsidP="00A963CC">
      <w:pPr>
        <w:pStyle w:val="AllowPageBreak"/>
      </w:pPr>
    </w:p>
    <w:p w:rsidR="00000000" w:rsidRPr="00A963CC" w:rsidP="00A963CC">
      <w:pPr>
        <w:pStyle w:val="Heading1"/>
      </w:pPr>
      <w:bookmarkStart w:id="4" w:name="O_639364"/>
      <w:bookmarkEnd w:id="4"/>
      <w:r w:rsidRPr="00A963CC">
        <w:t>Licensing/Regulatory Information</w:t>
      </w:r>
    </w:p>
    <w:p w:rsidR="00000000" w:rsidRPr="00A963CC" w:rsidP="00A963CC">
      <w:pPr>
        <w:pStyle w:val="BodyText"/>
      </w:pPr>
      <w:r w:rsidRPr="00A963CC">
        <w:t>No licensing, legislative, regulatory or certification requirements apply to th</w:t>
      </w:r>
      <w:r w:rsidRPr="00A963CC">
        <w:t>is unit at the time of endorsement but users should confirm requirements with the relevant federal, state or territory authority.</w:t>
      </w:r>
    </w:p>
    <w:p w:rsidR="00000000" w:rsidRPr="00A963CC" w:rsidP="00A963CC">
      <w:pPr>
        <w:pStyle w:val="AllowPageBreak"/>
      </w:pPr>
    </w:p>
    <w:p w:rsidR="00000000" w:rsidRPr="00A963CC" w:rsidP="00A963CC">
      <w:pPr>
        <w:pStyle w:val="Heading1"/>
      </w:pPr>
      <w:bookmarkStart w:id="5" w:name="O_639365"/>
      <w:bookmarkEnd w:id="5"/>
      <w:r w:rsidRPr="00A963CC">
        <w:t>Pre-Requisites</w:t>
      </w:r>
    </w:p>
    <w:p w:rsidR="00000000" w:rsidRPr="00A963CC" w:rsidP="00A963CC">
      <w:pPr>
        <w:pStyle w:val="BodyText"/>
      </w:pPr>
      <w:r w:rsidRPr="00A963CC">
        <w:t>Nil</w:t>
      </w:r>
    </w:p>
    <w:p w:rsidR="00000000" w:rsidRPr="00A963CC" w:rsidP="00A963CC">
      <w:pPr>
        <w:pStyle w:val="AllowPageBreak"/>
      </w:pPr>
    </w:p>
    <w:p w:rsidR="00000000" w:rsidRPr="00A963CC" w:rsidP="00A963CC">
      <w:pPr>
        <w:pStyle w:val="Heading1"/>
      </w:pPr>
      <w:bookmarkStart w:id="6" w:name="O_639366"/>
      <w:bookmarkEnd w:id="6"/>
      <w:r w:rsidRPr="00A963CC">
        <w:t>Employability Skills Information</w:t>
      </w:r>
    </w:p>
    <w:p w:rsidR="00000000" w:rsidRPr="00A963CC" w:rsidP="00A963CC">
      <w:pPr>
        <w:pStyle w:val="BodyText"/>
      </w:pPr>
      <w:r w:rsidRPr="00A963CC">
        <w:t>This unit contains employability skills.</w:t>
      </w:r>
    </w:p>
    <w:p w:rsidR="00000000" w:rsidRPr="00A963CC" w:rsidP="00A963CC">
      <w:pPr>
        <w:pStyle w:val="AllowPageBreak"/>
      </w:pPr>
    </w:p>
    <w:p w:rsidR="00000000" w:rsidRPr="00A963CC" w:rsidP="00A963CC">
      <w:pPr>
        <w:pStyle w:val="Heading1"/>
      </w:pPr>
      <w:bookmarkStart w:id="7" w:name="O_639367"/>
      <w:bookmarkEnd w:id="7"/>
      <w:r w:rsidRPr="00A963CC">
        <w:t>Elements and Performance Criteria Pre-Content</w:t>
      </w:r>
    </w:p>
    <w:tbl>
      <w:tblPr>
        <w:tblW w:w="0" w:type="auto"/>
        <w:tblLayout w:type="fixed"/>
        <w:tblCellMar>
          <w:left w:w="62" w:type="dxa"/>
          <w:right w:w="62" w:type="dxa"/>
        </w:tblCellMar>
        <w:tblLook w:val="0000"/>
      </w:tblPr>
      <w:tblGrid>
        <w:gridCol w:w="2430"/>
        <w:gridCol w:w="6315"/>
      </w:tblGrid>
      <w:tr w:rsidTr="00A963CC">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963CC" w:rsidP="00A963CC">
            <w:pPr>
              <w:pStyle w:val="BodyText"/>
            </w:pPr>
            <w:r w:rsidRPr="00A963CC">
              <w:rPr>
                <w:rStyle w:val="SpecialBold"/>
              </w:rPr>
              <w:t>Elements</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SpecialBold"/>
              </w:rPr>
              <w:t>Performance Criteria</w:t>
            </w:r>
          </w:p>
        </w:tc>
      </w:tr>
      <w:tr w:rsidTr="00A963CC">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963CC">
              <w:rPr>
                <w:rStyle w:val="Emphasis"/>
              </w:rPr>
              <w:t>nce is to be consistent with the evidence guide.</w:t>
            </w:r>
          </w:p>
        </w:tc>
      </w:tr>
    </w:tbl>
    <w:p w:rsidR="00000000" w:rsidRPr="00A963CC" w:rsidP="00A963CC">
      <w:pPr>
        <w:pStyle w:val="BodyText"/>
      </w:pPr>
    </w:p>
    <w:p w:rsidR="00000000" w:rsidRPr="00A963CC" w:rsidP="00A963CC">
      <w:pPr>
        <w:pStyle w:val="AllowPageBreak"/>
      </w:pPr>
    </w:p>
    <w:p w:rsidR="00000000" w:rsidRPr="00A963CC" w:rsidP="00A963CC">
      <w:pPr>
        <w:pStyle w:val="Heading1"/>
      </w:pPr>
      <w:bookmarkStart w:id="8" w:name="O_639368"/>
      <w:bookmarkEnd w:id="8"/>
      <w:r w:rsidRPr="00A963CC">
        <w:t>Elements and Performance Criteria</w:t>
      </w:r>
    </w:p>
    <w:tbl>
      <w:tblPr>
        <w:tblW w:w="0" w:type="auto"/>
        <w:tblLayout w:type="fixed"/>
        <w:tblCellMar>
          <w:left w:w="62" w:type="dxa"/>
          <w:right w:w="62" w:type="dxa"/>
        </w:tblCellMar>
        <w:tblLook w:val="0000"/>
      </w:tblPr>
      <w:tblGrid>
        <w:gridCol w:w="2430"/>
        <w:gridCol w:w="6315"/>
      </w:tblGrid>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t>1. Prepare to install and joint coaxial cable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 xml:space="preserve">1.1 Confirm approval for site access with customer prior to site entry and comply with </w:t>
            </w:r>
            <w:r w:rsidRPr="00A963CC">
              <w:rPr>
                <w:rStyle w:val="BoldandItalics"/>
              </w:rPr>
              <w:t>site security arrange</w:t>
            </w:r>
            <w:r w:rsidRPr="00A963CC">
              <w:rPr>
                <w:rStyle w:val="BoldandItalics"/>
              </w:rPr>
              <w:t xml:space="preserve">ments </w:t>
            </w:r>
            <w:r w:rsidRPr="00A963CC">
              <w:t xml:space="preserve">and requirements of </w:t>
            </w:r>
            <w:r w:rsidRPr="00A963CC">
              <w:rPr>
                <w:rStyle w:val="BoldandItalics"/>
              </w:rPr>
              <w:t>relevant legislation, codes, regulations and standards</w:t>
            </w:r>
          </w:p>
          <w:p w:rsidR="00000000" w:rsidRPr="00A963CC" w:rsidP="00A963CC">
            <w:pPr>
              <w:pStyle w:val="BodyText"/>
            </w:pPr>
            <w:r w:rsidRPr="00A963CC">
              <w:t xml:space="preserve">1.2 Read and interpret </w:t>
            </w:r>
            <w:r w:rsidRPr="00A963CC">
              <w:rPr>
                <w:rStyle w:val="BoldandItalics"/>
              </w:rPr>
              <w:t xml:space="preserve">customer’s installation specifications </w:t>
            </w:r>
            <w:r w:rsidRPr="00A963CC">
              <w:t>and physical conditions at site to determine layout of job</w:t>
            </w:r>
          </w:p>
          <w:p w:rsidR="00000000" w:rsidRPr="00A963CC" w:rsidP="00A963CC">
            <w:pPr>
              <w:pStyle w:val="BodyText"/>
            </w:pPr>
            <w:r w:rsidRPr="00A963CC">
              <w:t xml:space="preserve">1.3 Locate and identify adjoining </w:t>
            </w:r>
            <w:r w:rsidRPr="00A963CC">
              <w:rPr>
                <w:rStyle w:val="BoldandItalics"/>
              </w:rPr>
              <w:t xml:space="preserve">other services </w:t>
            </w:r>
            <w:r w:rsidRPr="00A963CC">
              <w:t xml:space="preserve">according to enterprise guidelines and occupational health and safety </w:t>
            </w:r>
            <w:r w:rsidRPr="00A963CC">
              <w:rPr>
                <w:rStyle w:val="BoldandItalics"/>
              </w:rPr>
              <w:t>(OHS)</w:t>
            </w:r>
            <w:r w:rsidRPr="00A963CC">
              <w:t xml:space="preserve"> practices</w:t>
            </w:r>
          </w:p>
          <w:p w:rsidR="00000000" w:rsidRPr="00A963CC" w:rsidP="00A963CC">
            <w:pPr>
              <w:pStyle w:val="BodyText"/>
            </w:pPr>
            <w:r w:rsidRPr="00A963CC">
              <w:t>1.4 Test for presence of dangerous gases in underground enclosures according to enterprise guidelines</w:t>
            </w:r>
          </w:p>
          <w:p w:rsidR="00000000" w:rsidP="00A963CC">
            <w:pPr>
              <w:pStyle w:val="BodyText"/>
              <w:rPr>
                <w:lang w:val="en-NZ"/>
              </w:rPr>
            </w:pPr>
            <w:r w:rsidRPr="00A963CC">
              <w:t>1.5 Undertake approved alterations to the design according to enterp</w:t>
            </w:r>
            <w:r w:rsidRPr="00A963CC">
              <w:t>rise guidelines</w:t>
            </w:r>
          </w:p>
        </w:tc>
      </w:tr>
      <w:tr w:rsidTr="00A963CC">
        <w:tblPrEx>
          <w:tblW w:w="0" w:type="auto"/>
          <w:tblLayout w:type="fixed"/>
          <w:tblCellMar>
            <w:left w:w="62" w:type="dxa"/>
            <w:right w:w="62" w:type="dxa"/>
          </w:tblCellMar>
          <w:tblLook w:val="0000"/>
        </w:tblPrEx>
        <w:trPr>
          <w:trHeight w:val="3815"/>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t>2. Verify placement and secure coaxial cable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2.1 Use safety equipment to protect self and public according to enterprise guidelines and OHS requirements</w:t>
            </w:r>
          </w:p>
          <w:p w:rsidR="00000000" w:rsidRPr="00A963CC" w:rsidP="00A963CC">
            <w:pPr>
              <w:pStyle w:val="BodyText"/>
            </w:pPr>
            <w:r w:rsidRPr="00A963CC">
              <w:t xml:space="preserve">2.2 Maintain </w:t>
            </w:r>
            <w:r w:rsidRPr="00A963CC">
              <w:rPr>
                <w:rStyle w:val="BoldandItalics"/>
              </w:rPr>
              <w:t xml:space="preserve">coaxial cable </w:t>
            </w:r>
            <w:r w:rsidRPr="00A963CC">
              <w:t>segregation to industry standard requirements</w:t>
            </w:r>
          </w:p>
          <w:p w:rsidR="00000000" w:rsidRPr="00A963CC" w:rsidP="00A963CC">
            <w:pPr>
              <w:pStyle w:val="BodyText"/>
            </w:pPr>
            <w:r w:rsidRPr="00A963CC">
              <w:t>2.3 Protect integrity of the coaxial shield cable to ensure no loss of performance</w:t>
            </w:r>
          </w:p>
          <w:p w:rsidR="00000000" w:rsidRPr="00A963CC" w:rsidP="00A963CC">
            <w:pPr>
              <w:pStyle w:val="BodyText"/>
            </w:pPr>
            <w:r w:rsidRPr="00A963CC">
              <w:t xml:space="preserve">2.4 Place cable in position with sufficient slack to allow termination and to maintain minimum bend radius according to </w:t>
            </w:r>
            <w:r w:rsidRPr="00A963CC">
              <w:rPr>
                <w:rStyle w:val="BoldandItalics"/>
              </w:rPr>
              <w:t>manufacturer specifications</w:t>
            </w:r>
          </w:p>
          <w:p w:rsidR="00000000" w:rsidRPr="00A963CC" w:rsidP="00A963CC">
            <w:pPr>
              <w:pStyle w:val="BodyText"/>
            </w:pPr>
            <w:r w:rsidRPr="00A963CC">
              <w:t>2.5 Follow installation d</w:t>
            </w:r>
            <w:r w:rsidRPr="00A963CC">
              <w:t>esigns to install cable safely without damage to cable or customer’s premises</w:t>
            </w:r>
          </w:p>
          <w:p w:rsidR="00000000" w:rsidRPr="00A963CC" w:rsidP="00A963CC">
            <w:pPr>
              <w:pStyle w:val="BodyText"/>
            </w:pPr>
            <w:r w:rsidRPr="00A963CC">
              <w:t xml:space="preserve">2.6 Maintain radio frequency (RF) signal strength by installing cable lengths within manufacturer and design specifications </w:t>
            </w:r>
          </w:p>
          <w:p w:rsidR="00000000" w:rsidP="00A963CC">
            <w:pPr>
              <w:pStyle w:val="BodyText"/>
              <w:rPr>
                <w:lang w:val="en-NZ"/>
              </w:rPr>
            </w:pPr>
            <w:r w:rsidRPr="00A963CC">
              <w:t>2.7 Locate securing hardware to reduce the cumulative</w:t>
            </w:r>
            <w:r w:rsidRPr="00A963CC">
              <w:t xml:space="preserve"> effect on cable wave shape properties and attach cable ties to minimise cable damage</w:t>
            </w:r>
          </w:p>
        </w:tc>
      </w:tr>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t>3. Joint coaxial cable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 xml:space="preserve">3.1 Strip coaxial cable according to specifications to required length using appropriate </w:t>
            </w:r>
            <w:r w:rsidRPr="00A963CC">
              <w:rPr>
                <w:rStyle w:val="BoldandItalics"/>
              </w:rPr>
              <w:t>tools</w:t>
            </w:r>
          </w:p>
          <w:p w:rsidR="00000000" w:rsidRPr="00A963CC" w:rsidP="00A963CC">
            <w:pPr>
              <w:pStyle w:val="BodyText"/>
            </w:pPr>
            <w:r w:rsidRPr="00A963CC">
              <w:t>3.2 Select appropriate kit to match the type of coa</w:t>
            </w:r>
            <w:r w:rsidRPr="00A963CC">
              <w:t>xial cable in use and the jointing method according to manufacturer recommendations</w:t>
            </w:r>
          </w:p>
          <w:p w:rsidR="00000000" w:rsidRPr="00A963CC" w:rsidP="00A963CC">
            <w:pPr>
              <w:pStyle w:val="BodyText"/>
            </w:pPr>
            <w:r w:rsidRPr="00A963CC">
              <w:t>3.3 Joint cable and ensure jointing fitting retains the segregation of conductor and shield</w:t>
            </w:r>
          </w:p>
          <w:p w:rsidR="00000000" w:rsidP="00A963CC">
            <w:pPr>
              <w:pStyle w:val="BodyText"/>
              <w:rPr>
                <w:lang w:val="en-NZ"/>
              </w:rPr>
            </w:pPr>
            <w:r w:rsidRPr="00A963CC">
              <w:t>3.4 Seal all joints according to manufacturer specifications</w:t>
            </w:r>
          </w:p>
        </w:tc>
      </w:tr>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t>4. Terminate coaxi</w:t>
            </w:r>
            <w:r w:rsidRPr="00A963CC">
              <w:t>al cable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4.1 Prepare coaxial cable for termination according to specifications using appropriate tool</w:t>
            </w:r>
          </w:p>
          <w:p w:rsidR="00000000" w:rsidRPr="00A963CC" w:rsidP="00A963CC">
            <w:pPr>
              <w:pStyle w:val="BodyText"/>
            </w:pPr>
            <w:r w:rsidRPr="00A963CC">
              <w:t xml:space="preserve">4.2 Select </w:t>
            </w:r>
            <w:r w:rsidRPr="00A963CC">
              <w:rPr>
                <w:rStyle w:val="BoldandItalics"/>
              </w:rPr>
              <w:t xml:space="preserve">connectors </w:t>
            </w:r>
            <w:r w:rsidRPr="00A963CC">
              <w:t>to match the type of coaxial cable in use and use terminating method recommended by manufacturer</w:t>
            </w:r>
          </w:p>
          <w:p w:rsidR="00000000" w:rsidRPr="00A963CC" w:rsidP="00A963CC">
            <w:pPr>
              <w:pStyle w:val="BodyText"/>
            </w:pPr>
            <w:r w:rsidRPr="00A963CC">
              <w:t>4.3 Verify that connector fitting retains the segregation of conductor and shield</w:t>
            </w:r>
          </w:p>
          <w:p w:rsidR="00000000" w:rsidRPr="00A963CC" w:rsidP="00A963CC">
            <w:pPr>
              <w:pStyle w:val="BodyText"/>
            </w:pPr>
            <w:r w:rsidRPr="00A963CC">
              <w:t>4.4 Terminate connectors to torque as recommended by manufacturer to prevent RF leakage</w:t>
            </w:r>
          </w:p>
          <w:p w:rsidR="00000000" w:rsidRPr="00A963CC" w:rsidP="00A963CC">
            <w:pPr>
              <w:pStyle w:val="BodyText"/>
            </w:pPr>
            <w:r w:rsidRPr="00A963CC">
              <w:t>4.5 Test connectors to mating specifications using gauge tester</w:t>
            </w:r>
          </w:p>
          <w:p w:rsidR="00000000" w:rsidP="00A963CC">
            <w:pPr>
              <w:pStyle w:val="BodyText"/>
              <w:rPr>
                <w:lang w:val="en-NZ"/>
              </w:rPr>
            </w:pPr>
            <w:r w:rsidRPr="00A963CC">
              <w:t>4.6 Maintain a continu</w:t>
            </w:r>
            <w:r w:rsidRPr="00A963CC">
              <w:t>ous ground on the terminations and waterproof seal to preserve cable integrity</w:t>
            </w:r>
          </w:p>
        </w:tc>
      </w:tr>
      <w:tr w:rsidTr="00A963CC">
        <w:tblPrEx>
          <w:tblW w:w="0" w:type="auto"/>
          <w:tblLayout w:type="fixed"/>
          <w:tblCellMar>
            <w:left w:w="62" w:type="dxa"/>
            <w:right w:w="62" w:type="dxa"/>
          </w:tblCellMar>
          <w:tblLook w:val="0000"/>
        </w:tblPrEx>
        <w:trPr>
          <w:trHeight w:val="114"/>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t>5. Complete installation operation</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5.1 Place cables in enclosure and lay up according to manufacturer’s instructions and enterprise guidelines, and check that no safety hazards</w:t>
            </w:r>
            <w:r w:rsidRPr="00A963CC">
              <w:t xml:space="preserve"> are evident</w:t>
            </w:r>
          </w:p>
          <w:p w:rsidR="00000000" w:rsidRPr="00A963CC" w:rsidP="00A963CC">
            <w:pPr>
              <w:pStyle w:val="BodyText"/>
            </w:pPr>
            <w:r w:rsidRPr="00A963CC">
              <w:t>5.2 Place other services according to enterprise guidelines</w:t>
            </w:r>
          </w:p>
          <w:p w:rsidR="00000000" w:rsidP="00A963CC">
            <w:pPr>
              <w:pStyle w:val="BodyText"/>
              <w:rPr>
                <w:lang w:val="en-NZ"/>
              </w:rPr>
            </w:pPr>
            <w:r w:rsidRPr="00A963CC">
              <w:t>5.3 Reinstate site and remove waste and debris for disposal according to environmental requirements and to maintain safe work site conditions</w:t>
            </w:r>
          </w:p>
        </w:tc>
      </w:tr>
      <w:tr w:rsidTr="00A963CC">
        <w:tblPrEx>
          <w:tblW w:w="0" w:type="auto"/>
          <w:tblLayout w:type="fixed"/>
          <w:tblCellMar>
            <w:left w:w="62" w:type="dxa"/>
            <w:right w:w="62" w:type="dxa"/>
          </w:tblCellMar>
          <w:tblLook w:val="0000"/>
        </w:tblPrEx>
        <w:trPr>
          <w:trHeight w:val="90"/>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t>6. Complete installation administration</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6.1 Complete reports according to enterprise policy</w:t>
            </w:r>
          </w:p>
          <w:p w:rsidR="00000000" w:rsidRPr="00A963CC" w:rsidP="00A963CC">
            <w:pPr>
              <w:pStyle w:val="BodyText"/>
            </w:pPr>
            <w:r w:rsidRPr="00A963CC">
              <w:t>6.2 Note alterations to plans using appropriate symbols</w:t>
            </w:r>
          </w:p>
        </w:tc>
      </w:tr>
    </w:tbl>
    <w:p w:rsidR="00000000" w:rsidRPr="00A963CC" w:rsidP="00A963CC">
      <w:pPr>
        <w:pStyle w:val="BodyText"/>
      </w:pPr>
    </w:p>
    <w:p w:rsidR="00000000" w:rsidRPr="00A963CC" w:rsidP="00A963CC">
      <w:pPr>
        <w:pStyle w:val="AllowPageBreak"/>
      </w:pPr>
    </w:p>
    <w:p w:rsidR="00000000" w:rsidRPr="00A963CC" w:rsidP="00A963CC">
      <w:pPr>
        <w:pStyle w:val="Heading1"/>
      </w:pPr>
      <w:bookmarkStart w:id="9" w:name="O_639369"/>
      <w:bookmarkEnd w:id="9"/>
      <w:r w:rsidRPr="00A963CC">
        <w:t>Required Skills and Knowledge</w:t>
      </w:r>
    </w:p>
    <w:p w:rsidR="00000000" w:rsidRPr="00A963CC" w:rsidP="00A963CC">
      <w:pPr>
        <w:pStyle w:val="BodyText"/>
      </w:pPr>
      <w:r w:rsidRPr="00A963CC">
        <w:rPr>
          <w:rStyle w:val="Emphasis"/>
        </w:rPr>
        <w:t>This section describes the skills and knowledge required for this unit.</w:t>
      </w:r>
    </w:p>
    <w:p w:rsidR="00000000" w:rsidRPr="00A963CC" w:rsidP="00A963CC">
      <w:pPr>
        <w:pStyle w:val="BodyText"/>
      </w:pPr>
    </w:p>
    <w:p w:rsidR="00000000" w:rsidRPr="00A963CC" w:rsidP="00A963CC">
      <w:pPr>
        <w:pStyle w:val="BodyText"/>
      </w:pPr>
      <w:r w:rsidRPr="00A963CC">
        <w:rPr>
          <w:rStyle w:val="SpecialBold"/>
        </w:rPr>
        <w:t>Required skills</w:t>
      </w:r>
    </w:p>
    <w:p w:rsidR="00000000" w:rsidRPr="00A963CC" w:rsidP="00A963CC">
      <w:pPr>
        <w:pStyle w:val="BodyText"/>
      </w:pPr>
    </w:p>
    <w:p w:rsidR="00000000" w:rsidRPr="00A963CC" w:rsidP="00A963CC">
      <w:pPr>
        <w:pStyle w:val="ListBullet"/>
      </w:pPr>
      <w:r w:rsidRPr="00A963CC">
        <w:t>communication skills to liaise with internal and external personnel on technical and operational matters</w:t>
      </w:r>
    </w:p>
    <w:p w:rsidR="00000000" w:rsidRPr="00A963CC" w:rsidP="00A963CC">
      <w:pPr>
        <w:pStyle w:val="ListBullet"/>
      </w:pPr>
      <w:r w:rsidRPr="00A963CC">
        <w:t>literacy skills to interpret technical documentation, such as equipment manuals and specifications</w:t>
      </w:r>
    </w:p>
    <w:p w:rsidR="00000000" w:rsidRPr="00A963CC" w:rsidP="00A963CC">
      <w:pPr>
        <w:pStyle w:val="ListBullet"/>
      </w:pPr>
      <w:r w:rsidRPr="00A963CC">
        <w:t>numeracy skills to take and analyse measurements</w:t>
      </w:r>
    </w:p>
    <w:p w:rsidR="00000000" w:rsidRPr="00A963CC" w:rsidP="00A963CC">
      <w:pPr>
        <w:pStyle w:val="ListBullet"/>
      </w:pPr>
      <w:r w:rsidRPr="00A963CC">
        <w:t>pla</w:t>
      </w:r>
      <w:r w:rsidRPr="00A963CC">
        <w:t>nning and organising skills to organise and maintain equipment</w:t>
      </w:r>
    </w:p>
    <w:p w:rsidR="00000000" w:rsidRPr="00A963CC" w:rsidP="00A963CC">
      <w:pPr>
        <w:pStyle w:val="ListBullet"/>
      </w:pPr>
      <w:r w:rsidRPr="00A963CC">
        <w:t>problem-solving skills to solve equipment and logistics problems</w:t>
      </w:r>
    </w:p>
    <w:p w:rsidR="00000000" w:rsidRPr="00A963CC" w:rsidP="00A963CC">
      <w:pPr>
        <w:pStyle w:val="ListBullet"/>
      </w:pPr>
      <w:r w:rsidRPr="00A963CC">
        <w:t>task-management skills to work systematically with required attention to detail and adherence to all safety requirements</w:t>
      </w:r>
    </w:p>
    <w:p w:rsidR="00000000" w:rsidRPr="00A963CC" w:rsidP="00A963CC">
      <w:pPr>
        <w:pStyle w:val="ListBullet"/>
      </w:pPr>
      <w:r w:rsidRPr="00A963CC">
        <w:t>technic</w:t>
      </w:r>
      <w:r w:rsidRPr="00A963CC">
        <w:t>al skills to:</w:t>
      </w:r>
    </w:p>
    <w:p w:rsidR="00000000" w:rsidRPr="00A963CC" w:rsidP="00A963CC">
      <w:pPr>
        <w:pStyle w:val="ListBullet2"/>
      </w:pPr>
      <w:r w:rsidRPr="00A963CC">
        <w:t>use hand and power tools</w:t>
      </w:r>
    </w:p>
    <w:p w:rsidR="00546E88" w:rsidP="00A963CC">
      <w:pPr>
        <w:pStyle w:val="ListBullet2"/>
      </w:pPr>
      <w:r w:rsidRPr="00A963CC">
        <w:t>use diagnostic equipment.</w:t>
      </w:r>
    </w:p>
    <w:p w:rsidR="00546E88" w:rsidP="00A963CC">
      <w:pPr>
        <w:pStyle w:val="ListBullet2"/>
      </w:pPr>
    </w:p>
    <w:p w:rsidR="00000000" w:rsidRPr="00A963CC" w:rsidP="00A963CC">
      <w:pPr>
        <w:pStyle w:val="BodyText"/>
      </w:pPr>
      <w:r w:rsidRPr="00A963CC">
        <w:rPr>
          <w:rStyle w:val="SpecialBold"/>
        </w:rPr>
        <w:t>Required knowledge</w:t>
      </w:r>
    </w:p>
    <w:p w:rsidR="00000000" w:rsidRPr="00A963CC" w:rsidP="00A963CC">
      <w:pPr>
        <w:pStyle w:val="BodyText"/>
      </w:pPr>
    </w:p>
    <w:p w:rsidR="00000000" w:rsidRPr="00A963CC" w:rsidP="00A963CC">
      <w:pPr>
        <w:pStyle w:val="ListBullet"/>
      </w:pPr>
      <w:r w:rsidRPr="00A963CC">
        <w:t>information required to operate equipment according to a test specification</w:t>
      </w:r>
    </w:p>
    <w:p w:rsidR="00000000" w:rsidRPr="00A963CC" w:rsidP="00A963CC">
      <w:pPr>
        <w:pStyle w:val="ListBullet"/>
      </w:pPr>
      <w:r w:rsidRPr="00A963CC">
        <w:t>features and operating requirements of test equipment</w:t>
      </w:r>
    </w:p>
    <w:p w:rsidR="00000000" w:rsidRPr="00A963CC" w:rsidP="00A963CC">
      <w:pPr>
        <w:pStyle w:val="ListBullet"/>
      </w:pPr>
      <w:r w:rsidRPr="00A963CC">
        <w:t>manufacturer requirements for safe operation of equipment</w:t>
      </w:r>
    </w:p>
    <w:p w:rsidR="00000000" w:rsidRPr="00A963CC" w:rsidP="00A963CC">
      <w:pPr>
        <w:pStyle w:val="ListBullet"/>
      </w:pPr>
      <w:r w:rsidRPr="00A963CC">
        <w:t>test methods and performance requirements</w:t>
      </w:r>
    </w:p>
    <w:p w:rsidR="00000000" w:rsidRPr="00A963CC" w:rsidP="00A963CC">
      <w:pPr>
        <w:pStyle w:val="ListBullet"/>
      </w:pPr>
      <w:r w:rsidRPr="00A963CC">
        <w:t>typical issues and challenges that occur on site</w:t>
      </w:r>
    </w:p>
    <w:p w:rsidR="00000000" w:rsidRPr="00A963CC" w:rsidP="00A963CC">
      <w:pPr>
        <w:pStyle w:val="ListBullet"/>
      </w:pPr>
      <w:r w:rsidRPr="00A963CC">
        <w:t>requirements of legislation, codes of practice and other formal agreements that impact on the work activity</w:t>
      </w:r>
    </w:p>
    <w:p w:rsidR="00000000" w:rsidRPr="00A963CC" w:rsidP="00A963CC">
      <w:pPr>
        <w:pStyle w:val="ListBullet"/>
      </w:pPr>
      <w:r w:rsidRPr="00A963CC">
        <w:t>specific OHS requirements relating to the activity and site conditions.</w:t>
      </w:r>
    </w:p>
    <w:p w:rsidR="00000000" w:rsidRPr="00A963CC" w:rsidP="00A963CC">
      <w:pPr>
        <w:pStyle w:val="AllowPageBreak"/>
      </w:pPr>
    </w:p>
    <w:p w:rsidR="00000000" w:rsidRPr="00A963CC" w:rsidP="00A963CC">
      <w:pPr>
        <w:pStyle w:val="Heading1"/>
      </w:pPr>
      <w:bookmarkStart w:id="10" w:name="O_639370"/>
      <w:bookmarkEnd w:id="10"/>
      <w:r w:rsidRPr="00A963CC">
        <w:t>Evidence Guide</w:t>
      </w:r>
    </w:p>
    <w:p w:rsidR="00000000" w:rsidRPr="00A963CC" w:rsidP="00A963CC">
      <w:pPr>
        <w:pStyle w:val="BodyText"/>
      </w:pPr>
      <w:r w:rsidRPr="00A963CC">
        <w:rPr>
          <w:rStyle w:val="Emphasis"/>
        </w:rPr>
        <w:t xml:space="preserve">The evidence guide provides advice on assessment and must be read in conjunction with the performance criteria, required skills and knowledge, </w:t>
      </w:r>
      <w:r w:rsidRPr="00A963CC">
        <w:rPr>
          <w:rStyle w:val="Emphasis"/>
        </w:rPr>
        <w:t>range statement and the Assessment Guidelines for the Training Package.</w:t>
      </w:r>
    </w:p>
    <w:p w:rsidR="00000000" w:rsidRPr="00A963CC" w:rsidP="00A963CC">
      <w:pPr>
        <w:pStyle w:val="BodyText"/>
      </w:pPr>
    </w:p>
    <w:tbl>
      <w:tblPr>
        <w:tblW w:w="0" w:type="auto"/>
        <w:tblLayout w:type="fixed"/>
        <w:tblCellMar>
          <w:left w:w="62" w:type="dxa"/>
          <w:right w:w="62" w:type="dxa"/>
        </w:tblCellMar>
        <w:tblLook w:val="0000"/>
      </w:tblPr>
      <w:tblGrid>
        <w:gridCol w:w="2430"/>
        <w:gridCol w:w="6315"/>
      </w:tblGrid>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SpecialBold"/>
              </w:rPr>
              <w:t>Overview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p>
        </w:tc>
      </w:tr>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Evidence of the ability to:</w:t>
            </w:r>
          </w:p>
          <w:p w:rsidR="00000000" w:rsidRPr="00A963CC" w:rsidP="00A963CC">
            <w:pPr>
              <w:pStyle w:val="BodyText"/>
            </w:pPr>
          </w:p>
          <w:p w:rsidR="00000000" w:rsidRPr="00A963CC" w:rsidP="00A963CC">
            <w:pPr>
              <w:pStyle w:val="ListBullet"/>
            </w:pPr>
            <w:r w:rsidRPr="00A963CC">
              <w:t>joint and terminate coaxial cable u</w:t>
            </w:r>
            <w:r w:rsidRPr="00A963CC">
              <w:t>sing specialised hand or power tools and equipment</w:t>
            </w:r>
          </w:p>
          <w:p w:rsidR="00000000" w:rsidRPr="00A963CC" w:rsidP="00A963CC">
            <w:pPr>
              <w:pStyle w:val="ListBullet"/>
            </w:pPr>
            <w:r w:rsidRPr="00A963CC">
              <w:t>apply related OHS requirements and work practices</w:t>
            </w:r>
          </w:p>
          <w:p w:rsidR="00000000" w:rsidP="00A963CC">
            <w:pPr>
              <w:pStyle w:val="ListBullet"/>
              <w:rPr>
                <w:lang w:val="en-NZ"/>
              </w:rPr>
            </w:pPr>
            <w:r w:rsidRPr="00A963CC">
              <w:t>conduct signal strength tests and interpret results.</w:t>
            </w:r>
          </w:p>
        </w:tc>
      </w:tr>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Assessment must ensure:</w:t>
            </w:r>
          </w:p>
          <w:p w:rsidR="00000000" w:rsidRPr="00A963CC" w:rsidP="00A963CC">
            <w:pPr>
              <w:pStyle w:val="BodyText"/>
            </w:pPr>
          </w:p>
          <w:p w:rsidR="00000000" w:rsidRPr="00A963CC" w:rsidP="00A963CC">
            <w:pPr>
              <w:pStyle w:val="ListBullet"/>
            </w:pPr>
            <w:r w:rsidRPr="00A963CC">
              <w:t>sites where jointing metallic conductor cable may be conducted</w:t>
            </w:r>
          </w:p>
          <w:p w:rsidR="00000000" w:rsidRPr="00A963CC" w:rsidP="00A963CC">
            <w:pPr>
              <w:pStyle w:val="ListBullet"/>
            </w:pPr>
            <w:r w:rsidRPr="00A963CC">
              <w:t>use of joint testing equipment currently used in industry</w:t>
            </w:r>
          </w:p>
          <w:p w:rsidR="00000000" w:rsidP="00A963CC">
            <w:pPr>
              <w:pStyle w:val="ListBullet"/>
              <w:rPr>
                <w:lang w:val="en-NZ"/>
              </w:rPr>
            </w:pPr>
            <w:r w:rsidRPr="00A963CC">
              <w:t>relevant regulatory and equipment documentation that impacts on cable jointing and testing activities.</w:t>
            </w:r>
          </w:p>
        </w:tc>
      </w:tr>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SpecialBold"/>
              </w:rPr>
              <w:t>Methods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A range o</w:t>
            </w:r>
            <w:r w:rsidRPr="00A963CC">
              <w:t>f assessment methods should be used to assess practical skills and knowledge. The following examples are appropriate for this unit:</w:t>
            </w:r>
          </w:p>
          <w:p w:rsidR="00000000" w:rsidRPr="00A963CC" w:rsidP="00A963CC">
            <w:pPr>
              <w:pStyle w:val="BodyText"/>
            </w:pPr>
          </w:p>
          <w:p w:rsidR="00000000" w:rsidRPr="00A963CC" w:rsidP="00A963CC">
            <w:pPr>
              <w:pStyle w:val="ListBullet"/>
            </w:pPr>
            <w:r w:rsidRPr="00A963CC">
              <w:t>review of hands-on project completed by the candidate</w:t>
            </w:r>
          </w:p>
          <w:p w:rsidR="00000000" w:rsidRPr="00A963CC" w:rsidP="00A963CC">
            <w:pPr>
              <w:pStyle w:val="ListBullet"/>
            </w:pPr>
            <w:r w:rsidRPr="00A963CC">
              <w:t>review of oral and written report with test results</w:t>
            </w:r>
          </w:p>
          <w:p w:rsidR="00000000" w:rsidP="00A963CC">
            <w:pPr>
              <w:pStyle w:val="ListBullet"/>
              <w:rPr>
                <w:lang w:val="en-NZ"/>
              </w:rPr>
            </w:pPr>
            <w:r w:rsidRPr="00A963CC">
              <w:t>direct observati</w:t>
            </w:r>
            <w:r w:rsidRPr="00A963CC">
              <w:t>on of the candidate jointing and terminating cables and testing joints.</w:t>
            </w:r>
          </w:p>
        </w:tc>
      </w:tr>
      <w:tr w:rsidTr="00A963C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SpecialBold"/>
              </w:rPr>
              <w:t xml:space="preserve">Guidance information for assessment </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BodyText"/>
            </w:pPr>
            <w:r w:rsidRPr="00A963CC">
              <w:t>Holistic assessment with other units relevant to the industry sector, workplace and job role is recommended, for example:</w:t>
            </w:r>
          </w:p>
          <w:p w:rsidR="00000000" w:rsidRPr="00A963CC" w:rsidP="00A963CC">
            <w:pPr>
              <w:pStyle w:val="BodyText"/>
            </w:pPr>
          </w:p>
          <w:p w:rsidR="00000000" w:rsidRPr="00A963CC" w:rsidP="00A963CC">
            <w:pPr>
              <w:pStyle w:val="ListBullet"/>
            </w:pPr>
            <w:r w:rsidRPr="00A963CC">
              <w:t>ICTCBL2005B Install customer cable support systems</w:t>
            </w:r>
          </w:p>
          <w:p w:rsidR="00000000" w:rsidRPr="00A963CC" w:rsidP="00A963CC">
            <w:pPr>
              <w:pStyle w:val="ListBullet"/>
            </w:pPr>
            <w:r w:rsidRPr="00A963CC">
              <w:t>ICTCBL2006B Place and secure customer cable.</w:t>
            </w:r>
          </w:p>
          <w:p w:rsidR="00000000" w:rsidRPr="00A963CC" w:rsidP="00A963CC">
            <w:pPr>
              <w:pStyle w:val="BodyText"/>
            </w:pPr>
          </w:p>
          <w:p w:rsidR="00000000" w:rsidRPr="00A963CC" w:rsidP="00A963CC">
            <w:pPr>
              <w:pStyle w:val="BodyText"/>
            </w:pPr>
            <w:r w:rsidRPr="00A963CC">
              <w:t>Aboriginal people and other people from a non-English speaking background may have second language issues.</w:t>
            </w:r>
          </w:p>
          <w:p w:rsidR="00000000" w:rsidRPr="00A963CC" w:rsidP="00A963CC">
            <w:pPr>
              <w:pStyle w:val="BodyText"/>
            </w:pPr>
          </w:p>
          <w:p w:rsidR="00000000" w:rsidRPr="00A963CC" w:rsidP="00A963CC">
            <w:pPr>
              <w:pStyle w:val="BodyText"/>
            </w:pPr>
            <w:r w:rsidRPr="00A963CC">
              <w:t>Access must be provided to appropriate learning and</w:t>
            </w:r>
            <w:r w:rsidRPr="00A963CC">
              <w:t xml:space="preserve"> assessment </w:t>
            </w:r>
            <w:r w:rsidRPr="00A963CC">
              <w:t>support when required.</w:t>
            </w:r>
          </w:p>
          <w:p w:rsidR="00000000" w:rsidRPr="00A963CC" w:rsidP="00A963CC">
            <w:pPr>
              <w:pStyle w:val="BodyText"/>
            </w:pPr>
          </w:p>
          <w:p w:rsidR="00000000" w:rsidRPr="00A963CC" w:rsidP="00A963CC">
            <w:pPr>
              <w:pStyle w:val="BodyText"/>
            </w:pPr>
            <w:r w:rsidRPr="00A963CC">
              <w:t>Assessment processes and techniques must be culturally appropriate, and appropriate to the oral communication skill level, and language and literacy capacity of the candidate and the work being performed.</w:t>
            </w:r>
          </w:p>
          <w:p w:rsidR="00000000" w:rsidRPr="00A963CC" w:rsidP="00A963CC">
            <w:pPr>
              <w:pStyle w:val="BodyText"/>
            </w:pPr>
          </w:p>
          <w:p w:rsidR="00000000" w:rsidRPr="00A963CC" w:rsidP="00A963CC">
            <w:pPr>
              <w:pStyle w:val="BodyText"/>
            </w:pPr>
            <w:r w:rsidRPr="00A963CC">
              <w:t>In all cases w</w:t>
            </w:r>
            <w:r w:rsidRPr="00A963CC">
              <w:t>here practical assessment is used it will be combined with targeted questioning to assess required knowledge. Questioning techniques should not require language, literacy and numeracy skills beyond those required in this unit of competency.</w:t>
            </w:r>
          </w:p>
          <w:p w:rsidR="00000000" w:rsidRPr="00A963CC" w:rsidP="00A963CC">
            <w:pPr>
              <w:pStyle w:val="BodyText"/>
            </w:pPr>
          </w:p>
          <w:p w:rsidR="00000000" w:rsidRPr="00A963CC" w:rsidP="00A963CC">
            <w:pPr>
              <w:pStyle w:val="BodyText"/>
            </w:pPr>
            <w:r w:rsidRPr="00A963CC">
              <w:t>Where applicab</w:t>
            </w:r>
            <w:r w:rsidRPr="00A963CC">
              <w:t>le, physical resources should include equipment modified for people with special needs.</w:t>
            </w:r>
          </w:p>
        </w:tc>
      </w:tr>
    </w:tbl>
    <w:p w:rsidR="00000000" w:rsidRPr="00A963CC" w:rsidP="00A963CC">
      <w:pPr>
        <w:pStyle w:val="BodyText"/>
      </w:pPr>
    </w:p>
    <w:p w:rsidR="00000000" w:rsidRPr="00A963CC" w:rsidP="00A963CC">
      <w:pPr>
        <w:pStyle w:val="AllowPageBreak"/>
      </w:pPr>
    </w:p>
    <w:p w:rsidR="00000000" w:rsidRPr="00A963CC" w:rsidP="00A963CC">
      <w:pPr>
        <w:pStyle w:val="Heading1"/>
      </w:pPr>
      <w:bookmarkStart w:id="11" w:name="O_639371"/>
      <w:bookmarkEnd w:id="11"/>
      <w:r w:rsidRPr="00A963CC">
        <w:t>Range Statement</w:t>
      </w:r>
    </w:p>
    <w:p w:rsidR="00000000" w:rsidRPr="00A963CC" w:rsidP="00A963CC">
      <w:pPr>
        <w:pStyle w:val="BodyText"/>
      </w:pPr>
      <w:r w:rsidRPr="00A963C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963CC">
        <w:rPr>
          <w:rStyle w:val="Emphasis"/>
        </w:rPr>
        <w:t>ditions that may be present with training and assessment (depending on the work situation, needs of the candidate, accessibility of the item, and local industry and regional contexts) may also be included.</w:t>
      </w:r>
    </w:p>
    <w:p w:rsidR="00000000" w:rsidRPr="00A963CC" w:rsidP="00A963CC">
      <w:pPr>
        <w:pStyle w:val="BodyText"/>
      </w:pPr>
    </w:p>
    <w:tbl>
      <w:tblPr>
        <w:tblW w:w="0" w:type="auto"/>
        <w:tblLayout w:type="fixed"/>
        <w:tblCellMar>
          <w:left w:w="62" w:type="dxa"/>
          <w:right w:w="62" w:type="dxa"/>
        </w:tblCellMar>
        <w:tblLook w:val="0000"/>
      </w:tblPr>
      <w:tblGrid>
        <w:gridCol w:w="2479"/>
        <w:gridCol w:w="6266"/>
      </w:tblGrid>
      <w:tr w:rsidTr="00A963CC">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BoldandItalics"/>
              </w:rPr>
              <w:t xml:space="preserve">Site security arrangements </w:t>
            </w:r>
            <w:r w:rsidRPr="00A963CC">
              <w:t>may include:</w:t>
            </w:r>
          </w:p>
        </w:tc>
        <w:tc>
          <w:tcPr>
            <w:tcW w:w="6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ListBullet"/>
            </w:pPr>
            <w:r w:rsidRPr="00A963CC">
              <w:t>access t</w:t>
            </w:r>
            <w:r w:rsidRPr="00A963CC">
              <w:t>imes and methods</w:t>
            </w:r>
          </w:p>
          <w:p w:rsidR="00000000" w:rsidRPr="00A963CC" w:rsidP="00A963CC">
            <w:pPr>
              <w:pStyle w:val="ListBullet"/>
            </w:pPr>
            <w:r w:rsidRPr="00A963CC">
              <w:t>approval to enter site</w:t>
            </w:r>
          </w:p>
          <w:p w:rsidR="00000000" w:rsidRPr="00A963CC" w:rsidP="00A963CC">
            <w:pPr>
              <w:pStyle w:val="ListBullet"/>
            </w:pPr>
            <w:r w:rsidRPr="00A963CC">
              <w:t>approved entry requirements</w:t>
            </w:r>
          </w:p>
          <w:p w:rsidR="00000000" w:rsidRPr="00A963CC" w:rsidP="00A963CC">
            <w:pPr>
              <w:pStyle w:val="ListBullet"/>
            </w:pPr>
            <w:r w:rsidRPr="00A963CC">
              <w:t>electronic surveillance</w:t>
            </w:r>
          </w:p>
          <w:p w:rsidR="00000000" w:rsidP="00A963CC">
            <w:pPr>
              <w:pStyle w:val="ListBullet"/>
              <w:rPr>
                <w:lang w:val="en-NZ"/>
              </w:rPr>
            </w:pPr>
            <w:r w:rsidRPr="00A963CC">
              <w:t>security clearance.</w:t>
            </w:r>
          </w:p>
        </w:tc>
      </w:tr>
      <w:tr w:rsidTr="00A963CC">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BoldandItalics"/>
              </w:rPr>
              <w:t xml:space="preserve">Relevant legislation, codes, regulations and standards </w:t>
            </w:r>
            <w:r w:rsidRPr="00A963CC">
              <w:t>may include:</w:t>
            </w:r>
          </w:p>
        </w:tc>
        <w:tc>
          <w:tcPr>
            <w:tcW w:w="6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ListBullet"/>
            </w:pPr>
            <w:r w:rsidRPr="00A963CC">
              <w:t>Australian Communications Industry Forum (ACIF) standards and codes</w:t>
            </w:r>
          </w:p>
          <w:p w:rsidR="00000000" w:rsidRPr="00A963CC" w:rsidP="00A963CC">
            <w:pPr>
              <w:pStyle w:val="ListBullet"/>
            </w:pPr>
            <w:r w:rsidRPr="00A963CC">
              <w:t>Austra</w:t>
            </w:r>
            <w:r w:rsidRPr="00A963CC">
              <w:t>lian Communications and Media Authority (ACMA) technical standards</w:t>
            </w:r>
          </w:p>
          <w:p w:rsidR="00000000" w:rsidRPr="00A963CC" w:rsidP="00A963CC">
            <w:pPr>
              <w:pStyle w:val="ListBullet"/>
            </w:pPr>
            <w:r w:rsidRPr="00A963CC">
              <w:t>ARPANSA electromagnetic radiation (EMR) standard</w:t>
            </w:r>
          </w:p>
          <w:p w:rsidR="00000000" w:rsidRPr="00A963CC" w:rsidP="00A963CC">
            <w:pPr>
              <w:pStyle w:val="ListBullet"/>
            </w:pPr>
            <w:r w:rsidRPr="00A963CC">
              <w:t>AS Communications Cabling Manual (CCM) Volume 1</w:t>
            </w:r>
          </w:p>
          <w:p w:rsidR="00000000" w:rsidRPr="00A963CC" w:rsidP="00A963CC">
            <w:pPr>
              <w:pStyle w:val="ListBullet"/>
            </w:pPr>
            <w:r w:rsidRPr="00A963CC">
              <w:t>AS/NZS 3000:2007</w:t>
            </w:r>
          </w:p>
          <w:p w:rsidR="00000000" w:rsidRPr="00A963CC" w:rsidP="00A963CC">
            <w:pPr>
              <w:pStyle w:val="ListBullet"/>
            </w:pPr>
            <w:r w:rsidRPr="00A963CC">
              <w:t>AS/NZS 3080:2003</w:t>
            </w:r>
          </w:p>
          <w:p w:rsidR="00000000" w:rsidRPr="00A963CC" w:rsidP="00A963CC">
            <w:pPr>
              <w:pStyle w:val="ListBullet"/>
            </w:pPr>
            <w:r w:rsidRPr="00A963CC">
              <w:t>AS/NZS 3084:2003</w:t>
            </w:r>
          </w:p>
          <w:p w:rsidR="00000000" w:rsidRPr="00A963CC" w:rsidP="00A963CC">
            <w:pPr>
              <w:pStyle w:val="ListBullet"/>
            </w:pPr>
            <w:r w:rsidRPr="00A963CC">
              <w:t>AS/NZS 3085.1:2004</w:t>
            </w:r>
          </w:p>
          <w:p w:rsidR="00000000" w:rsidRPr="00A963CC" w:rsidP="00A963CC">
            <w:pPr>
              <w:pStyle w:val="ListBullet"/>
            </w:pPr>
            <w:r w:rsidRPr="00A963CC">
              <w:t>AS/NZS I</w:t>
            </w:r>
            <w:r w:rsidRPr="00A963CC">
              <w:t>EC 61935.1:2006</w:t>
            </w:r>
          </w:p>
          <w:p w:rsidR="00000000" w:rsidRPr="00A963CC" w:rsidP="00A963CC">
            <w:pPr>
              <w:pStyle w:val="ListBullet"/>
            </w:pPr>
            <w:r w:rsidRPr="00A963CC">
              <w:t>AS/NZS IEC 61935.2:2006</w:t>
            </w:r>
          </w:p>
          <w:p w:rsidR="00000000" w:rsidRPr="00A963CC" w:rsidP="00A963CC">
            <w:pPr>
              <w:pStyle w:val="ListBullet"/>
            </w:pPr>
            <w:r w:rsidRPr="00A963CC">
              <w:t>AS/NZS ISO/IEC 14763.3:2007</w:t>
            </w:r>
          </w:p>
          <w:p w:rsidR="00000000" w:rsidRPr="00A963CC" w:rsidP="00A963CC">
            <w:pPr>
              <w:pStyle w:val="ListBullet"/>
            </w:pPr>
            <w:r w:rsidRPr="00A963CC">
              <w:t>AS/NZS ISO/IEC 15018:2005</w:t>
            </w:r>
          </w:p>
          <w:p w:rsidR="00000000" w:rsidRPr="00A963CC" w:rsidP="00A963CC">
            <w:pPr>
              <w:pStyle w:val="ListBullet"/>
            </w:pPr>
            <w:r w:rsidRPr="00A963CC">
              <w:t xml:space="preserve">AS/NZS ISO/IEC 24702:2007 </w:t>
            </w:r>
          </w:p>
          <w:p w:rsidR="00000000" w:rsidRPr="00A963CC" w:rsidP="00A963CC">
            <w:pPr>
              <w:pStyle w:val="ListBullet"/>
            </w:pPr>
            <w:r w:rsidRPr="00A963CC">
              <w:t>Australian building codes and regulations</w:t>
            </w:r>
          </w:p>
          <w:p w:rsidR="00000000" w:rsidRPr="00A963CC" w:rsidP="00A963CC">
            <w:pPr>
              <w:pStyle w:val="ListBullet"/>
            </w:pPr>
            <w:r w:rsidRPr="00A963CC">
              <w:t>cabling security codes and regulations</w:t>
            </w:r>
          </w:p>
          <w:p w:rsidR="00000000" w:rsidRPr="00A963CC" w:rsidP="00A963CC">
            <w:pPr>
              <w:pStyle w:val="ListBullet"/>
            </w:pPr>
            <w:r w:rsidRPr="00A963CC">
              <w:t>confined spaces regulations</w:t>
            </w:r>
          </w:p>
          <w:p w:rsidR="00000000" w:rsidRPr="00A963CC" w:rsidP="00A963CC">
            <w:pPr>
              <w:pStyle w:val="ListBullet"/>
            </w:pPr>
            <w:r w:rsidRPr="00A963CC">
              <w:t>enterprise standards</w:t>
            </w:r>
          </w:p>
          <w:p w:rsidR="00000000" w:rsidRPr="00A963CC" w:rsidP="00A963CC">
            <w:pPr>
              <w:pStyle w:val="ListBullet"/>
            </w:pPr>
            <w:r w:rsidRPr="00A963CC">
              <w:t>Envir</w:t>
            </w:r>
            <w:r w:rsidRPr="00A963CC">
              <w:t>onment Protection Acts</w:t>
            </w:r>
          </w:p>
          <w:p w:rsidR="00000000" w:rsidRPr="00A963CC" w:rsidP="00A963CC">
            <w:pPr>
              <w:pStyle w:val="ListBullet"/>
            </w:pPr>
            <w:r w:rsidRPr="00A963CC">
              <w:t>equipment standards</w:t>
            </w:r>
          </w:p>
          <w:p w:rsidR="00000000" w:rsidRPr="00A963CC" w:rsidP="00A963CC">
            <w:pPr>
              <w:pStyle w:val="ListBullet"/>
            </w:pPr>
            <w:r w:rsidRPr="00A963CC">
              <w:t>fire regulations</w:t>
            </w:r>
          </w:p>
          <w:p w:rsidR="00000000" w:rsidRPr="00A963CC" w:rsidP="00A963CC">
            <w:pPr>
              <w:pStyle w:val="ListBullet"/>
            </w:pPr>
            <w:r w:rsidRPr="00A963CC">
              <w:t>heritage legislation</w:t>
            </w:r>
          </w:p>
          <w:p w:rsidR="00000000" w:rsidRPr="00A963CC" w:rsidP="00A963CC">
            <w:pPr>
              <w:pStyle w:val="ListBullet"/>
            </w:pPr>
            <w:r w:rsidRPr="00A963CC">
              <w:t>international standards</w:t>
            </w:r>
          </w:p>
          <w:p w:rsidR="00000000" w:rsidRPr="00A963CC" w:rsidP="00A963CC">
            <w:pPr>
              <w:pStyle w:val="ListBullet"/>
            </w:pPr>
            <w:r w:rsidRPr="00A963CC">
              <w:t xml:space="preserve">intrinsically safe lightning protection </w:t>
            </w:r>
          </w:p>
          <w:p w:rsidR="00000000" w:rsidRPr="00A963CC" w:rsidP="00A963CC">
            <w:pPr>
              <w:pStyle w:val="ListBullet"/>
            </w:pPr>
            <w:r w:rsidRPr="00A963CC">
              <w:t>local government</w:t>
            </w:r>
          </w:p>
          <w:p w:rsidR="00000000" w:rsidRPr="00A963CC" w:rsidP="00A963CC">
            <w:pPr>
              <w:pStyle w:val="ListBullet"/>
            </w:pPr>
            <w:r w:rsidRPr="00A963CC">
              <w:t>mining legislation</w:t>
            </w:r>
          </w:p>
          <w:p w:rsidR="00000000" w:rsidRPr="00A963CC" w:rsidP="00A963CC">
            <w:pPr>
              <w:pStyle w:val="ListBullet"/>
            </w:pPr>
            <w:r w:rsidRPr="00A963CC">
              <w:t>noise abatement and heritage legislation</w:t>
            </w:r>
          </w:p>
          <w:p w:rsidR="00000000" w:rsidRPr="00A963CC" w:rsidP="00A963CC">
            <w:pPr>
              <w:pStyle w:val="ListBullet"/>
            </w:pPr>
            <w:r w:rsidRPr="00A963CC">
              <w:t>OHS Acts and relevant codes and standards</w:t>
            </w:r>
          </w:p>
          <w:p w:rsidR="00000000" w:rsidRPr="00A963CC" w:rsidP="00A963CC">
            <w:pPr>
              <w:pStyle w:val="ListBullet"/>
            </w:pPr>
            <w:r w:rsidRPr="00A963CC">
              <w:t>Radiocommunications Act</w:t>
            </w:r>
          </w:p>
          <w:p w:rsidR="00000000" w:rsidRPr="00A963CC" w:rsidP="00A963CC">
            <w:pPr>
              <w:pStyle w:val="ListBullet"/>
            </w:pPr>
            <w:r w:rsidRPr="00A963CC">
              <w:t xml:space="preserve">regulated or industry codes of practice </w:t>
            </w:r>
          </w:p>
          <w:p w:rsidR="00000000" w:rsidRPr="00A963CC" w:rsidP="00A963CC">
            <w:pPr>
              <w:pStyle w:val="ListBullet"/>
            </w:pPr>
            <w:r w:rsidRPr="00A963CC">
              <w:t>site engineering standard</w:t>
            </w:r>
          </w:p>
          <w:p w:rsidR="00000000" w:rsidRPr="00A963CC" w:rsidP="00A963CC">
            <w:pPr>
              <w:pStyle w:val="ListBullet"/>
            </w:pPr>
            <w:r w:rsidRPr="00A963CC">
              <w:t>technical standards AS/ACIF S008:2006 and AS/ACIF S009:2006</w:t>
            </w:r>
          </w:p>
          <w:p w:rsidR="00000000" w:rsidRPr="00A963CC" w:rsidP="00A963CC">
            <w:pPr>
              <w:pStyle w:val="ListBullet"/>
            </w:pPr>
            <w:r w:rsidRPr="00A963CC">
              <w:t>Telecommunications Act</w:t>
            </w:r>
          </w:p>
          <w:p w:rsidR="00000000" w:rsidP="00A963CC">
            <w:pPr>
              <w:pStyle w:val="ListBullet"/>
              <w:rPr>
                <w:lang w:val="en-NZ"/>
              </w:rPr>
            </w:pPr>
            <w:r w:rsidRPr="00A963CC">
              <w:t xml:space="preserve">WIs, CIs, business operating procedures </w:t>
            </w:r>
            <w:r w:rsidRPr="00A963CC">
              <w:t>(BOP), Radiocommunications Assignment and Licensing Instruction (RALI), assignment guidelines, spectrum planning reports.</w:t>
            </w:r>
          </w:p>
        </w:tc>
      </w:tr>
      <w:tr w:rsidTr="00A963CC">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BoldandItalics"/>
              </w:rPr>
              <w:t xml:space="preserve">Customer’s installation specifications </w:t>
            </w:r>
            <w:r w:rsidRPr="00A963CC">
              <w:t>may include:</w:t>
            </w:r>
          </w:p>
        </w:tc>
        <w:tc>
          <w:tcPr>
            <w:tcW w:w="6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ListBullet"/>
            </w:pPr>
            <w:r w:rsidRPr="00A963CC">
              <w:t>cable plans and designs</w:t>
            </w:r>
          </w:p>
          <w:p w:rsidR="00000000" w:rsidRPr="00A963CC" w:rsidP="00A963CC">
            <w:pPr>
              <w:pStyle w:val="ListBullet"/>
            </w:pPr>
            <w:r w:rsidRPr="00A963CC">
              <w:t>contract documents</w:t>
            </w:r>
          </w:p>
          <w:p w:rsidR="00000000" w:rsidP="00A963CC">
            <w:pPr>
              <w:pStyle w:val="ListBullet"/>
              <w:rPr>
                <w:lang w:val="en-NZ"/>
              </w:rPr>
            </w:pPr>
            <w:r w:rsidRPr="00A963CC">
              <w:t>specification schedules.</w:t>
            </w:r>
          </w:p>
        </w:tc>
      </w:tr>
      <w:tr w:rsidTr="00A963CC">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BoldandItalics"/>
              </w:rPr>
              <w:t xml:space="preserve">Other services </w:t>
            </w:r>
            <w:r w:rsidRPr="00A963CC">
              <w:t>may include:</w:t>
            </w:r>
          </w:p>
        </w:tc>
        <w:tc>
          <w:tcPr>
            <w:tcW w:w="6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ListBullet"/>
            </w:pPr>
            <w:r w:rsidRPr="00A963CC">
              <w:t>availability and suitability of existing cabling trays and fixing systems</w:t>
            </w:r>
          </w:p>
          <w:p w:rsidR="00000000" w:rsidRPr="00A963CC" w:rsidP="00A963CC">
            <w:pPr>
              <w:pStyle w:val="ListBullet"/>
            </w:pPr>
            <w:r w:rsidRPr="00A963CC">
              <w:t>fire sprinkler systems</w:t>
            </w:r>
          </w:p>
          <w:p w:rsidR="00000000" w:rsidRPr="00A963CC" w:rsidP="00A963CC">
            <w:pPr>
              <w:pStyle w:val="ListBullet"/>
            </w:pPr>
            <w:r w:rsidRPr="00A963CC">
              <w:t>gas and water mains</w:t>
            </w:r>
          </w:p>
          <w:p w:rsidR="00000000" w:rsidP="00A963CC">
            <w:pPr>
              <w:pStyle w:val="ListBullet"/>
              <w:rPr>
                <w:lang w:val="en-NZ"/>
              </w:rPr>
            </w:pPr>
            <w:r w:rsidRPr="00A963CC">
              <w:t>high voltage (HV) power.</w:t>
            </w:r>
          </w:p>
        </w:tc>
      </w:tr>
      <w:tr w:rsidTr="00A963CC">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BoldandItalics"/>
              </w:rPr>
              <w:t xml:space="preserve">OHS </w:t>
            </w:r>
            <w:r w:rsidRPr="00A963CC">
              <w:t xml:space="preserve">may include: </w:t>
            </w:r>
          </w:p>
        </w:tc>
        <w:tc>
          <w:tcPr>
            <w:tcW w:w="6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ListBullet"/>
            </w:pPr>
            <w:r w:rsidRPr="00A963CC">
              <w:t>safe use and handling of:</w:t>
            </w:r>
          </w:p>
          <w:p w:rsidR="00000000" w:rsidRPr="00A963CC" w:rsidP="00A963CC">
            <w:pPr>
              <w:pStyle w:val="ListBullet2"/>
            </w:pPr>
            <w:r w:rsidRPr="00A963CC">
              <w:t>chemicals</w:t>
            </w:r>
          </w:p>
          <w:p w:rsidR="00000000" w:rsidRPr="00A963CC" w:rsidP="00A963CC">
            <w:pPr>
              <w:pStyle w:val="ListBullet2"/>
            </w:pPr>
            <w:r w:rsidRPr="00A963CC">
              <w:t>materials</w:t>
            </w:r>
          </w:p>
          <w:p w:rsidR="00000000" w:rsidRPr="00A963CC" w:rsidP="00A963CC">
            <w:pPr>
              <w:pStyle w:val="ListBullet2"/>
            </w:pPr>
            <w:r w:rsidRPr="00A963CC">
              <w:t>tools and equipment</w:t>
            </w:r>
          </w:p>
          <w:p w:rsidR="00000000" w:rsidP="00A963CC">
            <w:pPr>
              <w:pStyle w:val="ListBullet2"/>
              <w:rPr>
                <w:lang w:val="en-NZ"/>
              </w:rPr>
            </w:pPr>
            <w:r w:rsidRPr="00A963CC">
              <w:t>work platforms.</w:t>
            </w:r>
          </w:p>
        </w:tc>
      </w:tr>
      <w:tr w:rsidTr="00A963CC">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BoldandItalics"/>
              </w:rPr>
              <w:t xml:space="preserve">Coaxial cable </w:t>
            </w:r>
            <w:r w:rsidRPr="00A963CC">
              <w:t>may be:</w:t>
            </w:r>
          </w:p>
        </w:tc>
        <w:tc>
          <w:tcPr>
            <w:tcW w:w="6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ListBullet"/>
            </w:pPr>
            <w:r w:rsidRPr="00A963CC">
              <w:t>aerial or underground</w:t>
            </w:r>
          </w:p>
          <w:p w:rsidR="00000000" w:rsidRPr="00A963CC" w:rsidP="00A963CC">
            <w:pPr>
              <w:pStyle w:val="ListBullet"/>
            </w:pPr>
            <w:r w:rsidRPr="00A963CC">
              <w:t>flexible:</w:t>
            </w:r>
          </w:p>
          <w:p w:rsidR="00000000" w:rsidRPr="00A963CC" w:rsidP="00A963CC">
            <w:pPr>
              <w:pStyle w:val="ListBullet2"/>
            </w:pPr>
            <w:r w:rsidRPr="00A963CC">
              <w:t>external</w:t>
            </w:r>
          </w:p>
          <w:p w:rsidR="00000000" w:rsidRPr="00A963CC" w:rsidP="00A963CC">
            <w:pPr>
              <w:pStyle w:val="ListBullet2"/>
            </w:pPr>
            <w:r w:rsidRPr="00A963CC">
              <w:t>internal</w:t>
            </w:r>
          </w:p>
          <w:p w:rsidR="00000000" w:rsidRPr="00A963CC" w:rsidP="00A963CC">
            <w:pPr>
              <w:pStyle w:val="ListBullet"/>
            </w:pPr>
            <w:r w:rsidRPr="00A963CC">
              <w:t>flooded coaxial for underground use</w:t>
            </w:r>
          </w:p>
          <w:p w:rsidR="00000000" w:rsidRPr="00A963CC" w:rsidP="00A963CC">
            <w:pPr>
              <w:pStyle w:val="ListBullet"/>
            </w:pPr>
            <w:r w:rsidRPr="00A963CC">
              <w:t>hard line:</w:t>
            </w:r>
          </w:p>
          <w:p w:rsidR="00000000" w:rsidRPr="00A963CC" w:rsidP="00A963CC">
            <w:pPr>
              <w:pStyle w:val="ListBullet2"/>
            </w:pPr>
            <w:r w:rsidRPr="00A963CC">
              <w:t>external</w:t>
            </w:r>
          </w:p>
          <w:p w:rsidR="00000000" w:rsidRPr="00A963CC" w:rsidP="00A963CC">
            <w:pPr>
              <w:pStyle w:val="ListBullet2"/>
            </w:pPr>
            <w:r w:rsidRPr="00A963CC">
              <w:t>internal</w:t>
            </w:r>
          </w:p>
          <w:p w:rsidR="00000000" w:rsidRPr="00A963CC" w:rsidP="00A963CC">
            <w:pPr>
              <w:pStyle w:val="ListBullet"/>
            </w:pPr>
            <w:r w:rsidRPr="00A963CC">
              <w:t>powered or unpowered</w:t>
            </w:r>
          </w:p>
          <w:p w:rsidR="00000000" w:rsidP="00A963CC">
            <w:pPr>
              <w:pStyle w:val="ListBullet"/>
              <w:rPr>
                <w:lang w:val="en-NZ"/>
              </w:rPr>
            </w:pPr>
            <w:r w:rsidRPr="00A963CC">
              <w:t>RG6 and RG11 quad shield.</w:t>
            </w:r>
          </w:p>
        </w:tc>
      </w:tr>
      <w:tr w:rsidTr="00A963CC">
        <w:tblPrEx>
          <w:tblW w:w="0" w:type="auto"/>
          <w:tblLayout w:type="fixed"/>
          <w:tblCellMar>
            <w:left w:w="62" w:type="dxa"/>
            <w:right w:w="62" w:type="dxa"/>
          </w:tblCellMar>
          <w:tblLook w:val="0000"/>
        </w:tblPrEx>
        <w:trPr>
          <w:trHeight w:val="227"/>
        </w:trPr>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BoldandItalics"/>
              </w:rPr>
              <w:t xml:space="preserve">Manufacturer specifications </w:t>
            </w:r>
            <w:r w:rsidRPr="00A963CC">
              <w:t>may include:</w:t>
            </w:r>
          </w:p>
        </w:tc>
        <w:tc>
          <w:tcPr>
            <w:tcW w:w="6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ListBullet"/>
            </w:pPr>
            <w:r w:rsidRPr="00A963CC">
              <w:t>electrical characteristics:</w:t>
            </w:r>
          </w:p>
          <w:p w:rsidR="00000000" w:rsidRPr="00A963CC" w:rsidP="00A963CC">
            <w:pPr>
              <w:pStyle w:val="ListBullet2"/>
            </w:pPr>
            <w:r w:rsidRPr="00A963CC">
              <w:t>isolation voltage</w:t>
            </w:r>
          </w:p>
          <w:p w:rsidR="00000000" w:rsidRPr="00A963CC" w:rsidP="00A963CC">
            <w:pPr>
              <w:pStyle w:val="ListBullet2"/>
            </w:pPr>
            <w:r w:rsidRPr="00A963CC">
              <w:t>voltage requirements</w:t>
            </w:r>
          </w:p>
          <w:p w:rsidR="00000000" w:rsidRPr="00A963CC" w:rsidP="00A963CC">
            <w:pPr>
              <w:pStyle w:val="ListBullet"/>
            </w:pPr>
            <w:r w:rsidRPr="00A963CC">
              <w:t>handling instructions</w:t>
            </w:r>
          </w:p>
          <w:p w:rsidR="00000000" w:rsidRPr="00A963CC" w:rsidP="00A963CC">
            <w:pPr>
              <w:pStyle w:val="ListBullet"/>
            </w:pPr>
            <w:r w:rsidRPr="00A963CC">
              <w:t>installation instructions</w:t>
            </w:r>
          </w:p>
          <w:p w:rsidR="00000000" w:rsidRPr="00A963CC" w:rsidP="00A963CC">
            <w:pPr>
              <w:pStyle w:val="ListBullet"/>
            </w:pPr>
            <w:r w:rsidRPr="00A963CC">
              <w:t>performance characteristics:</w:t>
            </w:r>
          </w:p>
          <w:p w:rsidR="00000000" w:rsidRPr="00A963CC" w:rsidP="00A963CC">
            <w:pPr>
              <w:pStyle w:val="ListBullet2"/>
            </w:pPr>
            <w:r w:rsidRPr="00A963CC">
              <w:t>frequency response</w:t>
            </w:r>
          </w:p>
          <w:p w:rsidR="00000000" w:rsidRPr="00A963CC" w:rsidP="00A963CC">
            <w:pPr>
              <w:pStyle w:val="ListBullet2"/>
            </w:pPr>
            <w:r w:rsidRPr="00A963CC">
              <w:t>impedance</w:t>
            </w:r>
          </w:p>
          <w:p w:rsidR="00000000" w:rsidRPr="00A963CC" w:rsidP="00A963CC">
            <w:pPr>
              <w:pStyle w:val="ListBullet2"/>
            </w:pPr>
            <w:r w:rsidRPr="00A963CC">
              <w:t>loss</w:t>
            </w:r>
          </w:p>
          <w:p w:rsidR="00000000" w:rsidP="00A963CC">
            <w:pPr>
              <w:pStyle w:val="ListBullet2"/>
              <w:rPr>
                <w:lang w:val="en-NZ"/>
              </w:rPr>
            </w:pPr>
            <w:r w:rsidRPr="00A963CC">
              <w:t>testing details.</w:t>
            </w:r>
          </w:p>
        </w:tc>
      </w:tr>
      <w:tr w:rsidTr="00A963CC">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BoldandItalics"/>
              </w:rPr>
              <w:t xml:space="preserve">Tools </w:t>
            </w:r>
            <w:r w:rsidRPr="00A963CC">
              <w:t xml:space="preserve">may include: </w:t>
            </w:r>
          </w:p>
        </w:tc>
        <w:tc>
          <w:tcPr>
            <w:tcW w:w="6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ListBullet"/>
            </w:pPr>
            <w:r w:rsidRPr="00A963CC">
              <w:t>hand or power tools:</w:t>
            </w:r>
          </w:p>
          <w:p w:rsidR="00000000" w:rsidRPr="00A963CC" w:rsidP="00A963CC">
            <w:pPr>
              <w:pStyle w:val="ListBullet2"/>
            </w:pPr>
            <w:r w:rsidRPr="00A963CC">
              <w:t>connector gauges</w:t>
            </w:r>
          </w:p>
          <w:p w:rsidR="00000000" w:rsidRPr="00A963CC" w:rsidP="00A963CC">
            <w:pPr>
              <w:pStyle w:val="ListBullet2"/>
            </w:pPr>
            <w:r w:rsidRPr="00A963CC">
              <w:t>coring</w:t>
            </w:r>
          </w:p>
          <w:p w:rsidR="00000000" w:rsidRPr="00A963CC" w:rsidP="00A963CC">
            <w:pPr>
              <w:pStyle w:val="ListBullet2"/>
            </w:pPr>
            <w:r w:rsidRPr="00A963CC">
              <w:t>crimping</w:t>
            </w:r>
          </w:p>
          <w:p w:rsidR="00000000" w:rsidRPr="00A963CC" w:rsidP="00A963CC">
            <w:pPr>
              <w:pStyle w:val="ListBullet2"/>
            </w:pPr>
            <w:r w:rsidRPr="00A963CC">
              <w:t>stripping and preparation tool</w:t>
            </w:r>
          </w:p>
          <w:p w:rsidR="00000000" w:rsidP="00A963CC">
            <w:pPr>
              <w:pStyle w:val="ListBullet2"/>
              <w:rPr>
                <w:lang w:val="en-NZ"/>
              </w:rPr>
            </w:pPr>
            <w:r w:rsidRPr="00A963CC">
              <w:t>torque spanner.</w:t>
            </w:r>
          </w:p>
        </w:tc>
      </w:tr>
      <w:tr w:rsidTr="00A963CC">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CC">
            <w:pPr>
              <w:pStyle w:val="BodyText"/>
              <w:rPr>
                <w:lang w:val="en-NZ"/>
              </w:rPr>
            </w:pPr>
            <w:r w:rsidRPr="00A963CC">
              <w:rPr>
                <w:rStyle w:val="BoldandItalics"/>
              </w:rPr>
              <w:t xml:space="preserve">Connectors </w:t>
            </w:r>
            <w:r w:rsidRPr="00A963CC">
              <w:t>may include:</w:t>
            </w:r>
          </w:p>
        </w:tc>
        <w:tc>
          <w:tcPr>
            <w:tcW w:w="6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CC" w:rsidP="00A963CC">
            <w:pPr>
              <w:pStyle w:val="ListBullet"/>
            </w:pPr>
            <w:r w:rsidRPr="00A963CC">
              <w:t>integral pin</w:t>
            </w:r>
          </w:p>
          <w:p w:rsidR="00000000" w:rsidRPr="00A963CC" w:rsidP="00A963CC">
            <w:pPr>
              <w:pStyle w:val="ListBullet"/>
            </w:pPr>
            <w:r w:rsidRPr="00A963CC">
              <w:t>internal or external</w:t>
            </w:r>
          </w:p>
          <w:p w:rsidR="00000000" w:rsidRPr="00A963CC" w:rsidP="00A963CC">
            <w:pPr>
              <w:pStyle w:val="ListBullet"/>
            </w:pPr>
            <w:r w:rsidRPr="00A963CC">
              <w:t>pin type</w:t>
            </w:r>
          </w:p>
          <w:p w:rsidR="00000000" w:rsidRPr="00A963CC" w:rsidP="00A963CC">
            <w:pPr>
              <w:pStyle w:val="ListBullet"/>
            </w:pPr>
            <w:r w:rsidRPr="00A963CC">
              <w:t>separate pin.</w:t>
            </w:r>
          </w:p>
        </w:tc>
      </w:tr>
    </w:tbl>
    <w:p w:rsidR="00000000" w:rsidRPr="00A963CC" w:rsidP="00A963CC">
      <w:pPr>
        <w:pStyle w:val="BodyText"/>
      </w:pPr>
    </w:p>
    <w:p w:rsidR="00000000" w:rsidRPr="00A963CC" w:rsidP="00A963CC">
      <w:pPr>
        <w:pStyle w:val="AllowPageBreak"/>
      </w:pPr>
    </w:p>
    <w:p w:rsidR="00000000" w:rsidRPr="00A963CC" w:rsidP="00A963CC">
      <w:pPr>
        <w:pStyle w:val="Heading1"/>
      </w:pPr>
      <w:bookmarkStart w:id="12" w:name="O_639372"/>
      <w:bookmarkEnd w:id="12"/>
      <w:r w:rsidRPr="00A963CC">
        <w:t>Unit Sector(s)</w:t>
      </w:r>
    </w:p>
    <w:p w:rsidR="00000000" w:rsidRPr="00A963CC" w:rsidP="00A963CC">
      <w:pPr>
        <w:pStyle w:val="BodyText"/>
      </w:pPr>
      <w:r w:rsidRPr="00A963CC">
        <w:t>Telecommunications - Cabling</w:t>
      </w:r>
    </w:p>
    <w:p w:rsidR="00000000" w:rsidRPr="00A963CC" w:rsidP="00A963CC"/>
    <w:sectPr w:rsidSect="00A963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CC" w:rsidRPr="00546E88" w:rsidP="00546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88" w:rsidP="00A96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46E88" w:rsidP="00A963C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6E88" w:rsidP="00A963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CC" w:rsidRPr="00546E88" w:rsidP="00546E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88" w:rsidRPr="002D2AF8" w:rsidP="00A963CC">
    <w:pPr>
      <w:pStyle w:val="Header"/>
      <w:framePr w:wrap="around"/>
    </w:pPr>
    <w:r>
      <w:fldChar w:fldCharType="begin"/>
    </w:r>
    <w:r>
      <w:instrText xml:space="preserve"> TITLE   \* MERGEFORMAT </w:instrText>
    </w:r>
    <w:r>
      <w:fldChar w:fldCharType="separate"/>
    </w:r>
    <w:r>
      <w:t>ICTCBL2066B Joint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546E88" w:rsidP="00A96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621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700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84F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3CC"/>
    <w:pPr>
      <w:spacing w:before="360" w:after="60"/>
      <w:outlineLvl w:val="0"/>
    </w:pPr>
    <w:rPr>
      <w:sz w:val="32"/>
    </w:rPr>
  </w:style>
  <w:style w:type="paragraph" w:styleId="Heading2">
    <w:name w:val="heading 2"/>
    <w:basedOn w:val="HeadingBase"/>
    <w:next w:val="BodyText"/>
    <w:link w:val="Heading2Char"/>
    <w:qFormat/>
    <w:rsid w:val="00A963CC"/>
    <w:pPr>
      <w:keepLines/>
      <w:spacing w:before="240" w:after="120"/>
      <w:outlineLvl w:val="1"/>
    </w:pPr>
    <w:rPr>
      <w:sz w:val="28"/>
      <w:szCs w:val="40"/>
    </w:rPr>
  </w:style>
  <w:style w:type="paragraph" w:styleId="Heading3">
    <w:name w:val="heading 3"/>
    <w:basedOn w:val="HeadingBase"/>
    <w:next w:val="BodyText"/>
    <w:link w:val="Heading3Char"/>
    <w:qFormat/>
    <w:rsid w:val="00A963CC"/>
    <w:pPr>
      <w:spacing w:before="180" w:after="120"/>
      <w:outlineLvl w:val="2"/>
    </w:pPr>
    <w:rPr>
      <w:spacing w:val="-10"/>
      <w:kern w:val="32"/>
    </w:rPr>
  </w:style>
  <w:style w:type="paragraph" w:styleId="Heading4">
    <w:name w:val="heading 4"/>
    <w:basedOn w:val="HeadingBase"/>
    <w:next w:val="BodyText"/>
    <w:link w:val="Heading4Char"/>
    <w:qFormat/>
    <w:rsid w:val="00A963CC"/>
    <w:pPr>
      <w:spacing w:before="160" w:after="120"/>
      <w:outlineLvl w:val="3"/>
    </w:pPr>
    <w:rPr>
      <w:sz w:val="22"/>
    </w:rPr>
  </w:style>
  <w:style w:type="paragraph" w:styleId="Heading5">
    <w:name w:val="heading 5"/>
    <w:basedOn w:val="HeadingBase"/>
    <w:next w:val="Normal"/>
    <w:link w:val="Heading5Char"/>
    <w:qFormat/>
    <w:rsid w:val="00A963CC"/>
    <w:pPr>
      <w:spacing w:before="80"/>
      <w:outlineLvl w:val="4"/>
    </w:pPr>
    <w:rPr>
      <w:color w:val="918585"/>
      <w:sz w:val="20"/>
    </w:rPr>
  </w:style>
  <w:style w:type="paragraph" w:styleId="Heading6">
    <w:name w:val="heading 6"/>
    <w:basedOn w:val="HeadingBase"/>
    <w:next w:val="Normal"/>
    <w:link w:val="Heading6Char"/>
    <w:qFormat/>
    <w:rsid w:val="00A963CC"/>
    <w:pPr>
      <w:spacing w:before="60"/>
      <w:outlineLvl w:val="5"/>
    </w:pPr>
    <w:rPr>
      <w:color w:val="918585"/>
      <w:sz w:val="20"/>
    </w:rPr>
  </w:style>
  <w:style w:type="paragraph" w:styleId="Heading7">
    <w:name w:val="heading 7"/>
    <w:basedOn w:val="Normal"/>
    <w:next w:val="Normal"/>
    <w:link w:val="Heading7Char"/>
    <w:qFormat/>
    <w:rsid w:val="00A963CC"/>
    <w:pPr>
      <w:ind w:left="720"/>
      <w:outlineLvl w:val="6"/>
    </w:pPr>
    <w:rPr>
      <w:i/>
    </w:rPr>
  </w:style>
  <w:style w:type="paragraph" w:styleId="Heading8">
    <w:name w:val="heading 8"/>
    <w:basedOn w:val="Normal"/>
    <w:next w:val="Normal"/>
    <w:link w:val="Heading8Char"/>
    <w:qFormat/>
    <w:rsid w:val="00A963CC"/>
    <w:pPr>
      <w:ind w:left="720"/>
      <w:outlineLvl w:val="7"/>
    </w:pPr>
    <w:rPr>
      <w:i/>
    </w:rPr>
  </w:style>
  <w:style w:type="paragraph" w:styleId="Heading9">
    <w:name w:val="heading 9"/>
    <w:basedOn w:val="Normal"/>
    <w:next w:val="Normal"/>
    <w:link w:val="Heading9Char"/>
    <w:qFormat/>
    <w:rsid w:val="00A963CC"/>
    <w:pPr>
      <w:ind w:left="720"/>
      <w:outlineLvl w:val="8"/>
    </w:pPr>
    <w:rPr>
      <w:i/>
    </w:rPr>
  </w:style>
  <w:style w:type="character" w:default="1" w:styleId="DefaultParagraphFont">
    <w:name w:val="Default Paragraph Font"/>
    <w:uiPriority w:val="1"/>
    <w:unhideWhenUsed/>
    <w:rsid w:val="00A96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3CC"/>
  </w:style>
  <w:style w:type="character" w:customStyle="1" w:styleId="Heading1Char">
    <w:name w:val="Heading 1 Char"/>
    <w:basedOn w:val="DefaultParagraphFont"/>
    <w:link w:val="Heading1"/>
    <w:rsid w:val="00A963CC"/>
    <w:rPr>
      <w:rFonts w:ascii="Times New Roman" w:eastAsia="Times New Roman" w:hAnsi="Times New Roman" w:cs="Times New Roman"/>
      <w:b/>
      <w:sz w:val="32"/>
      <w:szCs w:val="20"/>
      <w:lang w:eastAsia="en-US"/>
    </w:rPr>
  </w:style>
  <w:style w:type="paragraph" w:styleId="BodyText">
    <w:name w:val="Body Text"/>
    <w:basedOn w:val="Normal"/>
    <w:link w:val="BodyTextChar"/>
    <w:rsid w:val="00A963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3CC"/>
    <w:rPr>
      <w:rFonts w:ascii="Times New Roman" w:eastAsia="Times New Roman" w:hAnsi="Times New Roman" w:cs="Times New Roman"/>
      <w:sz w:val="24"/>
      <w:lang w:eastAsia="en-US"/>
    </w:rPr>
  </w:style>
  <w:style w:type="paragraph" w:styleId="ListBullet">
    <w:name w:val="List Bullet"/>
    <w:basedOn w:val="List"/>
    <w:rsid w:val="00A963CC"/>
    <w:pPr>
      <w:numPr>
        <w:numId w:val="13"/>
      </w:numPr>
      <w:tabs>
        <w:tab w:val="clear" w:pos="340"/>
      </w:tabs>
      <w:spacing w:before="40" w:after="40"/>
    </w:pPr>
  </w:style>
  <w:style w:type="character" w:customStyle="1" w:styleId="SpecialBold">
    <w:name w:val="Special Bold"/>
    <w:basedOn w:val="DefaultParagraphFont"/>
    <w:rsid w:val="00A963CC"/>
    <w:rPr>
      <w:b/>
      <w:spacing w:val="0"/>
    </w:rPr>
  </w:style>
  <w:style w:type="paragraph" w:styleId="ListBullet2">
    <w:name w:val="List Bullet 2"/>
    <w:basedOn w:val="List2"/>
    <w:rsid w:val="00A963CC"/>
    <w:pPr>
      <w:numPr>
        <w:numId w:val="14"/>
      </w:numPr>
      <w:tabs>
        <w:tab w:val="clear" w:pos="680"/>
      </w:tabs>
    </w:pPr>
  </w:style>
  <w:style w:type="character" w:styleId="Emphasis">
    <w:name w:val="Emphasis"/>
    <w:basedOn w:val="DefaultParagraphFont"/>
    <w:qFormat/>
    <w:rsid w:val="00A963CC"/>
    <w:rPr>
      <w:i/>
    </w:rPr>
  </w:style>
  <w:style w:type="paragraph" w:customStyle="1" w:styleId="SuperHeading">
    <w:name w:val="SuperHeading"/>
    <w:basedOn w:val="Normal"/>
    <w:rsid w:val="00A963CC"/>
    <w:pPr>
      <w:spacing w:before="240" w:after="120"/>
      <w:outlineLvl w:val="0"/>
    </w:pPr>
    <w:rPr>
      <w:rFonts w:ascii="Times New Roman" w:hAnsi="Times New Roman"/>
      <w:b/>
      <w:sz w:val="32"/>
    </w:rPr>
  </w:style>
  <w:style w:type="paragraph" w:customStyle="1" w:styleId="AllowPageBreak">
    <w:name w:val="AllowPageBreak"/>
    <w:rsid w:val="00A963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63CC"/>
    <w:rPr>
      <w:b/>
      <w:i/>
      <w:u w:val="none"/>
    </w:rPr>
  </w:style>
  <w:style w:type="character" w:customStyle="1" w:styleId="Heading2Char">
    <w:name w:val="Heading 2 Char"/>
    <w:basedOn w:val="DefaultParagraphFont"/>
    <w:link w:val="Heading2"/>
    <w:rsid w:val="00A96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3CC"/>
    <w:rPr>
      <w:rFonts w:ascii="Courier New" w:eastAsia="Times New Roman" w:hAnsi="Courier New" w:cs="Times New Roman"/>
      <w:i/>
      <w:szCs w:val="20"/>
      <w:lang w:eastAsia="en-US"/>
    </w:rPr>
  </w:style>
  <w:style w:type="paragraph" w:customStyle="1" w:styleId="HeadingBase">
    <w:name w:val="Heading Base"/>
    <w:rsid w:val="00A96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3CC"/>
    <w:pPr>
      <w:tabs>
        <w:tab w:val="right" w:leader="dot" w:pos="9072"/>
      </w:tabs>
      <w:ind w:left="567"/>
    </w:pPr>
    <w:rPr>
      <w:szCs w:val="22"/>
    </w:rPr>
  </w:style>
  <w:style w:type="paragraph" w:customStyle="1" w:styleId="TOCBase">
    <w:name w:val="TOC Base"/>
    <w:rsid w:val="00A96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3CC"/>
    <w:pPr>
      <w:tabs>
        <w:tab w:val="right" w:leader="dot" w:pos="9072"/>
      </w:tabs>
      <w:spacing w:before="40" w:after="40"/>
      <w:ind w:left="284"/>
    </w:pPr>
    <w:rPr>
      <w:rFonts w:ascii="Times New Roman" w:hAnsi="Times New Roman"/>
    </w:rPr>
  </w:style>
  <w:style w:type="paragraph" w:styleId="TOC1">
    <w:name w:val="toc 1"/>
    <w:basedOn w:val="TOCBase"/>
    <w:next w:val="Normal"/>
    <w:rsid w:val="00A963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3CC"/>
    <w:rPr>
      <w:rFonts w:ascii="Times New Roman" w:eastAsia="Times New Roman" w:hAnsi="Times New Roman" w:cs="Times New Roman"/>
      <w:sz w:val="16"/>
      <w:lang w:eastAsia="en-US"/>
    </w:rPr>
  </w:style>
  <w:style w:type="paragraph" w:styleId="Title">
    <w:name w:val="Title"/>
    <w:basedOn w:val="HeadingBase"/>
    <w:link w:val="TitleChar"/>
    <w:qFormat/>
    <w:rsid w:val="00A963CC"/>
    <w:pPr>
      <w:spacing w:before="5040"/>
      <w:jc w:val="center"/>
    </w:pPr>
    <w:rPr>
      <w:sz w:val="48"/>
      <w:szCs w:val="72"/>
      <w:lang w:val="en-US"/>
    </w:rPr>
  </w:style>
  <w:style w:type="character" w:customStyle="1" w:styleId="TitleChar">
    <w:name w:val="Title Char"/>
    <w:basedOn w:val="DefaultParagraphFont"/>
    <w:link w:val="Title"/>
    <w:rsid w:val="00A96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3CC"/>
    <w:pPr>
      <w:tabs>
        <w:tab w:val="left" w:pos="3600"/>
        <w:tab w:val="left" w:pos="3958"/>
      </w:tabs>
    </w:pPr>
  </w:style>
  <w:style w:type="paragraph" w:styleId="List">
    <w:name w:val="List"/>
    <w:basedOn w:val="BodyText"/>
    <w:next w:val="BodyText"/>
    <w:rsid w:val="00A963CC"/>
    <w:pPr>
      <w:tabs>
        <w:tab w:val="left" w:pos="340"/>
      </w:tabs>
      <w:spacing w:before="60" w:after="60"/>
      <w:ind w:left="340" w:hanging="340"/>
    </w:pPr>
  </w:style>
  <w:style w:type="paragraph" w:customStyle="1" w:styleId="Note">
    <w:name w:val="Note"/>
    <w:basedOn w:val="BodyText"/>
    <w:rsid w:val="00A96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3CC"/>
    <w:pPr>
      <w:framePr w:wrap="auto" w:hAnchor="text" w:y="6049"/>
    </w:pPr>
    <w:rPr>
      <w:color w:val="000000"/>
      <w:sz w:val="40"/>
    </w:rPr>
  </w:style>
  <w:style w:type="paragraph" w:customStyle="1" w:styleId="TOCTitle">
    <w:name w:val="TOCTitle"/>
    <w:basedOn w:val="Heading1"/>
    <w:rsid w:val="00A963CC"/>
    <w:pPr>
      <w:spacing w:after="240"/>
      <w:jc w:val="center"/>
      <w:outlineLvl w:val="9"/>
    </w:pPr>
    <w:rPr>
      <w:caps/>
    </w:rPr>
  </w:style>
  <w:style w:type="paragraph" w:customStyle="1" w:styleId="Version">
    <w:name w:val="Version"/>
    <w:rsid w:val="00A963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3CC"/>
    <w:pPr>
      <w:keepNext w:val="0"/>
      <w:tabs>
        <w:tab w:val="right" w:pos="4176"/>
      </w:tabs>
      <w:ind w:left="198" w:hanging="198"/>
    </w:pPr>
    <w:rPr>
      <w:rFonts w:ascii="Garamond" w:hAnsi="Garamond"/>
    </w:rPr>
  </w:style>
  <w:style w:type="paragraph" w:styleId="IndexHeading">
    <w:name w:val="index heading"/>
    <w:basedOn w:val="Normal"/>
    <w:next w:val="Index1"/>
    <w:semiHidden/>
    <w:rsid w:val="00A963CC"/>
    <w:pPr>
      <w:spacing w:before="120" w:after="120"/>
    </w:pPr>
    <w:rPr>
      <w:rFonts w:ascii="Arial" w:hAnsi="Arial"/>
      <w:b/>
      <w:color w:val="918585"/>
      <w:sz w:val="24"/>
    </w:rPr>
  </w:style>
  <w:style w:type="paragraph" w:styleId="Header">
    <w:name w:val="header"/>
    <w:basedOn w:val="Normal"/>
    <w:link w:val="HeaderChar"/>
    <w:rsid w:val="00A96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3CC"/>
    <w:rPr>
      <w:rFonts w:ascii="Times New Roman" w:eastAsia="Times New Roman" w:hAnsi="Times New Roman" w:cs="Times New Roman"/>
      <w:sz w:val="16"/>
      <w:szCs w:val="20"/>
      <w:lang w:val="en-GB" w:eastAsia="en-US"/>
    </w:rPr>
  </w:style>
  <w:style w:type="paragraph" w:customStyle="1" w:styleId="Chapter">
    <w:name w:val="Chapter"/>
    <w:basedOn w:val="Normal"/>
    <w:rsid w:val="00A963CC"/>
    <w:pPr>
      <w:spacing w:before="240"/>
    </w:pPr>
    <w:rPr>
      <w:rFonts w:ascii="Times New Roman" w:hAnsi="Times New Roman"/>
      <w:smallCaps/>
      <w:spacing w:val="80"/>
      <w:sz w:val="28"/>
    </w:rPr>
  </w:style>
  <w:style w:type="paragraph" w:customStyle="1" w:styleId="InChapter">
    <w:name w:val="InChapter"/>
    <w:basedOn w:val="Heading3"/>
    <w:rsid w:val="00A963CC"/>
    <w:pPr>
      <w:spacing w:after="240"/>
      <w:outlineLvl w:val="9"/>
    </w:pPr>
    <w:rPr>
      <w:noProof/>
    </w:rPr>
  </w:style>
  <w:style w:type="paragraph" w:styleId="Index2">
    <w:name w:val="index 2"/>
    <w:basedOn w:val="Normal"/>
    <w:next w:val="Normal"/>
    <w:semiHidden/>
    <w:rsid w:val="00A963CC"/>
    <w:pPr>
      <w:tabs>
        <w:tab w:val="right" w:pos="4176"/>
      </w:tabs>
      <w:ind w:left="568" w:hanging="284"/>
    </w:pPr>
    <w:rPr>
      <w:rFonts w:ascii="Garamond" w:hAnsi="Garamond"/>
    </w:rPr>
  </w:style>
  <w:style w:type="paragraph" w:customStyle="1" w:styleId="Byline">
    <w:name w:val="Byline"/>
    <w:rsid w:val="00A96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3CC"/>
    <w:pPr>
      <w:tabs>
        <w:tab w:val="clear" w:pos="3600"/>
        <w:tab w:val="clear" w:pos="3958"/>
      </w:tabs>
      <w:jc w:val="right"/>
    </w:pPr>
  </w:style>
  <w:style w:type="paragraph" w:styleId="Caption">
    <w:name w:val="caption"/>
    <w:basedOn w:val="BodyText"/>
    <w:next w:val="Normal"/>
    <w:qFormat/>
    <w:rsid w:val="00A963CC"/>
    <w:pPr>
      <w:framePr w:w="2268" w:hSpace="181" w:vSpace="181" w:wrap="around" w:vAnchor="text" w:hAnchor="page" w:x="1135" w:y="285" w:anchorLock="1"/>
    </w:pPr>
    <w:rPr>
      <w:i/>
    </w:rPr>
  </w:style>
  <w:style w:type="paragraph" w:customStyle="1" w:styleId="MiniTOCTitle">
    <w:name w:val="MiniTOCTitle"/>
    <w:basedOn w:val="Heading4"/>
    <w:rsid w:val="00A963CC"/>
    <w:pPr>
      <w:spacing w:before="240"/>
      <w:outlineLvl w:val="9"/>
    </w:pPr>
    <w:rPr>
      <w:noProof/>
      <w:sz w:val="24"/>
    </w:rPr>
  </w:style>
  <w:style w:type="paragraph" w:customStyle="1" w:styleId="MiniTOCItem">
    <w:name w:val="MiniTOCItem"/>
    <w:basedOn w:val="ListBullet"/>
    <w:rsid w:val="00A963CC"/>
    <w:pPr>
      <w:numPr>
        <w:numId w:val="0"/>
      </w:numPr>
      <w:tabs>
        <w:tab w:val="right" w:leader="dot" w:pos="6521"/>
      </w:tabs>
      <w:spacing w:before="0" w:after="0"/>
    </w:pPr>
  </w:style>
  <w:style w:type="paragraph" w:customStyle="1" w:styleId="TOFTitle">
    <w:name w:val="TOFTitle"/>
    <w:basedOn w:val="TOCTitle"/>
    <w:rsid w:val="00A963CC"/>
  </w:style>
  <w:style w:type="paragraph" w:styleId="TableofFigures">
    <w:name w:val="table of figures"/>
    <w:basedOn w:val="Normal"/>
    <w:next w:val="Normal"/>
    <w:semiHidden/>
    <w:rsid w:val="00A963CC"/>
    <w:pPr>
      <w:tabs>
        <w:tab w:val="right" w:leader="dot" w:pos="9072"/>
      </w:tabs>
      <w:ind w:left="970" w:hanging="403"/>
    </w:pPr>
    <w:rPr>
      <w:rFonts w:ascii="Times New Roman" w:hAnsi="Times New Roman"/>
      <w:b/>
    </w:rPr>
  </w:style>
  <w:style w:type="paragraph" w:styleId="ListNumber">
    <w:name w:val="List Number"/>
    <w:basedOn w:val="List"/>
    <w:rsid w:val="00A963CC"/>
    <w:pPr>
      <w:numPr>
        <w:numId w:val="11"/>
      </w:numPr>
    </w:pPr>
  </w:style>
  <w:style w:type="character" w:customStyle="1" w:styleId="WingdingSymbols">
    <w:name w:val="Wingding Symbols"/>
    <w:rsid w:val="00A963CC"/>
    <w:rPr>
      <w:rFonts w:ascii="Wingdings" w:hAnsi="Wingdings"/>
    </w:rPr>
  </w:style>
  <w:style w:type="paragraph" w:customStyle="1" w:styleId="TableHeading">
    <w:name w:val="Table Heading"/>
    <w:basedOn w:val="HeadingBase"/>
    <w:rsid w:val="00A963CC"/>
    <w:pPr>
      <w:keepLines/>
      <w:pBdr>
        <w:bottom w:val="single" w:sz="6" w:space="1" w:color="918585"/>
      </w:pBdr>
      <w:spacing w:before="240"/>
    </w:pPr>
  </w:style>
  <w:style w:type="character" w:customStyle="1" w:styleId="HotSpot">
    <w:name w:val="HotSpot"/>
    <w:rsid w:val="00A963CC"/>
    <w:rPr>
      <w:color w:val="0033CC"/>
      <w:u w:val="none"/>
    </w:rPr>
  </w:style>
  <w:style w:type="paragraph" w:customStyle="1" w:styleId="BodyTextRight">
    <w:name w:val="Body Text Right"/>
    <w:basedOn w:val="BodyText"/>
    <w:rsid w:val="00A963CC"/>
    <w:pPr>
      <w:spacing w:before="0" w:after="0"/>
      <w:jc w:val="right"/>
    </w:pPr>
  </w:style>
  <w:style w:type="paragraph" w:styleId="Index3">
    <w:name w:val="index 3"/>
    <w:basedOn w:val="ListNumber2"/>
    <w:next w:val="Normal"/>
    <w:semiHidden/>
    <w:rsid w:val="00A963CC"/>
    <w:pPr>
      <w:numPr>
        <w:numId w:val="0"/>
      </w:numPr>
      <w:tabs>
        <w:tab w:val="right" w:leader="dot" w:pos="4176"/>
      </w:tabs>
    </w:pPr>
  </w:style>
  <w:style w:type="paragraph" w:styleId="ListNumber2">
    <w:name w:val="List Number 2"/>
    <w:basedOn w:val="List2"/>
    <w:rsid w:val="00A963CC"/>
    <w:pPr>
      <w:numPr>
        <w:numId w:val="10"/>
      </w:numPr>
      <w:tabs>
        <w:tab w:val="clear" w:pos="1060"/>
      </w:tabs>
    </w:pPr>
  </w:style>
  <w:style w:type="paragraph" w:customStyle="1" w:styleId="MarginNote">
    <w:name w:val="Margin Note"/>
    <w:basedOn w:val="BodyText"/>
    <w:rsid w:val="00A96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3CC"/>
    <w:rPr>
      <w:sz w:val="32"/>
    </w:rPr>
  </w:style>
  <w:style w:type="paragraph" w:customStyle="1" w:styleId="HeadingProcedure">
    <w:name w:val="Heading Procedure"/>
    <w:basedOn w:val="HeadingBase"/>
    <w:next w:val="Normal"/>
    <w:rsid w:val="00A963CC"/>
    <w:pPr>
      <w:tabs>
        <w:tab w:val="left" w:pos="0"/>
      </w:tabs>
      <w:spacing w:before="120" w:after="60"/>
    </w:pPr>
    <w:rPr>
      <w:i/>
      <w:color w:val="918585"/>
      <w:sz w:val="22"/>
    </w:rPr>
  </w:style>
  <w:style w:type="paragraph" w:customStyle="1" w:styleId="TableBodyText">
    <w:name w:val="Table Body Text"/>
    <w:basedOn w:val="BodyText"/>
    <w:rsid w:val="00A963CC"/>
    <w:pPr>
      <w:spacing w:before="60" w:after="60"/>
    </w:pPr>
  </w:style>
  <w:style w:type="paragraph" w:styleId="ListContinue">
    <w:name w:val="List Continue"/>
    <w:basedOn w:val="List"/>
    <w:rsid w:val="00A963CC"/>
    <w:pPr>
      <w:ind w:firstLine="0"/>
    </w:pPr>
  </w:style>
  <w:style w:type="paragraph" w:customStyle="1" w:styleId="ListNote">
    <w:name w:val="List Note"/>
    <w:basedOn w:val="List"/>
    <w:rsid w:val="00A963CC"/>
    <w:pPr>
      <w:pBdr>
        <w:top w:val="single" w:sz="6" w:space="2" w:color="918585"/>
        <w:bottom w:val="single" w:sz="6" w:space="2" w:color="918585"/>
      </w:pBdr>
      <w:tabs>
        <w:tab w:val="left" w:pos="1021"/>
      </w:tabs>
      <w:ind w:firstLine="0"/>
    </w:pPr>
  </w:style>
  <w:style w:type="paragraph" w:customStyle="1" w:styleId="Warning">
    <w:name w:val="Warning"/>
    <w:basedOn w:val="BodyText"/>
    <w:rsid w:val="00A963CC"/>
    <w:pPr>
      <w:shd w:val="clear" w:color="auto" w:fill="D9D9D9"/>
      <w:tabs>
        <w:tab w:val="left" w:pos="992"/>
      </w:tabs>
      <w:ind w:left="119" w:right="119"/>
    </w:pPr>
    <w:rPr>
      <w:sz w:val="20"/>
    </w:rPr>
  </w:style>
  <w:style w:type="paragraph" w:customStyle="1" w:styleId="MarginIcons">
    <w:name w:val="Margin Icons"/>
    <w:basedOn w:val="BodyText"/>
    <w:rsid w:val="00A96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3CC"/>
    <w:rPr>
      <w:rFonts w:ascii="Courier New" w:hAnsi="Courier New"/>
    </w:rPr>
  </w:style>
  <w:style w:type="paragraph" w:customStyle="1" w:styleId="NoteBullet">
    <w:name w:val="Note Bullet"/>
    <w:basedOn w:val="Note"/>
    <w:rsid w:val="00A963CC"/>
    <w:pPr>
      <w:tabs>
        <w:tab w:val="clear" w:pos="680"/>
      </w:tabs>
      <w:spacing w:before="60" w:after="60"/>
    </w:pPr>
  </w:style>
  <w:style w:type="paragraph" w:customStyle="1" w:styleId="SubHeading2">
    <w:name w:val="SubHeading2"/>
    <w:basedOn w:val="HeadingBase"/>
    <w:rsid w:val="00A963CC"/>
    <w:pPr>
      <w:spacing w:before="240" w:after="60"/>
    </w:pPr>
    <w:rPr>
      <w:sz w:val="20"/>
    </w:rPr>
  </w:style>
  <w:style w:type="paragraph" w:customStyle="1" w:styleId="SubHeading1">
    <w:name w:val="SubHeading1"/>
    <w:basedOn w:val="HeadingBase"/>
    <w:rsid w:val="00A963CC"/>
    <w:pPr>
      <w:spacing w:before="240" w:after="60"/>
    </w:pPr>
    <w:rPr>
      <w:color w:val="918585"/>
      <w:sz w:val="22"/>
    </w:rPr>
  </w:style>
  <w:style w:type="paragraph" w:customStyle="1" w:styleId="SideHeading">
    <w:name w:val="Side Heading"/>
    <w:basedOn w:val="HeadingBase"/>
    <w:rsid w:val="00A96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3CC"/>
    <w:pPr>
      <w:numPr>
        <w:numId w:val="12"/>
      </w:numPr>
    </w:pPr>
  </w:style>
  <w:style w:type="paragraph" w:styleId="PlainText">
    <w:name w:val="Plain Text"/>
    <w:basedOn w:val="Normal"/>
    <w:link w:val="PlainTextChar"/>
    <w:rsid w:val="00A963CC"/>
    <w:rPr>
      <w:sz w:val="20"/>
    </w:rPr>
  </w:style>
  <w:style w:type="character" w:customStyle="1" w:styleId="PlainTextChar">
    <w:name w:val="Plain Text Char"/>
    <w:basedOn w:val="DefaultParagraphFont"/>
    <w:link w:val="PlainText"/>
    <w:rsid w:val="00A963CC"/>
    <w:rPr>
      <w:rFonts w:ascii="Courier New" w:eastAsia="Times New Roman" w:hAnsi="Courier New" w:cs="Times New Roman"/>
      <w:sz w:val="20"/>
      <w:szCs w:val="20"/>
      <w:lang w:eastAsia="en-US"/>
    </w:rPr>
  </w:style>
  <w:style w:type="character" w:customStyle="1" w:styleId="MenuOption">
    <w:name w:val="Menu Option"/>
    <w:basedOn w:val="DefaultParagraphFont"/>
    <w:rsid w:val="00A963CC"/>
    <w:rPr>
      <w:b/>
      <w:smallCaps/>
    </w:rPr>
  </w:style>
  <w:style w:type="paragraph" w:customStyle="1" w:styleId="TableListNumber">
    <w:name w:val="Table List Number"/>
    <w:basedOn w:val="ListNumber"/>
    <w:rsid w:val="00A963CC"/>
    <w:pPr>
      <w:numPr>
        <w:numId w:val="0"/>
      </w:numPr>
    </w:pPr>
  </w:style>
  <w:style w:type="paragraph" w:styleId="TOC4">
    <w:name w:val="toc 4"/>
    <w:basedOn w:val="TOCBase"/>
    <w:next w:val="Normal"/>
    <w:semiHidden/>
    <w:rsid w:val="00A963CC"/>
    <w:pPr>
      <w:tabs>
        <w:tab w:val="right" w:leader="dot" w:pos="9071"/>
      </w:tabs>
      <w:ind w:left="1701"/>
    </w:pPr>
  </w:style>
  <w:style w:type="paragraph" w:customStyle="1" w:styleId="ListAlpha">
    <w:name w:val="List Alpha"/>
    <w:basedOn w:val="List"/>
    <w:rsid w:val="00A963CC"/>
    <w:pPr>
      <w:numPr>
        <w:numId w:val="9"/>
      </w:numPr>
    </w:pPr>
  </w:style>
  <w:style w:type="paragraph" w:customStyle="1" w:styleId="ListAlpha2">
    <w:name w:val="List Alpha 2"/>
    <w:basedOn w:val="List2"/>
    <w:rsid w:val="00A963CC"/>
    <w:pPr>
      <w:numPr>
        <w:numId w:val="8"/>
      </w:numPr>
    </w:pPr>
  </w:style>
  <w:style w:type="paragraph" w:styleId="List2">
    <w:name w:val="List 2"/>
    <w:basedOn w:val="BodyText"/>
    <w:rsid w:val="00A963CC"/>
    <w:pPr>
      <w:tabs>
        <w:tab w:val="left" w:pos="680"/>
      </w:tabs>
      <w:spacing w:before="60" w:after="60"/>
      <w:ind w:left="680" w:hanging="340"/>
    </w:pPr>
  </w:style>
  <w:style w:type="paragraph" w:styleId="List3">
    <w:name w:val="List 3"/>
    <w:basedOn w:val="BodyText"/>
    <w:rsid w:val="00A963CC"/>
    <w:pPr>
      <w:tabs>
        <w:tab w:val="left" w:pos="1021"/>
      </w:tabs>
      <w:spacing w:before="60" w:after="60"/>
      <w:ind w:left="1020" w:hanging="340"/>
    </w:pPr>
  </w:style>
  <w:style w:type="paragraph" w:styleId="List4">
    <w:name w:val="List 4"/>
    <w:basedOn w:val="BodyText"/>
    <w:rsid w:val="00A963CC"/>
    <w:pPr>
      <w:tabs>
        <w:tab w:val="left" w:pos="1361"/>
      </w:tabs>
      <w:spacing w:before="60" w:after="60"/>
      <w:ind w:left="1361" w:hanging="340"/>
    </w:pPr>
  </w:style>
  <w:style w:type="paragraph" w:styleId="List5">
    <w:name w:val="List 5"/>
    <w:basedOn w:val="BodyText"/>
    <w:rsid w:val="00A963CC"/>
    <w:pPr>
      <w:tabs>
        <w:tab w:val="left" w:pos="1701"/>
      </w:tabs>
      <w:spacing w:before="60" w:after="60"/>
      <w:ind w:left="1701" w:hanging="340"/>
    </w:pPr>
  </w:style>
  <w:style w:type="paragraph" w:styleId="ListBullet3">
    <w:name w:val="List Bullet 3"/>
    <w:basedOn w:val="List3"/>
    <w:rsid w:val="00A963CC"/>
    <w:pPr>
      <w:numPr>
        <w:numId w:val="15"/>
      </w:numPr>
      <w:tabs>
        <w:tab w:val="clear" w:pos="1021"/>
      </w:tabs>
      <w:ind w:left="1037" w:hanging="357"/>
    </w:pPr>
  </w:style>
  <w:style w:type="paragraph" w:styleId="ListBullet4">
    <w:name w:val="List Bullet 4"/>
    <w:basedOn w:val="List4"/>
    <w:rsid w:val="00A963CC"/>
    <w:pPr>
      <w:numPr>
        <w:numId w:val="3"/>
      </w:numPr>
    </w:pPr>
  </w:style>
  <w:style w:type="paragraph" w:styleId="ListBullet5">
    <w:name w:val="List Bullet 5"/>
    <w:basedOn w:val="List5"/>
    <w:rsid w:val="00A963CC"/>
    <w:pPr>
      <w:numPr>
        <w:numId w:val="4"/>
      </w:numPr>
    </w:pPr>
  </w:style>
  <w:style w:type="paragraph" w:styleId="ListContinue2">
    <w:name w:val="List Continue 2"/>
    <w:basedOn w:val="List2"/>
    <w:rsid w:val="00A963CC"/>
    <w:pPr>
      <w:ind w:firstLine="0"/>
    </w:pPr>
  </w:style>
  <w:style w:type="paragraph" w:styleId="ListContinue3">
    <w:name w:val="List Continue 3"/>
    <w:basedOn w:val="List3"/>
    <w:rsid w:val="00A963CC"/>
    <w:pPr>
      <w:ind w:left="1021" w:firstLine="0"/>
    </w:pPr>
  </w:style>
  <w:style w:type="paragraph" w:styleId="ListContinue4">
    <w:name w:val="List Continue 4"/>
    <w:basedOn w:val="List4"/>
    <w:rsid w:val="00A963CC"/>
    <w:pPr>
      <w:ind w:firstLine="0"/>
    </w:pPr>
  </w:style>
  <w:style w:type="paragraph" w:styleId="ListContinue5">
    <w:name w:val="List Continue 5"/>
    <w:basedOn w:val="List5"/>
    <w:rsid w:val="00A963CC"/>
    <w:pPr>
      <w:ind w:firstLine="0"/>
    </w:pPr>
  </w:style>
  <w:style w:type="paragraph" w:styleId="ListNumber3">
    <w:name w:val="List Number 3"/>
    <w:basedOn w:val="List3"/>
    <w:rsid w:val="00A963CC"/>
    <w:pPr>
      <w:numPr>
        <w:numId w:val="5"/>
      </w:numPr>
    </w:pPr>
  </w:style>
  <w:style w:type="paragraph" w:styleId="ListNumber4">
    <w:name w:val="List Number 4"/>
    <w:basedOn w:val="List4"/>
    <w:rsid w:val="00A963CC"/>
    <w:pPr>
      <w:numPr>
        <w:numId w:val="6"/>
      </w:numPr>
    </w:pPr>
  </w:style>
  <w:style w:type="paragraph" w:styleId="ListNumber5">
    <w:name w:val="List Number 5"/>
    <w:basedOn w:val="List5"/>
    <w:rsid w:val="00A963CC"/>
    <w:pPr>
      <w:numPr>
        <w:numId w:val="7"/>
      </w:numPr>
    </w:pPr>
  </w:style>
  <w:style w:type="paragraph" w:styleId="BlockText">
    <w:name w:val="Block Text"/>
    <w:basedOn w:val="Normal"/>
    <w:rsid w:val="00A963CC"/>
    <w:pPr>
      <w:spacing w:after="120"/>
      <w:ind w:left="1440" w:right="1440"/>
    </w:pPr>
  </w:style>
  <w:style w:type="character" w:customStyle="1" w:styleId="Subscript">
    <w:name w:val="Subscript"/>
    <w:basedOn w:val="DefaultParagraphFont"/>
    <w:rsid w:val="00A963CC"/>
    <w:rPr>
      <w:sz w:val="16"/>
      <w:vertAlign w:val="subscript"/>
    </w:rPr>
  </w:style>
  <w:style w:type="character" w:customStyle="1" w:styleId="Superscript">
    <w:name w:val="Superscript"/>
    <w:basedOn w:val="DefaultParagraphFont"/>
    <w:rsid w:val="00A963CC"/>
    <w:rPr>
      <w:sz w:val="16"/>
      <w:vertAlign w:val="superscript"/>
    </w:rPr>
  </w:style>
  <w:style w:type="character" w:customStyle="1" w:styleId="Symbols">
    <w:name w:val="Symbols"/>
    <w:basedOn w:val="DefaultParagraphFont"/>
    <w:rsid w:val="00A963CC"/>
    <w:rPr>
      <w:rFonts w:ascii="Symbol" w:hAnsi="Symbol"/>
    </w:rPr>
  </w:style>
  <w:style w:type="character" w:customStyle="1" w:styleId="MenuOptions">
    <w:name w:val="Menu Options"/>
    <w:basedOn w:val="DefaultParagraphFont"/>
    <w:rsid w:val="00A963CC"/>
    <w:rPr>
      <w:rFonts w:ascii="Arial Narrow" w:hAnsi="Arial Narrow"/>
      <w:smallCaps/>
    </w:rPr>
  </w:style>
  <w:style w:type="character" w:customStyle="1" w:styleId="Buttons">
    <w:name w:val="Buttons"/>
    <w:basedOn w:val="DefaultParagraphFont"/>
    <w:rsid w:val="00A963CC"/>
    <w:rPr>
      <w:b/>
    </w:rPr>
  </w:style>
  <w:style w:type="character" w:customStyle="1" w:styleId="Underlined">
    <w:name w:val="Underlined"/>
    <w:basedOn w:val="DefaultParagraphFont"/>
    <w:rsid w:val="00A963CC"/>
    <w:rPr>
      <w:u w:val="single"/>
    </w:rPr>
  </w:style>
  <w:style w:type="paragraph" w:customStyle="1" w:styleId="TableBodyTextRight">
    <w:name w:val="Table Body Text Right"/>
    <w:basedOn w:val="TableBodyText"/>
    <w:rsid w:val="00A963CC"/>
    <w:pPr>
      <w:widowControl w:val="0"/>
      <w:autoSpaceDE w:val="0"/>
      <w:autoSpaceDN w:val="0"/>
      <w:adjustRightInd w:val="0"/>
      <w:jc w:val="right"/>
    </w:pPr>
    <w:rPr>
      <w:rFonts w:cs="Arial"/>
      <w:szCs w:val="18"/>
    </w:rPr>
  </w:style>
  <w:style w:type="paragraph" w:customStyle="1" w:styleId="CopyrightText">
    <w:name w:val="Copyright Text"/>
    <w:basedOn w:val="BodyText"/>
    <w:rsid w:val="00A963CC"/>
    <w:rPr>
      <w:sz w:val="18"/>
    </w:rPr>
  </w:style>
  <w:style w:type="paragraph" w:customStyle="1" w:styleId="BodySmallRight">
    <w:name w:val="Body Small Right"/>
    <w:basedOn w:val="BodyTextRight"/>
    <w:rsid w:val="00A963CC"/>
    <w:rPr>
      <w:sz w:val="18"/>
      <w:szCs w:val="18"/>
    </w:rPr>
  </w:style>
  <w:style w:type="paragraph" w:customStyle="1" w:styleId="MarginEdition">
    <w:name w:val="Margin Edition"/>
    <w:basedOn w:val="MarginNote"/>
    <w:rsid w:val="00A963CC"/>
    <w:pPr>
      <w:spacing w:before="0" w:after="0"/>
    </w:pPr>
    <w:rPr>
      <w:rFonts w:ascii="Times New Roman" w:hAnsi="Times New Roman"/>
      <w:color w:val="999999"/>
    </w:rPr>
  </w:style>
  <w:style w:type="paragraph" w:customStyle="1" w:styleId="Spacer">
    <w:name w:val="Spacer"/>
    <w:basedOn w:val="Normal"/>
    <w:rsid w:val="00A963CC"/>
    <w:rPr>
      <w:sz w:val="2"/>
      <w:szCs w:val="2"/>
    </w:rPr>
  </w:style>
  <w:style w:type="character" w:customStyle="1" w:styleId="Small">
    <w:name w:val="Small"/>
    <w:basedOn w:val="DefaultParagraphFont"/>
    <w:rsid w:val="00A963CC"/>
    <w:rPr>
      <w:sz w:val="16"/>
    </w:rPr>
  </w:style>
  <w:style w:type="paragraph" w:customStyle="1" w:styleId="WideTable">
    <w:name w:val="Wide Table"/>
    <w:basedOn w:val="Normal"/>
    <w:rsid w:val="00A963CC"/>
    <w:pPr>
      <w:ind w:left="-1418"/>
    </w:pPr>
    <w:rPr>
      <w:sz w:val="2"/>
      <w:szCs w:val="2"/>
    </w:rPr>
  </w:style>
  <w:style w:type="character" w:styleId="PageNumber">
    <w:name w:val="page number"/>
    <w:basedOn w:val="DefaultParagraphFont"/>
    <w:rsid w:val="00A963CC"/>
  </w:style>
  <w:style w:type="paragraph" w:styleId="Quote">
    <w:name w:val="Quote"/>
    <w:basedOn w:val="Heading1"/>
    <w:link w:val="QuoteChar"/>
    <w:qFormat/>
    <w:rsid w:val="00A963CC"/>
    <w:rPr>
      <w:b w:val="0"/>
      <w:sz w:val="72"/>
      <w:szCs w:val="72"/>
      <w:lang w:val="en-NZ"/>
    </w:rPr>
  </w:style>
  <w:style w:type="character" w:customStyle="1" w:styleId="QuoteChar">
    <w:name w:val="Quote Char"/>
    <w:basedOn w:val="DefaultParagraphFont"/>
    <w:link w:val="Quote"/>
    <w:rsid w:val="00A96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3CC"/>
    <w:pPr>
      <w:pageBreakBefore/>
    </w:pPr>
  </w:style>
  <w:style w:type="paragraph" w:customStyle="1" w:styleId="Border">
    <w:name w:val="Border"/>
    <w:basedOn w:val="Normal"/>
    <w:qFormat/>
    <w:rsid w:val="00A96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3CC"/>
    <w:rPr>
      <w:b/>
      <w:bCs/>
      <w:i/>
      <w:iCs/>
      <w:color w:val="auto"/>
    </w:rPr>
  </w:style>
  <w:style w:type="paragraph" w:styleId="IntenseQuote">
    <w:name w:val="Intense Quote"/>
    <w:basedOn w:val="Normal"/>
    <w:next w:val="Normal"/>
    <w:link w:val="IntenseQuoteChar"/>
    <w:uiPriority w:val="30"/>
    <w:qFormat/>
    <w:rsid w:val="00A96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3CC"/>
    <w:rPr>
      <w:smallCaps/>
      <w:color w:val="auto"/>
      <w:u w:val="single"/>
    </w:rPr>
  </w:style>
  <w:style w:type="character" w:styleId="IntenseReference">
    <w:name w:val="Intense Reference"/>
    <w:basedOn w:val="DefaultParagraphFont"/>
    <w:uiPriority w:val="32"/>
    <w:qFormat/>
    <w:rsid w:val="00A963CC"/>
    <w:rPr>
      <w:b/>
      <w:bCs/>
      <w:smallCaps/>
      <w:color w:val="auto"/>
      <w:spacing w:val="5"/>
      <w:u w:val="single"/>
    </w:rPr>
  </w:style>
  <w:style w:type="paragraph" w:customStyle="1" w:styleId="2ColumnHeading">
    <w:name w:val="2Column Heading"/>
    <w:basedOn w:val="BodyText"/>
    <w:qFormat/>
    <w:rsid w:val="00A963CC"/>
    <w:pPr>
      <w:spacing w:after="60"/>
      <w:ind w:left="-2268"/>
    </w:pPr>
    <w:rPr>
      <w:b/>
    </w:rPr>
  </w:style>
  <w:style w:type="paragraph" w:customStyle="1" w:styleId="Heading1TOC">
    <w:name w:val="Heading1 TOC"/>
    <w:basedOn w:val="Normal"/>
    <w:qFormat/>
    <w:rsid w:val="00A963CC"/>
    <w:pPr>
      <w:spacing w:before="240" w:after="120"/>
    </w:pPr>
    <w:rPr>
      <w:rFonts w:ascii="Times New Roman" w:hAnsi="Times New Roman"/>
      <w:b/>
      <w:sz w:val="32"/>
    </w:rPr>
  </w:style>
  <w:style w:type="paragraph" w:customStyle="1" w:styleId="Heading2TOC">
    <w:name w:val="Heading2 TOC"/>
    <w:basedOn w:val="Normal"/>
    <w:qFormat/>
    <w:rsid w:val="00A963CC"/>
    <w:pPr>
      <w:spacing w:before="240" w:after="60"/>
    </w:pPr>
    <w:rPr>
      <w:rFonts w:ascii="Times New Roman" w:hAnsi="Times New Roman"/>
      <w:b/>
      <w:sz w:val="28"/>
    </w:rPr>
  </w:style>
  <w:style w:type="character" w:customStyle="1" w:styleId="Underline">
    <w:name w:val="Underline"/>
    <w:basedOn w:val="DefaultParagraphFont"/>
    <w:qFormat/>
    <w:rsid w:val="00A963CC"/>
    <w:rPr>
      <w:u w:val="single"/>
    </w:rPr>
  </w:style>
  <w:style w:type="paragraph" w:styleId="BalloonText">
    <w:name w:val="Balloon Text"/>
    <w:basedOn w:val="Normal"/>
    <w:link w:val="BalloonTextChar"/>
    <w:rsid w:val="00A963CC"/>
    <w:rPr>
      <w:rFonts w:ascii="Tahoma" w:hAnsi="Tahoma" w:cs="Tahoma"/>
      <w:sz w:val="16"/>
      <w:szCs w:val="16"/>
    </w:rPr>
  </w:style>
  <w:style w:type="character" w:customStyle="1" w:styleId="BalloonTextChar">
    <w:name w:val="Balloon Text Char"/>
    <w:basedOn w:val="DefaultParagraphFont"/>
    <w:link w:val="BalloonText"/>
    <w:rsid w:val="00A96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3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3CC"/>
    <w:rPr>
      <w:b/>
      <w:color w:val="660033"/>
      <w:spacing w:val="0"/>
    </w:rPr>
  </w:style>
  <w:style w:type="paragraph" w:customStyle="1" w:styleId="Nameditemlist">
    <w:name w:val="Named item list"/>
    <w:basedOn w:val="BodyText"/>
    <w:qFormat/>
    <w:rsid w:val="00A963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1543</Words>
  <Characters>9890</Characters>
  <Application>Microsoft Office Word</Application>
  <DocSecurity>0</DocSecurity>
  <Lines>350</Lines>
  <Paragraphs>204</Paragraphs>
  <ScaleCrop>false</ScaleCrop>
  <Company>Author-it Software Corporation Ltd.</Company>
  <LinksUpToDate>false</LinksUpToDate>
  <CharactersWithSpaces>11344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ICTCBL2066B Joint and terminate coaxial cable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2014-02-07T09:25:28Z</dcterms:created>
  <dcterms:modified xsi:type="dcterms:W3CDTF">2014-02-06T04:25:00Z</dcterms:modified>
</cp:coreProperties>
</file>