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67E" w:rsidP="000A067E">
      <w:pPr>
        <w:pStyle w:val="Title"/>
      </w:pPr>
      <w:r>
        <w:fldChar w:fldCharType="begin"/>
      </w:r>
      <w:r>
        <w:instrText xml:space="preserve"> TITLE   \* MERGEFORMAT </w:instrText>
      </w:r>
      <w:r>
        <w:fldChar w:fldCharType="separate"/>
      </w:r>
      <w:r>
        <w:t>ICTCBL2066A Joint and terminate coaxial cable</w:t>
      </w:r>
      <w:r>
        <w:fldChar w:fldCharType="end"/>
      </w:r>
    </w:p>
    <w:p w:rsidR="000A067E" w:rsidP="000A067E">
      <w:pPr>
        <w:pStyle w:val="Version"/>
        <w:sectPr w:rsidSect="00AD17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1724" w:rsidP="00AD1724">
      <w:pPr>
        <w:pStyle w:val="SuperHeading"/>
      </w:pPr>
      <w:r w:rsidRPr="00AD1724">
        <w:t>ICTCBL2066A Joint and terminate coaxial cable</w:t>
      </w:r>
    </w:p>
    <w:p w:rsidR="00000000" w:rsidRPr="00AD1724" w:rsidP="00AD1724">
      <w:pPr>
        <w:pStyle w:val="Heading1"/>
      </w:pPr>
      <w:bookmarkStart w:id="1" w:name="O_271742"/>
      <w:bookmarkEnd w:id="1"/>
      <w:r w:rsidRPr="00AD1724">
        <w:t>Modification History</w:t>
      </w:r>
    </w:p>
    <w:p w:rsidR="00000000" w:rsidRPr="00AD1724" w:rsidP="00AD1724">
      <w:pPr>
        <w:pStyle w:val="BodyText"/>
      </w:pPr>
      <w:r w:rsidRPr="00AD1724">
        <w:t>Not Applicable</w:t>
      </w:r>
    </w:p>
    <w:p w:rsidR="00000000" w:rsidRPr="00AD1724" w:rsidP="00AD1724">
      <w:pPr>
        <w:pStyle w:val="AllowPageBreak"/>
      </w:pPr>
    </w:p>
    <w:p w:rsidR="00000000" w:rsidRPr="00AD1724" w:rsidP="00AD1724">
      <w:pPr>
        <w:pStyle w:val="Heading1"/>
      </w:pPr>
      <w:bookmarkStart w:id="2" w:name="O_208633"/>
      <w:bookmarkEnd w:id="2"/>
      <w:r w:rsidRPr="00AD1724">
        <w:t>Unit Descriptor</w:t>
      </w:r>
    </w:p>
    <w:tbl>
      <w:tblPr>
        <w:tblW w:w="0" w:type="auto"/>
        <w:tblLayout w:type="fixed"/>
        <w:tblCellMar>
          <w:left w:w="62" w:type="dxa"/>
          <w:right w:w="62" w:type="dxa"/>
        </w:tblCellMar>
        <w:tblLook w:val="0000"/>
      </w:tblPr>
      <w:tblGrid>
        <w:gridCol w:w="2652"/>
        <w:gridCol w:w="5870"/>
      </w:tblGrid>
      <w:tr w:rsidTr="000A067E">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r w:rsidRPr="00AD1724">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724" w:rsidP="00AD1724">
            <w:pPr>
              <w:pStyle w:val="BodyText"/>
            </w:pPr>
            <w:r w:rsidRPr="00AD1724">
              <w:t>This unit describes</w:t>
            </w:r>
            <w:r w:rsidRPr="00AD1724">
              <w:t xml:space="preserve"> the performance outcomes, skills and knowledge required to install, joint and terminate coaxial cable on customer premises.</w:t>
            </w:r>
          </w:p>
          <w:p w:rsidR="00000000" w:rsidRPr="00AD1724" w:rsidP="00AD1724">
            <w:pPr>
              <w:pStyle w:val="BodyText"/>
            </w:pPr>
          </w:p>
          <w:p w:rsidR="00000000" w:rsidRPr="00AD1724" w:rsidP="00AD1724">
            <w:pPr>
              <w:pStyle w:val="BodyText"/>
            </w:pPr>
            <w:r w:rsidRPr="00AD1724">
              <w:t>Coaxial cables are used in all telecommunications applications including convergence technologies of telephony, data, video and mu</w:t>
            </w:r>
            <w:r w:rsidRPr="00AD1724">
              <w:t>ltimedia as part of Next Generation Networks (NGN).</w:t>
            </w:r>
          </w:p>
          <w:p w:rsidR="00000000" w:rsidRPr="00AD1724" w:rsidP="00AD1724">
            <w:pPr>
              <w:pStyle w:val="BodyText"/>
            </w:pPr>
          </w:p>
          <w:p w:rsidR="00000000" w:rsidRPr="00AD1724" w:rsidP="00AD1724">
            <w:pPr>
              <w:pStyle w:val="BodyText"/>
            </w:pPr>
            <w:r w:rsidRPr="00AD1724">
              <w:t>No licensing, legislative, regulatory or certification requirements apply to this unit at the time of endorsement but users should confirm requirements with the relevant federal, state or territory autho</w:t>
            </w:r>
            <w:r w:rsidRPr="00AD1724">
              <w:t>rity.</w:t>
            </w:r>
          </w:p>
        </w:tc>
      </w:tr>
    </w:tbl>
    <w:p w:rsidR="000A067E" w:rsidP="00AD1724">
      <w:pPr>
        <w:pStyle w:val="BodyText"/>
      </w:pPr>
    </w:p>
    <w:p w:rsidR="000A067E" w:rsidP="00AD1724">
      <w:pPr>
        <w:pStyle w:val="BodyText"/>
      </w:pPr>
    </w:p>
    <w:p w:rsidR="00000000" w:rsidRPr="00AD1724" w:rsidP="00AD1724">
      <w:pPr>
        <w:pStyle w:val="Heading1"/>
      </w:pPr>
      <w:bookmarkStart w:id="3" w:name="O_208637"/>
      <w:bookmarkEnd w:id="3"/>
      <w:r w:rsidRPr="00AD1724">
        <w:t>Application of the Unit</w:t>
      </w:r>
    </w:p>
    <w:tbl>
      <w:tblPr>
        <w:tblW w:w="0" w:type="auto"/>
        <w:tblLayout w:type="fixed"/>
        <w:tblCellMar>
          <w:left w:w="62" w:type="dxa"/>
          <w:right w:w="62" w:type="dxa"/>
        </w:tblCellMar>
        <w:tblLook w:val="0000"/>
      </w:tblPr>
      <w:tblGrid>
        <w:gridCol w:w="2751"/>
        <w:gridCol w:w="5771"/>
      </w:tblGrid>
      <w:tr w:rsidTr="000A067E">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r w:rsidRPr="00AD1724">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724" w:rsidP="00AD1724">
            <w:pPr>
              <w:pStyle w:val="BodyText"/>
            </w:pPr>
            <w:r w:rsidRPr="00AD1724">
              <w:t>Technical staff whose work involves jointing and terminating coaxial cable apply the skills and knowledge in this unit.</w:t>
            </w:r>
          </w:p>
          <w:p w:rsidR="00000000" w:rsidRPr="00AD1724" w:rsidP="00AD1724">
            <w:pPr>
              <w:pStyle w:val="BodyText"/>
            </w:pPr>
          </w:p>
          <w:p w:rsidR="00000000" w:rsidRPr="00AD1724" w:rsidP="00AD1724">
            <w:pPr>
              <w:pStyle w:val="BodyText"/>
            </w:pPr>
            <w:r w:rsidRPr="00AD1724">
              <w:t>They in</w:t>
            </w:r>
            <w:r w:rsidRPr="00AD1724">
              <w:t xml:space="preserve">stall and terminate coaxial cable in the customer access network (CAN) environment for emerging technologies using high speed broadband and the delivery of cable television services. </w:t>
            </w:r>
          </w:p>
          <w:p w:rsidR="00000000" w:rsidRPr="00AD1724" w:rsidP="00AD1724">
            <w:pPr>
              <w:pStyle w:val="BodyText"/>
            </w:pPr>
          </w:p>
          <w:p w:rsidR="00000000" w:rsidRPr="00AD1724" w:rsidP="00AD1724">
            <w:pPr>
              <w:pStyle w:val="BodyText"/>
            </w:pPr>
            <w:r w:rsidRPr="00AD1724">
              <w:t>This unit applies to domestic, commercial or industrial installations.</w:t>
            </w:r>
          </w:p>
        </w:tc>
      </w:tr>
    </w:tbl>
    <w:p w:rsidR="000A067E" w:rsidP="00AD1724">
      <w:pPr>
        <w:pStyle w:val="BodyText"/>
      </w:pPr>
    </w:p>
    <w:p w:rsidR="000A067E" w:rsidP="00AD1724">
      <w:pPr>
        <w:pStyle w:val="BodyText"/>
      </w:pPr>
    </w:p>
    <w:p w:rsidR="00000000" w:rsidRPr="00AD1724" w:rsidP="00AD1724">
      <w:pPr>
        <w:pStyle w:val="Heading1"/>
      </w:pPr>
      <w:bookmarkStart w:id="4" w:name="O_280002"/>
      <w:bookmarkEnd w:id="4"/>
      <w:r w:rsidRPr="00AD1724">
        <w:t>Licensing/Regulatory Information</w:t>
      </w:r>
    </w:p>
    <w:p w:rsidR="00000000" w:rsidRPr="00AD1724" w:rsidP="00AD1724">
      <w:pPr>
        <w:pStyle w:val="BodyText"/>
      </w:pPr>
      <w:r w:rsidRPr="00AD1724">
        <w:t>Refer to Unit Descriptor</w:t>
      </w:r>
    </w:p>
    <w:p w:rsidR="00000000" w:rsidRPr="00AD1724" w:rsidP="00AD1724">
      <w:pPr>
        <w:pStyle w:val="AllowPageBreak"/>
      </w:pPr>
    </w:p>
    <w:p w:rsidR="00000000" w:rsidRPr="00AD1724" w:rsidP="00AD1724">
      <w:pPr>
        <w:pStyle w:val="Heading1"/>
      </w:pPr>
      <w:bookmarkStart w:id="5" w:name="O_208635"/>
      <w:bookmarkEnd w:id="5"/>
      <w:r w:rsidRPr="00AD1724">
        <w:t>Pre-Requisites</w:t>
      </w:r>
    </w:p>
    <w:tbl>
      <w:tblPr>
        <w:tblW w:w="0" w:type="auto"/>
        <w:tblLayout w:type="fixed"/>
        <w:tblCellMar>
          <w:left w:w="62" w:type="dxa"/>
          <w:right w:w="62" w:type="dxa"/>
        </w:tblCellMar>
        <w:tblLook w:val="0000"/>
      </w:tblPr>
      <w:tblGrid>
        <w:gridCol w:w="2775"/>
        <w:gridCol w:w="1295"/>
        <w:gridCol w:w="4452"/>
      </w:tblGrid>
      <w:tr w:rsidTr="000A067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r w:rsidRPr="00AD172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p>
        </w:tc>
      </w:tr>
      <w:tr w:rsidTr="000A067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p>
        </w:tc>
      </w:tr>
      <w:tr w:rsidTr="000A067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724" w:rsidP="00AD1724">
            <w:pPr>
              <w:pStyle w:val="BodyText"/>
            </w:pPr>
          </w:p>
        </w:tc>
      </w:tr>
    </w:tbl>
    <w:p w:rsidR="000A067E" w:rsidP="00AD1724">
      <w:pPr>
        <w:pStyle w:val="BodyText"/>
      </w:pPr>
    </w:p>
    <w:p w:rsidR="000A067E" w:rsidP="00AD1724">
      <w:pPr>
        <w:pStyle w:val="BodyText"/>
      </w:pPr>
    </w:p>
    <w:p w:rsidR="00000000" w:rsidRPr="00AD1724" w:rsidP="00AD1724">
      <w:pPr>
        <w:pStyle w:val="Heading1"/>
      </w:pPr>
      <w:bookmarkStart w:id="6" w:name="O_208634"/>
      <w:bookmarkEnd w:id="6"/>
      <w:r w:rsidRPr="00AD1724">
        <w:t>Employability Skills Information</w:t>
      </w:r>
    </w:p>
    <w:tbl>
      <w:tblPr>
        <w:tblW w:w="0" w:type="auto"/>
        <w:tblLayout w:type="fixed"/>
        <w:tblCellMar>
          <w:left w:w="62" w:type="dxa"/>
          <w:right w:w="62" w:type="dxa"/>
        </w:tblCellMar>
        <w:tblLook w:val="0000"/>
      </w:tblPr>
      <w:tblGrid>
        <w:gridCol w:w="2802"/>
        <w:gridCol w:w="5720"/>
      </w:tblGrid>
      <w:tr w:rsidTr="000A067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r w:rsidRPr="00AD172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724" w:rsidP="00AD1724">
            <w:pPr>
              <w:pStyle w:val="BodyText"/>
            </w:pPr>
            <w:r w:rsidRPr="00AD1724">
              <w:t>This unit contains employability skills.</w:t>
            </w:r>
          </w:p>
        </w:tc>
      </w:tr>
    </w:tbl>
    <w:p w:rsidR="000A067E" w:rsidP="00AD1724">
      <w:pPr>
        <w:pStyle w:val="BodyText"/>
      </w:pPr>
    </w:p>
    <w:p w:rsidR="000A067E" w:rsidP="00AD1724">
      <w:pPr>
        <w:pStyle w:val="BodyText"/>
      </w:pPr>
    </w:p>
    <w:p w:rsidR="00000000" w:rsidRPr="00AD1724" w:rsidP="00AD1724">
      <w:pPr>
        <w:pStyle w:val="Heading1"/>
      </w:pPr>
      <w:bookmarkStart w:id="7" w:name="O_289788"/>
      <w:bookmarkEnd w:id="7"/>
      <w:r w:rsidRPr="00AD1724">
        <w:t>Elements and Performance Criteria Pre-Content</w:t>
      </w:r>
    </w:p>
    <w:tbl>
      <w:tblPr>
        <w:tblW w:w="0" w:type="auto"/>
        <w:tblLayout w:type="fixed"/>
        <w:tblCellMar>
          <w:left w:w="62" w:type="dxa"/>
          <w:right w:w="62" w:type="dxa"/>
        </w:tblCellMar>
        <w:tblLook w:val="0000"/>
      </w:tblPr>
      <w:tblGrid>
        <w:gridCol w:w="2579"/>
        <w:gridCol w:w="5943"/>
      </w:tblGrid>
      <w:tr w:rsidTr="000A067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r w:rsidRPr="00AD1724">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724" w:rsidP="00AD1724">
            <w:pPr>
              <w:pStyle w:val="BodyText"/>
            </w:pPr>
            <w:r w:rsidRPr="00AD1724">
              <w:t xml:space="preserve">Performance criteria describe the performance needed to demonstrate achievement of the element. Where bold italicised text is </w:t>
            </w:r>
            <w:r w:rsidRPr="00AD1724">
              <w:t>used, further information is detailed in the required skills and knowledge section and the range statement. Assessment of performance is to be consistent with the evidence guide.</w:t>
            </w:r>
          </w:p>
        </w:tc>
      </w:tr>
    </w:tbl>
    <w:p w:rsidR="00000000" w:rsidRPr="00AD1724" w:rsidP="00AD1724">
      <w:pPr>
        <w:pStyle w:val="BodyText"/>
      </w:pPr>
    </w:p>
    <w:p w:rsidR="00000000" w:rsidRPr="00AD1724" w:rsidP="00AD1724">
      <w:pPr>
        <w:pStyle w:val="AllowPageBreak"/>
      </w:pPr>
    </w:p>
    <w:p w:rsidR="00000000" w:rsidRPr="00AD1724" w:rsidP="00AD1724">
      <w:pPr>
        <w:pStyle w:val="Heading1"/>
      </w:pPr>
      <w:bookmarkStart w:id="8" w:name="O_236455"/>
      <w:bookmarkEnd w:id="8"/>
      <w:r w:rsidRPr="00AD1724">
        <w:t>Elements and Performance Criteria</w:t>
      </w:r>
    </w:p>
    <w:tbl>
      <w:tblPr>
        <w:tblW w:w="0" w:type="auto"/>
        <w:tblLayout w:type="fixed"/>
        <w:tblCellMar>
          <w:left w:w="62" w:type="dxa"/>
          <w:right w:w="62" w:type="dxa"/>
        </w:tblCellMar>
        <w:tblLook w:val="0000"/>
      </w:tblPr>
      <w:tblGrid>
        <w:gridCol w:w="2579"/>
        <w:gridCol w:w="5943"/>
      </w:tblGrid>
      <w:tr w:rsidTr="000A067E">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724" w:rsidP="00AD1724">
            <w:pPr>
              <w:pStyle w:val="BodyText"/>
            </w:pPr>
            <w:r w:rsidRPr="00AD1724">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r w:rsidRPr="00AD1724">
              <w:rPr>
                <w:rStyle w:val="SpecialBold"/>
              </w:rPr>
              <w:t>PERFORMANCE CRITERIA</w:t>
            </w:r>
          </w:p>
        </w:tc>
      </w:tr>
      <w:tr w:rsidTr="000A067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List"/>
              <w:rPr>
                <w:lang w:val="en-NZ"/>
              </w:rPr>
            </w:pPr>
            <w:r w:rsidRPr="00AD1724">
              <w:t>1.</w:t>
            </w:r>
            <w:r w:rsidRPr="00AD1724">
              <w:tab/>
              <w:t>Prepare to install and joint coaxial cable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724" w:rsidP="00AD1724">
            <w:pPr>
              <w:pStyle w:val="List2"/>
            </w:pPr>
            <w:r w:rsidRPr="00AD1724">
              <w:t>1.1.</w:t>
            </w:r>
            <w:r w:rsidRPr="00AD1724">
              <w:tab/>
              <w:t xml:space="preserve">Confirm approval for site access with customer prior to site entry and comply with </w:t>
            </w:r>
            <w:r w:rsidRPr="00AD1724">
              <w:rPr>
                <w:rStyle w:val="BoldandItalics"/>
              </w:rPr>
              <w:t>site security arrangements</w:t>
            </w:r>
            <w:r w:rsidRPr="00AD1724">
              <w:t xml:space="preserve"> and </w:t>
            </w:r>
            <w:r w:rsidRPr="00AD1724">
              <w:rPr>
                <w:rStyle w:val="BoldandItalics"/>
              </w:rPr>
              <w:t>relevant legislation</w:t>
            </w:r>
            <w:r w:rsidRPr="00AD1724">
              <w:t xml:space="preserve">, </w:t>
            </w:r>
            <w:r w:rsidRPr="00AD1724">
              <w:rPr>
                <w:rStyle w:val="BoldandItalics"/>
              </w:rPr>
              <w:t>codes</w:t>
            </w:r>
            <w:r w:rsidRPr="00AD1724">
              <w:t xml:space="preserve">, </w:t>
            </w:r>
            <w:r w:rsidRPr="00AD1724">
              <w:rPr>
                <w:rStyle w:val="BoldandItalics"/>
              </w:rPr>
              <w:t>regulations and standards</w:t>
            </w:r>
          </w:p>
          <w:p w:rsidR="00000000" w:rsidRPr="00AD1724" w:rsidP="00AD1724">
            <w:pPr>
              <w:pStyle w:val="List2"/>
            </w:pPr>
            <w:r w:rsidRPr="00AD1724">
              <w:t>1.2.</w:t>
            </w:r>
            <w:r w:rsidRPr="00AD1724">
              <w:tab/>
              <w:t xml:space="preserve">Read and </w:t>
            </w:r>
            <w:r w:rsidRPr="00AD1724">
              <w:t xml:space="preserve">interpret </w:t>
            </w:r>
            <w:r w:rsidRPr="00AD1724">
              <w:rPr>
                <w:rStyle w:val="BoldandItalics"/>
              </w:rPr>
              <w:t>customer's installation specifications</w:t>
            </w:r>
            <w:r w:rsidRPr="00AD1724">
              <w:t xml:space="preserve"> and physical conditions at site to determine layout of job</w:t>
            </w:r>
          </w:p>
          <w:p w:rsidR="00000000" w:rsidRPr="00AD1724" w:rsidP="00AD1724">
            <w:pPr>
              <w:pStyle w:val="List2"/>
            </w:pPr>
            <w:r w:rsidRPr="00AD1724">
              <w:t>1.3.</w:t>
            </w:r>
            <w:r w:rsidRPr="00AD1724">
              <w:tab/>
              <w:t xml:space="preserve">Locate and identify adjoining </w:t>
            </w:r>
            <w:r w:rsidRPr="00AD1724">
              <w:rPr>
                <w:rStyle w:val="BoldandItalics"/>
              </w:rPr>
              <w:t>other services</w:t>
            </w:r>
            <w:r w:rsidRPr="00AD1724">
              <w:t xml:space="preserve"> according to enterprise guidelines and occupational health and safety (</w:t>
            </w:r>
            <w:r w:rsidRPr="00AD1724">
              <w:rPr>
                <w:rStyle w:val="BoldandItalics"/>
              </w:rPr>
              <w:t>OHS</w:t>
            </w:r>
            <w:r w:rsidRPr="00AD1724">
              <w:t>) practices</w:t>
            </w:r>
          </w:p>
          <w:p w:rsidR="00000000" w:rsidRPr="00AD1724" w:rsidP="00AD1724">
            <w:pPr>
              <w:pStyle w:val="List2"/>
            </w:pPr>
            <w:r w:rsidRPr="00AD1724">
              <w:t>1.4.</w:t>
            </w:r>
            <w:r w:rsidRPr="00AD1724">
              <w:tab/>
              <w:t>Test fo</w:t>
            </w:r>
            <w:r w:rsidRPr="00AD1724">
              <w:t>r presence of dangerous gases in underground enclosures according to enterprise guidelines</w:t>
            </w:r>
          </w:p>
          <w:p w:rsidR="00000000" w:rsidP="00AD1724">
            <w:pPr>
              <w:pStyle w:val="List2"/>
              <w:rPr>
                <w:lang w:val="en-NZ"/>
              </w:rPr>
            </w:pPr>
            <w:r w:rsidRPr="00AD1724">
              <w:t>1.5.</w:t>
            </w:r>
            <w:r w:rsidRPr="00AD1724">
              <w:tab/>
              <w:t>Undertake approved alterations to the design according to enterprise guidelines</w:t>
            </w:r>
          </w:p>
        </w:tc>
      </w:tr>
      <w:tr w:rsidTr="000A067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List"/>
              <w:rPr>
                <w:lang w:val="en-NZ"/>
              </w:rPr>
            </w:pPr>
            <w:r w:rsidRPr="00AD1724">
              <w:t>2.</w:t>
            </w:r>
            <w:r w:rsidRPr="00AD1724">
              <w:tab/>
              <w:t>Verify placement and secure coaxial cable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724" w:rsidP="00AD1724">
            <w:pPr>
              <w:pStyle w:val="List2"/>
            </w:pPr>
            <w:r w:rsidRPr="00AD1724">
              <w:t>2.1.</w:t>
            </w:r>
            <w:r w:rsidRPr="00AD1724">
              <w:tab/>
            </w:r>
            <w:r w:rsidRPr="00AD1724">
              <w:t xml:space="preserve">Use safety equipment to protect self and public according to enterprise guidelines and OHS </w:t>
            </w:r>
          </w:p>
          <w:p w:rsidR="00000000" w:rsidRPr="00AD1724" w:rsidP="00AD1724">
            <w:pPr>
              <w:pStyle w:val="List2"/>
            </w:pPr>
            <w:r w:rsidRPr="00AD1724">
              <w:t>2.2.</w:t>
            </w:r>
            <w:r w:rsidRPr="00AD1724">
              <w:tab/>
              <w:t xml:space="preserve">Maintain </w:t>
            </w:r>
            <w:r w:rsidRPr="00AD1724">
              <w:rPr>
                <w:rStyle w:val="BoldandItalics"/>
              </w:rPr>
              <w:t>coaxial cable</w:t>
            </w:r>
            <w:r w:rsidRPr="00AD1724">
              <w:t xml:space="preserve"> segregation to industry standard requirements</w:t>
            </w:r>
          </w:p>
          <w:p w:rsidR="00000000" w:rsidRPr="00AD1724" w:rsidP="00AD1724">
            <w:pPr>
              <w:pStyle w:val="List2"/>
            </w:pPr>
            <w:r w:rsidRPr="00AD1724">
              <w:t>2.3.</w:t>
            </w:r>
            <w:r w:rsidRPr="00AD1724">
              <w:tab/>
              <w:t>Protect integrity of the coaxial shield cable to ensure no loss of performance</w:t>
            </w:r>
          </w:p>
          <w:p w:rsidR="00000000" w:rsidRPr="00AD1724" w:rsidP="00AD1724">
            <w:pPr>
              <w:pStyle w:val="List2"/>
            </w:pPr>
            <w:r w:rsidRPr="00AD1724">
              <w:t>2.4.</w:t>
            </w:r>
            <w:r w:rsidRPr="00AD1724">
              <w:tab/>
              <w:t>P</w:t>
            </w:r>
            <w:r w:rsidRPr="00AD1724">
              <w:t xml:space="preserve">lace cable in position with sufficient slack to allow termination and maintain minimum bend radius according to </w:t>
            </w:r>
            <w:r w:rsidRPr="00AD1724">
              <w:rPr>
                <w:rStyle w:val="BoldandItalics"/>
              </w:rPr>
              <w:t>manufacturer's specifications</w:t>
            </w:r>
          </w:p>
          <w:p w:rsidR="00000000" w:rsidRPr="00AD1724" w:rsidP="00AD1724">
            <w:pPr>
              <w:pStyle w:val="List2"/>
            </w:pPr>
            <w:r w:rsidRPr="00AD1724">
              <w:t>2.5.</w:t>
            </w:r>
            <w:r w:rsidRPr="00AD1724">
              <w:tab/>
              <w:t>Follow installation designs to install cable safely without damage to cable or customer's premises</w:t>
            </w:r>
          </w:p>
          <w:p w:rsidR="00000000" w:rsidRPr="00AD1724" w:rsidP="00AD1724">
            <w:pPr>
              <w:pStyle w:val="List2"/>
            </w:pPr>
            <w:r w:rsidRPr="00AD1724">
              <w:t>2.6.</w:t>
            </w:r>
            <w:r w:rsidRPr="00AD1724">
              <w:tab/>
              <w:t>Maint</w:t>
            </w:r>
            <w:r w:rsidRPr="00AD1724">
              <w:t xml:space="preserve">ain radio frequency (RF) signal strength by installing cable lengths within manufacturer's or design specifications </w:t>
            </w:r>
          </w:p>
          <w:p w:rsidR="00000000" w:rsidP="00AD1724">
            <w:pPr>
              <w:pStyle w:val="List2"/>
              <w:rPr>
                <w:lang w:val="en-NZ"/>
              </w:rPr>
            </w:pPr>
            <w:r w:rsidRPr="00AD1724">
              <w:t>2.7.</w:t>
            </w:r>
            <w:r w:rsidRPr="00AD1724">
              <w:tab/>
              <w:t>Locate securing hardware to reduce the cumulative effect on cable wave shape properties and attach cable ties to minimise cable damage</w:t>
            </w:r>
          </w:p>
        </w:tc>
      </w:tr>
      <w:tr w:rsidTr="000A067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List"/>
              <w:rPr>
                <w:lang w:val="en-NZ"/>
              </w:rPr>
            </w:pPr>
            <w:r w:rsidRPr="00AD1724">
              <w:t>3.</w:t>
            </w:r>
            <w:r w:rsidRPr="00AD1724">
              <w:tab/>
              <w:t>Joint coaxial cable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724" w:rsidP="00AD1724">
            <w:pPr>
              <w:pStyle w:val="List2"/>
            </w:pPr>
            <w:r w:rsidRPr="00AD1724">
              <w:t>3.1.</w:t>
            </w:r>
            <w:r w:rsidRPr="00AD1724">
              <w:tab/>
              <w:t xml:space="preserve">Strip coaxial cable according to specifications to required length using appropriate </w:t>
            </w:r>
            <w:r w:rsidRPr="00AD1724">
              <w:rPr>
                <w:rStyle w:val="BoldandItalics"/>
              </w:rPr>
              <w:t>tools</w:t>
            </w:r>
          </w:p>
          <w:p w:rsidR="00000000" w:rsidRPr="00AD1724" w:rsidP="00AD1724">
            <w:pPr>
              <w:pStyle w:val="List2"/>
            </w:pPr>
            <w:r w:rsidRPr="00AD1724">
              <w:t>3.2.</w:t>
            </w:r>
            <w:r w:rsidRPr="00AD1724">
              <w:tab/>
              <w:t>Select appropriate kit to match the type of coaxial cable in use and the jointing method according to manufacturer's recommendatio</w:t>
            </w:r>
            <w:r w:rsidRPr="00AD1724">
              <w:t>ns</w:t>
            </w:r>
          </w:p>
          <w:p w:rsidR="00000000" w:rsidRPr="00AD1724" w:rsidP="00AD1724">
            <w:pPr>
              <w:pStyle w:val="List2"/>
            </w:pPr>
            <w:r w:rsidRPr="00AD1724">
              <w:t>3.3.</w:t>
            </w:r>
            <w:r w:rsidRPr="00AD1724">
              <w:tab/>
              <w:t>Joint cable and ensure jointing fitting retains the segregation of conductor and shield</w:t>
            </w:r>
          </w:p>
          <w:p w:rsidR="00000000" w:rsidP="00AD1724">
            <w:pPr>
              <w:pStyle w:val="List2"/>
              <w:rPr>
                <w:lang w:val="en-NZ"/>
              </w:rPr>
            </w:pPr>
            <w:r w:rsidRPr="00AD1724">
              <w:t>3.4.</w:t>
            </w:r>
            <w:r w:rsidRPr="00AD1724">
              <w:tab/>
              <w:t>Seal all joints according to manufacturer's specifications</w:t>
            </w:r>
          </w:p>
        </w:tc>
      </w:tr>
      <w:tr w:rsidTr="000A067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List"/>
              <w:rPr>
                <w:lang w:val="en-NZ"/>
              </w:rPr>
            </w:pPr>
            <w:r w:rsidRPr="00AD1724">
              <w:t>4.</w:t>
            </w:r>
            <w:r w:rsidRPr="00AD1724">
              <w:tab/>
              <w:t>Terminate coaxial cable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724" w:rsidP="00AD1724">
            <w:pPr>
              <w:pStyle w:val="List2"/>
            </w:pPr>
            <w:r w:rsidRPr="00AD1724">
              <w:t>4.1.</w:t>
            </w:r>
            <w:r w:rsidRPr="00AD1724">
              <w:tab/>
              <w:t>Prepare coaxial cable for termination according to specificatio</w:t>
            </w:r>
            <w:r w:rsidRPr="00AD1724">
              <w:t>ns using appropriate tool</w:t>
            </w:r>
          </w:p>
          <w:p w:rsidR="00000000" w:rsidRPr="00AD1724" w:rsidP="00AD1724">
            <w:pPr>
              <w:pStyle w:val="List2"/>
            </w:pPr>
            <w:r w:rsidRPr="00AD1724">
              <w:t>4.2.</w:t>
            </w:r>
            <w:r w:rsidRPr="00AD1724">
              <w:tab/>
              <w:t xml:space="preserve">Select </w:t>
            </w:r>
            <w:r w:rsidRPr="00AD1724">
              <w:rPr>
                <w:rStyle w:val="BoldandItalics"/>
              </w:rPr>
              <w:t>connectors</w:t>
            </w:r>
            <w:r w:rsidRPr="00AD1724">
              <w:t xml:space="preserve"> to match the type of coaxial cable in use and use terminating method recommended by manufacturer </w:t>
            </w:r>
          </w:p>
          <w:p w:rsidR="00000000" w:rsidRPr="00AD1724" w:rsidP="00AD1724">
            <w:pPr>
              <w:pStyle w:val="List2"/>
            </w:pPr>
            <w:r w:rsidRPr="00AD1724">
              <w:t>4.3.</w:t>
            </w:r>
            <w:r w:rsidRPr="00AD1724">
              <w:tab/>
              <w:t>Verify connector fitting retains the segregation of conductor and shield</w:t>
            </w:r>
          </w:p>
          <w:p w:rsidR="00000000" w:rsidRPr="00AD1724" w:rsidP="00AD1724">
            <w:pPr>
              <w:pStyle w:val="List2"/>
            </w:pPr>
            <w:r w:rsidRPr="00AD1724">
              <w:t>4.4.</w:t>
            </w:r>
            <w:r w:rsidRPr="00AD1724">
              <w:tab/>
            </w:r>
            <w:r w:rsidRPr="00AD1724">
              <w:t>Terminate connectors to torque as recommended by manufacturer to prevent radio frequency leakage</w:t>
            </w:r>
          </w:p>
          <w:p w:rsidR="00000000" w:rsidRPr="00AD1724" w:rsidP="00AD1724">
            <w:pPr>
              <w:pStyle w:val="List2"/>
            </w:pPr>
            <w:r w:rsidRPr="00AD1724">
              <w:t>4.5.</w:t>
            </w:r>
            <w:r w:rsidRPr="00AD1724">
              <w:tab/>
              <w:t xml:space="preserve">Test connectors to mating specifications using gauge tester </w:t>
            </w:r>
          </w:p>
          <w:p w:rsidR="00000000" w:rsidP="00AD1724">
            <w:pPr>
              <w:pStyle w:val="List2"/>
              <w:rPr>
                <w:lang w:val="en-NZ"/>
              </w:rPr>
            </w:pPr>
            <w:r w:rsidRPr="00AD1724">
              <w:t>4.6.</w:t>
            </w:r>
            <w:r w:rsidRPr="00AD1724">
              <w:tab/>
              <w:t>Maintain a continuous ground on the terminations and waterproof seal to preserve cable i</w:t>
            </w:r>
            <w:r w:rsidRPr="00AD1724">
              <w:t>ntegrity</w:t>
            </w:r>
          </w:p>
        </w:tc>
      </w:tr>
      <w:tr w:rsidTr="000A067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List"/>
              <w:rPr>
                <w:lang w:val="en-NZ"/>
              </w:rPr>
            </w:pPr>
            <w:r w:rsidRPr="00AD1724">
              <w:t>5.</w:t>
            </w:r>
            <w:r w:rsidRPr="00AD1724">
              <w:tab/>
              <w:t>Complete splicing operation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724" w:rsidP="00AD1724">
            <w:pPr>
              <w:pStyle w:val="List2"/>
            </w:pPr>
            <w:r w:rsidRPr="00AD1724">
              <w:t>5.1.</w:t>
            </w:r>
            <w:r w:rsidRPr="00AD1724">
              <w:tab/>
              <w:t>Place cables in enclosure and lay up according to manufacturer's instructions and enterprise guidelines and check that no safety hazards are evident</w:t>
            </w:r>
          </w:p>
          <w:p w:rsidR="00000000" w:rsidRPr="00AD1724" w:rsidP="00AD1724">
            <w:pPr>
              <w:pStyle w:val="List2"/>
            </w:pPr>
            <w:r w:rsidRPr="00AD1724">
              <w:t>5.2.</w:t>
            </w:r>
            <w:r w:rsidRPr="00AD1724">
              <w:tab/>
              <w:t>Place other services according to enterprise guidelines</w:t>
            </w:r>
          </w:p>
          <w:p w:rsidR="00000000" w:rsidP="00AD1724">
            <w:pPr>
              <w:pStyle w:val="List2"/>
              <w:rPr>
                <w:lang w:val="en-NZ"/>
              </w:rPr>
            </w:pPr>
            <w:r w:rsidRPr="00AD1724">
              <w:t>5.3.</w:t>
            </w:r>
            <w:r w:rsidRPr="00AD1724">
              <w:tab/>
              <w:t>Reinstate site and remove waste and debris for disposal according to environmental requirements and to maintain safe worksite conditions</w:t>
            </w:r>
          </w:p>
        </w:tc>
      </w:tr>
      <w:tr w:rsidTr="000A067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List"/>
              <w:rPr>
                <w:lang w:val="en-NZ"/>
              </w:rPr>
            </w:pPr>
            <w:r w:rsidRPr="00AD1724">
              <w:t>6.</w:t>
            </w:r>
            <w:r w:rsidRPr="00AD1724">
              <w:tab/>
              <w:t>Complete installation administration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724" w:rsidP="00AD1724">
            <w:pPr>
              <w:pStyle w:val="List2"/>
            </w:pPr>
            <w:r w:rsidRPr="00AD1724">
              <w:t>6.1.</w:t>
            </w:r>
            <w:r w:rsidRPr="00AD1724">
              <w:tab/>
              <w:t>Complete reports according to enterprise policy</w:t>
            </w:r>
          </w:p>
          <w:p w:rsidR="00000000" w:rsidRPr="00AD1724" w:rsidP="00AD1724">
            <w:pPr>
              <w:pStyle w:val="List2"/>
            </w:pPr>
            <w:r w:rsidRPr="00AD1724">
              <w:t>6.2.</w:t>
            </w:r>
            <w:r w:rsidRPr="00AD1724">
              <w:tab/>
              <w:t>Note alteration</w:t>
            </w:r>
            <w:r w:rsidRPr="00AD1724">
              <w:t>s to plans using appropriate symbols</w:t>
            </w:r>
          </w:p>
        </w:tc>
      </w:tr>
    </w:tbl>
    <w:p w:rsidR="000A067E" w:rsidP="00AD1724">
      <w:pPr>
        <w:pStyle w:val="BodyText"/>
      </w:pPr>
    </w:p>
    <w:p w:rsidR="000A067E" w:rsidP="00AD1724">
      <w:pPr>
        <w:pStyle w:val="BodyText"/>
      </w:pPr>
    </w:p>
    <w:p w:rsidR="00000000" w:rsidRPr="00AD1724" w:rsidP="00AD1724">
      <w:pPr>
        <w:pStyle w:val="Heading1"/>
      </w:pPr>
      <w:bookmarkStart w:id="9" w:name="O_260405"/>
      <w:bookmarkEnd w:id="9"/>
      <w:r w:rsidRPr="00AD1724">
        <w:t>Required Skills and Knowledge</w:t>
      </w:r>
    </w:p>
    <w:tbl>
      <w:tblPr>
        <w:tblW w:w="0" w:type="auto"/>
        <w:tblLayout w:type="fixed"/>
        <w:tblCellMar>
          <w:left w:w="62" w:type="dxa"/>
          <w:right w:w="62" w:type="dxa"/>
        </w:tblCellMar>
        <w:tblLook w:val="0000"/>
      </w:tblPr>
      <w:tblGrid>
        <w:gridCol w:w="8522"/>
      </w:tblGrid>
      <w:tr w:rsidTr="000A067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1724">
            <w:pPr>
              <w:pStyle w:val="BodyText"/>
              <w:rPr>
                <w:lang w:val="en-NZ"/>
              </w:rPr>
            </w:pPr>
            <w:r w:rsidRPr="00AD1724">
              <w:rPr>
                <w:rStyle w:val="SpecialBold"/>
              </w:rPr>
              <w:t>REQUIRED SKILLS AND KNOWLEDGE</w:t>
            </w:r>
          </w:p>
        </w:tc>
      </w:tr>
      <w:tr w:rsidTr="000A067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r w:rsidRPr="00AD1724">
              <w:t>This section describes the skills and knowledge required for this unit.</w:t>
            </w:r>
          </w:p>
        </w:tc>
      </w:tr>
      <w:tr w:rsidTr="000A06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r w:rsidRPr="00AD1724">
              <w:rPr>
                <w:rStyle w:val="SpecialBold"/>
              </w:rPr>
              <w:t>Required skills</w:t>
            </w:r>
          </w:p>
        </w:tc>
      </w:tr>
      <w:tr w:rsidTr="000A06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724" w:rsidP="00AD1724">
            <w:pPr>
              <w:pStyle w:val="ListBullet"/>
            </w:pPr>
            <w:r w:rsidRPr="00AD1724">
              <w:t>communication skills to liaise with internal and external personnel on technical and operational matters</w:t>
            </w:r>
          </w:p>
          <w:p w:rsidR="00000000" w:rsidRPr="00AD1724" w:rsidP="00AD1724">
            <w:pPr>
              <w:pStyle w:val="ListBullet"/>
            </w:pPr>
            <w:r w:rsidRPr="00AD1724">
              <w:t>literacy skills to interpret technical documentation, such as equipment manuals and specifications</w:t>
            </w:r>
          </w:p>
          <w:p w:rsidR="00000000" w:rsidRPr="00AD1724" w:rsidP="00AD1724">
            <w:pPr>
              <w:pStyle w:val="ListBullet"/>
            </w:pPr>
            <w:r w:rsidRPr="00AD1724">
              <w:t>numeracy skills to take and analyse measurements</w:t>
            </w:r>
          </w:p>
          <w:p w:rsidR="00000000" w:rsidRPr="00AD1724" w:rsidP="00AD1724">
            <w:pPr>
              <w:pStyle w:val="ListBullet"/>
            </w:pPr>
            <w:r w:rsidRPr="00AD1724">
              <w:t>pla</w:t>
            </w:r>
            <w:r w:rsidRPr="00AD1724">
              <w:t>nning and organisational skills to organise and maintain equipment</w:t>
            </w:r>
          </w:p>
          <w:p w:rsidR="00000000" w:rsidRPr="00AD1724" w:rsidP="00AD1724">
            <w:pPr>
              <w:pStyle w:val="ListBullet"/>
            </w:pPr>
            <w:r w:rsidRPr="00AD1724">
              <w:t>problem solving skills to solve equipment and logistics problems</w:t>
            </w:r>
          </w:p>
          <w:p w:rsidR="00000000" w:rsidRPr="00AD1724" w:rsidP="00AD1724">
            <w:pPr>
              <w:pStyle w:val="ListBullet"/>
            </w:pPr>
            <w:r w:rsidRPr="00AD1724">
              <w:t xml:space="preserve">task management skills to work systematically with required attention to detail and </w:t>
            </w:r>
            <w:r w:rsidRPr="00AD1724">
              <w:t>adherence to all safety requirements</w:t>
            </w:r>
          </w:p>
          <w:p w:rsidR="00000000" w:rsidRPr="00AD1724" w:rsidP="00AD1724">
            <w:pPr>
              <w:pStyle w:val="ListBullet"/>
            </w:pPr>
            <w:r w:rsidRPr="00AD1724">
              <w:t>tec</w:t>
            </w:r>
            <w:r w:rsidRPr="00AD1724">
              <w:t>hnical skills to:</w:t>
            </w:r>
          </w:p>
          <w:p w:rsidR="00000000" w:rsidRPr="00AD1724" w:rsidP="00AD1724">
            <w:pPr>
              <w:pStyle w:val="ListBullet2"/>
            </w:pPr>
            <w:r w:rsidRPr="00AD1724">
              <w:t xml:space="preserve">use hand and power tools </w:t>
            </w:r>
          </w:p>
          <w:p w:rsidR="00000000" w:rsidP="00AD1724">
            <w:pPr>
              <w:pStyle w:val="ListBullet2"/>
              <w:rPr>
                <w:lang w:val="en-NZ"/>
              </w:rPr>
            </w:pPr>
            <w:r w:rsidRPr="00AD1724">
              <w:t>use diagnostic equipment</w:t>
            </w:r>
          </w:p>
        </w:tc>
      </w:tr>
      <w:tr w:rsidTr="000A06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r w:rsidRPr="00AD1724">
              <w:rPr>
                <w:rStyle w:val="SpecialBold"/>
              </w:rPr>
              <w:t>Required knowledge</w:t>
            </w:r>
          </w:p>
        </w:tc>
      </w:tr>
      <w:tr w:rsidTr="000A06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724" w:rsidP="00AD1724">
            <w:pPr>
              <w:pStyle w:val="ListBullet"/>
            </w:pPr>
            <w:r w:rsidRPr="00AD1724">
              <w:t>information required to operate equipment according to a test specification</w:t>
            </w:r>
          </w:p>
          <w:p w:rsidR="00000000" w:rsidRPr="00AD1724" w:rsidP="00AD1724">
            <w:pPr>
              <w:pStyle w:val="ListBullet"/>
            </w:pPr>
            <w:r w:rsidRPr="00AD1724">
              <w:t>features and operating requirements of test equipment</w:t>
            </w:r>
          </w:p>
          <w:p w:rsidR="00000000" w:rsidRPr="00AD1724" w:rsidP="00AD1724">
            <w:pPr>
              <w:pStyle w:val="ListBullet"/>
            </w:pPr>
            <w:r w:rsidRPr="00AD1724">
              <w:t>manufacturer's requirements for safe operation of equipment</w:t>
            </w:r>
          </w:p>
          <w:p w:rsidR="00000000" w:rsidRPr="00AD1724" w:rsidP="00AD1724">
            <w:pPr>
              <w:pStyle w:val="ListBullet"/>
            </w:pPr>
            <w:r w:rsidRPr="00AD1724">
              <w:t>test methods and performance requirements</w:t>
            </w:r>
          </w:p>
          <w:p w:rsidR="00000000" w:rsidRPr="00AD1724" w:rsidP="00AD1724">
            <w:pPr>
              <w:pStyle w:val="ListBullet"/>
            </w:pPr>
            <w:r w:rsidRPr="00AD1724">
              <w:t>typical issues and challenges that occur on site</w:t>
            </w:r>
          </w:p>
          <w:p w:rsidR="00000000" w:rsidRPr="00AD1724" w:rsidP="00AD1724">
            <w:pPr>
              <w:pStyle w:val="ListBullet"/>
            </w:pPr>
            <w:r w:rsidRPr="00AD1724">
              <w:t>specific OHS requirements relating to the activity and site conditions</w:t>
            </w:r>
          </w:p>
          <w:p w:rsidR="00000000" w:rsidRPr="00AD1724" w:rsidP="00AD1724">
            <w:pPr>
              <w:pStyle w:val="ListBullet"/>
            </w:pPr>
            <w:r w:rsidRPr="00AD1724">
              <w:t>legislation, codes of practice and</w:t>
            </w:r>
            <w:r w:rsidRPr="00AD1724">
              <w:t xml:space="preserve"> other formal agreements that impact on the work activity</w:t>
            </w:r>
          </w:p>
        </w:tc>
      </w:tr>
    </w:tbl>
    <w:p w:rsidR="000A067E" w:rsidP="00AD1724">
      <w:pPr>
        <w:pStyle w:val="BodyText"/>
      </w:pPr>
    </w:p>
    <w:p w:rsidR="000A067E" w:rsidP="00AD1724">
      <w:pPr>
        <w:pStyle w:val="BodyText"/>
      </w:pPr>
    </w:p>
    <w:p w:rsidR="00000000" w:rsidRPr="00AD1724" w:rsidP="00AD1724">
      <w:pPr>
        <w:pStyle w:val="AllowPageBreak"/>
      </w:pPr>
    </w:p>
    <w:p w:rsidR="00000000" w:rsidRPr="00AD1724" w:rsidP="00AD1724">
      <w:pPr>
        <w:pStyle w:val="Heading1"/>
      </w:pPr>
      <w:bookmarkStart w:id="10" w:name="O_244439"/>
      <w:bookmarkEnd w:id="10"/>
      <w:r w:rsidRPr="00AD1724">
        <w:t>Evidence Guide</w:t>
      </w:r>
    </w:p>
    <w:tbl>
      <w:tblPr>
        <w:tblW w:w="9570" w:type="dxa"/>
        <w:tblLayout w:type="fixed"/>
        <w:tblCellMar>
          <w:left w:w="62" w:type="dxa"/>
          <w:right w:w="62" w:type="dxa"/>
        </w:tblCellMar>
        <w:tblLook w:val="0000"/>
      </w:tblPr>
      <w:tblGrid>
        <w:gridCol w:w="3908"/>
        <w:gridCol w:w="5662"/>
      </w:tblGrid>
      <w:tr w:rsidTr="000A067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r w:rsidRPr="00AD1724">
              <w:rPr>
                <w:rStyle w:val="SpecialBold"/>
              </w:rPr>
              <w:t>EVIDENCE GUIDE</w:t>
            </w:r>
          </w:p>
        </w:tc>
      </w:tr>
      <w:tr w:rsidTr="000A067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r w:rsidRPr="00AD1724">
              <w:t>The evidence guide provides advice on assessment and must be read in conjunction with the performance criteria, required skills and knowledge, range statement and the Assessment Guidelines for the Training Package.</w:t>
            </w:r>
          </w:p>
        </w:tc>
      </w:tr>
      <w:tr w:rsidTr="000A06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r w:rsidRPr="00AD172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p>
        </w:tc>
      </w:tr>
      <w:tr w:rsidTr="000A06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r w:rsidRPr="00AD172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724" w:rsidP="00AD1724">
            <w:pPr>
              <w:pStyle w:val="BodyText"/>
            </w:pPr>
            <w:r w:rsidRPr="00AD1724">
              <w:t>Evidence of the ability to:</w:t>
            </w:r>
          </w:p>
          <w:p w:rsidR="00000000" w:rsidRPr="00AD1724" w:rsidP="00AD1724">
            <w:pPr>
              <w:pStyle w:val="ListBullet"/>
            </w:pPr>
            <w:r w:rsidRPr="00AD1724">
              <w:t xml:space="preserve">joint and terminate coaxial cable using specialised hand or power tools and equipment </w:t>
            </w:r>
          </w:p>
          <w:p w:rsidR="00000000" w:rsidRPr="00AD1724" w:rsidP="00AD1724">
            <w:pPr>
              <w:pStyle w:val="ListBullet"/>
            </w:pPr>
            <w:r w:rsidRPr="00AD1724">
              <w:t>apply related OHS requirements and work practic</w:t>
            </w:r>
            <w:r w:rsidRPr="00AD1724">
              <w:t>es</w:t>
            </w:r>
          </w:p>
          <w:p w:rsidR="00000000" w:rsidP="00AD1724">
            <w:pPr>
              <w:pStyle w:val="ListBullet"/>
              <w:rPr>
                <w:lang w:val="en-NZ"/>
              </w:rPr>
            </w:pPr>
            <w:r w:rsidRPr="00AD1724">
              <w:t>conduct signal strength tests and interpret results.</w:t>
            </w:r>
          </w:p>
        </w:tc>
      </w:tr>
      <w:tr w:rsidTr="000A06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r w:rsidRPr="00AD1724">
              <w:rPr>
                <w:rStyle w:val="SpecialBold"/>
              </w:rPr>
              <w:t>Context of</w:t>
            </w:r>
            <w:r w:rsidRPr="00AD1724">
              <w:t xml:space="preserve">, </w:t>
            </w:r>
            <w:r w:rsidRPr="00AD172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724" w:rsidP="00AD1724">
            <w:pPr>
              <w:pStyle w:val="BodyText"/>
            </w:pPr>
            <w:r w:rsidRPr="00AD1724">
              <w:t>Assessment must ensure:</w:t>
            </w:r>
          </w:p>
          <w:p w:rsidR="00000000" w:rsidRPr="00AD1724" w:rsidP="00AD1724">
            <w:pPr>
              <w:pStyle w:val="ListBullet"/>
            </w:pPr>
            <w:r w:rsidRPr="00AD1724">
              <w:t>sites where jointing metallic conductor cable may be conducted</w:t>
            </w:r>
          </w:p>
          <w:p w:rsidR="00000000" w:rsidRPr="00AD1724" w:rsidP="00AD1724">
            <w:pPr>
              <w:pStyle w:val="ListBullet"/>
            </w:pPr>
            <w:r w:rsidRPr="00AD1724">
              <w:t>use of joint testing equipment currently used in industry</w:t>
            </w:r>
          </w:p>
          <w:p w:rsidR="00000000" w:rsidP="00AD1724">
            <w:pPr>
              <w:pStyle w:val="ListBullet"/>
              <w:rPr>
                <w:lang w:val="en-NZ"/>
              </w:rPr>
            </w:pPr>
            <w:r w:rsidRPr="00AD1724">
              <w:t>relevant regulatory and equipment documentation that impact on cable jointing and testing activities.</w:t>
            </w:r>
          </w:p>
        </w:tc>
      </w:tr>
      <w:tr w:rsidTr="000A06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r w:rsidRPr="00AD1724">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724" w:rsidP="00AD1724">
            <w:pPr>
              <w:pStyle w:val="BodyText"/>
            </w:pPr>
            <w:r w:rsidRPr="00AD1724">
              <w:t>A range of assessment methods should be used to assess practical skills and knowledge. The following examples are appropriate for t</w:t>
            </w:r>
            <w:r w:rsidRPr="00AD1724">
              <w:t>his unit:</w:t>
            </w:r>
          </w:p>
          <w:p w:rsidR="00000000" w:rsidRPr="00AD1724" w:rsidP="00AD1724">
            <w:pPr>
              <w:pStyle w:val="ListBullet"/>
            </w:pPr>
            <w:r w:rsidRPr="00AD1724">
              <w:t xml:space="preserve">review of hands-on project completed by the candidate </w:t>
            </w:r>
          </w:p>
          <w:p w:rsidR="00000000" w:rsidRPr="00AD1724" w:rsidP="00AD1724">
            <w:pPr>
              <w:pStyle w:val="ListBullet"/>
            </w:pPr>
            <w:r w:rsidRPr="00AD1724">
              <w:t xml:space="preserve">review of oral and written report with test results </w:t>
            </w:r>
          </w:p>
          <w:p w:rsidR="00000000" w:rsidP="00AD1724">
            <w:pPr>
              <w:pStyle w:val="ListBullet"/>
              <w:rPr>
                <w:lang w:val="en-NZ"/>
              </w:rPr>
            </w:pPr>
            <w:r w:rsidRPr="00AD1724">
              <w:t>direct observation of the candidate jointing and terminating cables and testing joints.</w:t>
            </w:r>
          </w:p>
        </w:tc>
      </w:tr>
      <w:tr w:rsidTr="000A06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r w:rsidRPr="00AD1724">
              <w:rPr>
                <w:rStyle w:val="SpecialBold"/>
              </w:rPr>
              <w:t>Guidance information for assessment</w:t>
            </w:r>
            <w:r w:rsidRPr="00AD1724">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724" w:rsidP="00AD1724">
            <w:pPr>
              <w:pStyle w:val="BodyText"/>
            </w:pPr>
            <w:r w:rsidRPr="00AD1724">
              <w:t>Holistic as</w:t>
            </w:r>
            <w:r w:rsidRPr="00AD1724">
              <w:t>sessment with other units relevant to the industry sector, workplace and job role is recommended, for example:</w:t>
            </w:r>
          </w:p>
          <w:p w:rsidR="00000000" w:rsidRPr="00AD1724" w:rsidP="00AD1724">
            <w:pPr>
              <w:pStyle w:val="ListBullet"/>
            </w:pPr>
            <w:r w:rsidRPr="00AD1724">
              <w:t>ICTCBL2005A Install customer cable support systems</w:t>
            </w:r>
          </w:p>
          <w:p w:rsidR="00000000" w:rsidRPr="00AD1724" w:rsidP="00AD1724">
            <w:pPr>
              <w:pStyle w:val="ListBullet"/>
            </w:pPr>
            <w:r w:rsidRPr="00AD1724">
              <w:t>ICTCBL2006A Place and secure customer cable.</w:t>
            </w:r>
          </w:p>
          <w:p w:rsidR="00000000" w:rsidRPr="00AD1724" w:rsidP="00AD1724">
            <w:pPr>
              <w:pStyle w:val="BodyText"/>
            </w:pPr>
          </w:p>
          <w:p w:rsidR="00000000" w:rsidRPr="00AD1724" w:rsidP="00AD1724">
            <w:pPr>
              <w:pStyle w:val="BodyText"/>
            </w:pPr>
            <w:r w:rsidRPr="00AD1724">
              <w:t>Aboriginal people and other people from a non-English speaking background may have second language issues.</w:t>
            </w:r>
          </w:p>
          <w:p w:rsidR="00000000" w:rsidRPr="00AD1724" w:rsidP="00AD1724">
            <w:pPr>
              <w:pStyle w:val="BodyText"/>
            </w:pPr>
          </w:p>
          <w:p w:rsidR="00000000" w:rsidRPr="00AD1724" w:rsidP="00AD1724">
            <w:pPr>
              <w:pStyle w:val="BodyText"/>
            </w:pPr>
            <w:r w:rsidRPr="00AD1724">
              <w:t xml:space="preserve">Access must be provided to appropriate learning and assessment support when required. </w:t>
            </w:r>
          </w:p>
          <w:p w:rsidR="00000000" w:rsidRPr="00AD1724" w:rsidP="00AD1724">
            <w:pPr>
              <w:pStyle w:val="BodyText"/>
            </w:pPr>
          </w:p>
          <w:p w:rsidR="00000000" w:rsidRPr="00AD1724" w:rsidP="00AD1724">
            <w:pPr>
              <w:pStyle w:val="BodyText"/>
            </w:pPr>
            <w:r w:rsidRPr="00AD1724">
              <w:t>Assessment processes and techniques must be culturally appro</w:t>
            </w:r>
            <w:r w:rsidRPr="00AD1724">
              <w:t>priate, and appropriate to the oral communication skill level, and language and literacy capacity of the candidate and the work being performed.</w:t>
            </w:r>
          </w:p>
          <w:p w:rsidR="00000000" w:rsidRPr="00AD1724" w:rsidP="00AD1724">
            <w:pPr>
              <w:pStyle w:val="BodyText"/>
            </w:pPr>
          </w:p>
          <w:p w:rsidR="00000000" w:rsidRPr="00AD1724" w:rsidP="00AD1724">
            <w:pPr>
              <w:pStyle w:val="BodyText"/>
            </w:pPr>
            <w:r w:rsidRPr="00AD1724">
              <w:t>In all cases where practical assessment is used it will be combined with targeted questioning to assess requir</w:t>
            </w:r>
            <w:r w:rsidRPr="00AD1724">
              <w:t xml:space="preserve">ed knowledge. Questioning techniques should not require language, literacy and numeracy skills beyond those required in this unit of competency. </w:t>
            </w:r>
          </w:p>
          <w:p w:rsidR="00000000" w:rsidRPr="00AD1724" w:rsidP="00AD1724">
            <w:pPr>
              <w:pStyle w:val="BodyText"/>
            </w:pPr>
          </w:p>
          <w:p w:rsidR="00000000" w:rsidRPr="00AD1724" w:rsidP="00AD1724">
            <w:pPr>
              <w:pStyle w:val="BodyText"/>
            </w:pPr>
            <w:r w:rsidRPr="00AD1724">
              <w:t>Where applicable, physical resources should include equipment modified for people with special needs.</w:t>
            </w:r>
          </w:p>
        </w:tc>
      </w:tr>
    </w:tbl>
    <w:p w:rsidR="000A067E" w:rsidP="00AD1724">
      <w:pPr>
        <w:pStyle w:val="BodyText"/>
      </w:pPr>
    </w:p>
    <w:p w:rsidR="000A067E" w:rsidP="00AD1724">
      <w:pPr>
        <w:pStyle w:val="BodyText"/>
      </w:pPr>
    </w:p>
    <w:p w:rsidR="00000000" w:rsidRPr="00AD1724" w:rsidP="00AD1724">
      <w:pPr>
        <w:pStyle w:val="Heading1"/>
      </w:pPr>
      <w:bookmarkStart w:id="11" w:name="O_252422"/>
      <w:bookmarkEnd w:id="11"/>
      <w:r w:rsidRPr="00AD1724">
        <w:t>Range Statement</w:t>
      </w:r>
    </w:p>
    <w:tbl>
      <w:tblPr>
        <w:tblW w:w="0" w:type="auto"/>
        <w:tblLayout w:type="fixed"/>
        <w:tblCellMar>
          <w:left w:w="62" w:type="dxa"/>
          <w:right w:w="62" w:type="dxa"/>
        </w:tblCellMar>
        <w:tblLook w:val="0000"/>
      </w:tblPr>
      <w:tblGrid>
        <w:gridCol w:w="3497"/>
        <w:gridCol w:w="5025"/>
      </w:tblGrid>
      <w:tr w:rsidTr="000A067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r w:rsidRPr="00AD1724">
              <w:rPr>
                <w:rStyle w:val="SpecialBold"/>
              </w:rPr>
              <w:t>RANGE STATEMENT</w:t>
            </w:r>
          </w:p>
        </w:tc>
      </w:tr>
      <w:tr w:rsidTr="000A06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r w:rsidRPr="00AD1724">
              <w:t>The range statement relates to the unit of competency as a whole. It allows for different work environments and situations that may affect performance. Bold italicised wording, if used in the performance cr</w:t>
            </w:r>
            <w:r w:rsidRPr="00AD1724">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0A067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r w:rsidRPr="00AD1724">
              <w:rPr>
                <w:rStyle w:val="BoldandItalics"/>
              </w:rPr>
              <w:t>Site security arrangements</w:t>
            </w:r>
            <w:r w:rsidRPr="00AD172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724" w:rsidP="00AD1724">
            <w:pPr>
              <w:pStyle w:val="ListBullet"/>
            </w:pPr>
            <w:r w:rsidRPr="00AD1724">
              <w:t>access times and methods</w:t>
            </w:r>
          </w:p>
          <w:p w:rsidR="00000000" w:rsidRPr="00AD1724" w:rsidP="00AD1724">
            <w:pPr>
              <w:pStyle w:val="ListBullet"/>
            </w:pPr>
            <w:r w:rsidRPr="00AD1724">
              <w:t>approval to enter site</w:t>
            </w:r>
          </w:p>
          <w:p w:rsidR="00000000" w:rsidRPr="00AD1724" w:rsidP="00AD1724">
            <w:pPr>
              <w:pStyle w:val="ListBullet"/>
            </w:pPr>
            <w:r w:rsidRPr="00AD1724">
              <w:t>approved entry requirements</w:t>
            </w:r>
          </w:p>
          <w:p w:rsidR="00000000" w:rsidRPr="00AD1724" w:rsidP="00AD1724">
            <w:pPr>
              <w:pStyle w:val="ListBullet"/>
            </w:pPr>
            <w:r w:rsidRPr="00AD1724">
              <w:t>electronic surveillance</w:t>
            </w:r>
          </w:p>
          <w:p w:rsidR="00000000" w:rsidP="00AD1724">
            <w:pPr>
              <w:pStyle w:val="ListBullet"/>
              <w:rPr>
                <w:lang w:val="en-NZ"/>
              </w:rPr>
            </w:pPr>
            <w:r w:rsidRPr="00AD1724">
              <w:t>security clearance.</w:t>
            </w:r>
          </w:p>
        </w:tc>
      </w:tr>
      <w:tr w:rsidTr="000A067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r w:rsidRPr="00AD1724">
              <w:rPr>
                <w:rStyle w:val="BoldandItalics"/>
              </w:rPr>
              <w:t>Relevant legislation</w:t>
            </w:r>
            <w:r w:rsidRPr="00AD1724">
              <w:t xml:space="preserve">, </w:t>
            </w:r>
            <w:r w:rsidRPr="00AD1724">
              <w:rPr>
                <w:rStyle w:val="BoldandItalics"/>
              </w:rPr>
              <w:t>codes</w:t>
            </w:r>
            <w:r w:rsidRPr="00AD1724">
              <w:t xml:space="preserve">, </w:t>
            </w:r>
            <w:r w:rsidRPr="00AD1724">
              <w:rPr>
                <w:rStyle w:val="BoldandItalics"/>
              </w:rPr>
              <w:t>regulations and standards</w:t>
            </w:r>
            <w:r w:rsidRPr="00AD172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724" w:rsidP="00AD1724">
            <w:pPr>
              <w:pStyle w:val="ListBullet"/>
            </w:pPr>
            <w:r w:rsidRPr="00AD1724">
              <w:t>Australian Communications Industry Forum (ACIF) standards and codes</w:t>
            </w:r>
          </w:p>
          <w:p w:rsidR="00000000" w:rsidRPr="00AD1724" w:rsidP="00AD1724">
            <w:pPr>
              <w:pStyle w:val="ListBullet"/>
            </w:pPr>
            <w:r w:rsidRPr="00AD1724">
              <w:t>Australian Communications and Media Authority (ACMA) technical standards</w:t>
            </w:r>
          </w:p>
          <w:p w:rsidR="00000000" w:rsidRPr="00AD1724" w:rsidP="00AD1724">
            <w:pPr>
              <w:pStyle w:val="ListBullet"/>
            </w:pPr>
            <w:r w:rsidRPr="00AD1724">
              <w:t>ARPANSA electromagnetic radiation (EMR) standard</w:t>
            </w:r>
          </w:p>
          <w:p w:rsidR="00000000" w:rsidRPr="00AD1724" w:rsidP="00AD1724">
            <w:pPr>
              <w:pStyle w:val="ListBullet"/>
            </w:pPr>
            <w:r w:rsidRPr="00AD1724">
              <w:t xml:space="preserve">AS Communications Cabling Manual (CCM) </w:t>
            </w:r>
            <w:r w:rsidRPr="00AD1724">
              <w:br/>
              <w:t>Volume 1</w:t>
            </w:r>
          </w:p>
          <w:p w:rsidR="00000000" w:rsidRPr="00AD1724" w:rsidP="00AD1724">
            <w:pPr>
              <w:pStyle w:val="ListBullet"/>
            </w:pPr>
            <w:r w:rsidRPr="00AD1724">
              <w:t>AS/NZS 3000:2007</w:t>
            </w:r>
          </w:p>
          <w:p w:rsidR="00000000" w:rsidRPr="00AD1724" w:rsidP="00AD1724">
            <w:pPr>
              <w:pStyle w:val="ListBullet"/>
            </w:pPr>
            <w:r w:rsidRPr="00AD1724">
              <w:t>AS/NZS 3080:2003</w:t>
            </w:r>
          </w:p>
          <w:p w:rsidR="00000000" w:rsidRPr="00AD1724" w:rsidP="00AD1724">
            <w:pPr>
              <w:pStyle w:val="ListBullet"/>
            </w:pPr>
            <w:r w:rsidRPr="00AD1724">
              <w:t>AS/NZS 3084:2003</w:t>
            </w:r>
          </w:p>
          <w:p w:rsidR="00000000" w:rsidRPr="00AD1724" w:rsidP="00AD1724">
            <w:pPr>
              <w:pStyle w:val="ListBullet"/>
            </w:pPr>
            <w:r w:rsidRPr="00AD1724">
              <w:t>AS/NZS 3085.1:2004</w:t>
            </w:r>
          </w:p>
          <w:p w:rsidR="00000000" w:rsidRPr="00AD1724" w:rsidP="00AD1724">
            <w:pPr>
              <w:pStyle w:val="ListBullet"/>
            </w:pPr>
            <w:r w:rsidRPr="00AD1724">
              <w:t>AS/NZS IEC 61935.1:2006</w:t>
            </w:r>
          </w:p>
          <w:p w:rsidR="00000000" w:rsidRPr="00AD1724" w:rsidP="00AD1724">
            <w:pPr>
              <w:pStyle w:val="ListBullet"/>
            </w:pPr>
            <w:r w:rsidRPr="00AD1724">
              <w:t>AS/NZS IEC 61935.2:2006</w:t>
            </w:r>
          </w:p>
          <w:p w:rsidR="00000000" w:rsidRPr="00AD1724" w:rsidP="00AD1724">
            <w:pPr>
              <w:pStyle w:val="ListBullet"/>
            </w:pPr>
            <w:r w:rsidRPr="00AD1724">
              <w:t>AS/NZS ISO/IEC 14763.3:2007</w:t>
            </w:r>
          </w:p>
          <w:p w:rsidR="00000000" w:rsidRPr="00AD1724" w:rsidP="00AD1724">
            <w:pPr>
              <w:pStyle w:val="ListBullet"/>
            </w:pPr>
            <w:r w:rsidRPr="00AD1724">
              <w:t>AS/NZS ISO/IEC 15018:2005</w:t>
            </w:r>
          </w:p>
          <w:p w:rsidR="00000000" w:rsidRPr="00AD1724" w:rsidP="00AD1724">
            <w:pPr>
              <w:pStyle w:val="ListBullet"/>
            </w:pPr>
            <w:r w:rsidRPr="00AD1724">
              <w:t xml:space="preserve">AS/NZS ISO/IEC 24702:2007 </w:t>
            </w:r>
          </w:p>
          <w:p w:rsidR="00000000" w:rsidRPr="00AD1724" w:rsidP="00AD1724">
            <w:pPr>
              <w:pStyle w:val="ListBullet"/>
            </w:pPr>
            <w:r w:rsidRPr="00AD1724">
              <w:t>Australian building codes and regulations</w:t>
            </w:r>
          </w:p>
          <w:p w:rsidR="00000000" w:rsidRPr="00AD1724" w:rsidP="00AD1724">
            <w:pPr>
              <w:pStyle w:val="ListBullet"/>
            </w:pPr>
            <w:r w:rsidRPr="00AD1724">
              <w:t xml:space="preserve">cabling security codes and regulations </w:t>
            </w:r>
          </w:p>
          <w:p w:rsidR="00000000" w:rsidRPr="00AD1724" w:rsidP="00AD1724">
            <w:pPr>
              <w:pStyle w:val="ListBullet"/>
            </w:pPr>
            <w:r w:rsidRPr="00AD1724">
              <w:t>confined spaces regulations</w:t>
            </w:r>
          </w:p>
          <w:p w:rsidR="00000000" w:rsidRPr="00AD1724" w:rsidP="00AD1724">
            <w:pPr>
              <w:pStyle w:val="ListBullet"/>
            </w:pPr>
            <w:r w:rsidRPr="00AD1724">
              <w:t>enterprise standards</w:t>
            </w:r>
          </w:p>
          <w:p w:rsidR="00000000" w:rsidRPr="00AD1724" w:rsidP="00AD1724">
            <w:pPr>
              <w:pStyle w:val="ListBullet"/>
            </w:pPr>
            <w:r w:rsidRPr="00AD1724">
              <w:t>environmental protection</w:t>
            </w:r>
          </w:p>
          <w:p w:rsidR="00000000" w:rsidRPr="00AD1724" w:rsidP="00AD1724">
            <w:pPr>
              <w:pStyle w:val="ListBullet"/>
            </w:pPr>
            <w:r w:rsidRPr="00AD1724">
              <w:t>equipment standards</w:t>
            </w:r>
          </w:p>
          <w:p w:rsidR="00000000" w:rsidRPr="00AD1724" w:rsidP="00AD1724">
            <w:pPr>
              <w:pStyle w:val="ListBullet"/>
            </w:pPr>
            <w:r w:rsidRPr="00AD1724">
              <w:t>fire regulations</w:t>
            </w:r>
          </w:p>
          <w:p w:rsidR="00000000" w:rsidRPr="00AD1724" w:rsidP="00AD1724">
            <w:pPr>
              <w:pStyle w:val="ListBullet"/>
            </w:pPr>
            <w:r w:rsidRPr="00AD1724">
              <w:t>heritage legislation</w:t>
            </w:r>
          </w:p>
          <w:p w:rsidR="00000000" w:rsidRPr="00AD1724" w:rsidP="00AD1724">
            <w:pPr>
              <w:pStyle w:val="ListBullet"/>
            </w:pPr>
            <w:r w:rsidRPr="00AD1724">
              <w:t>international standards</w:t>
            </w:r>
          </w:p>
          <w:p w:rsidR="00000000" w:rsidRPr="00AD1724" w:rsidP="00AD1724">
            <w:pPr>
              <w:pStyle w:val="ListBullet"/>
            </w:pPr>
            <w:r w:rsidRPr="00AD1724">
              <w:t xml:space="preserve">intrinsically safe lightning protection </w:t>
            </w:r>
          </w:p>
          <w:p w:rsidR="00000000" w:rsidRPr="00AD1724" w:rsidP="00AD1724">
            <w:pPr>
              <w:pStyle w:val="ListBullet"/>
            </w:pPr>
            <w:r w:rsidRPr="00AD1724">
              <w:t>local government</w:t>
            </w:r>
          </w:p>
          <w:p w:rsidR="00000000" w:rsidRPr="00AD1724" w:rsidP="00AD1724">
            <w:pPr>
              <w:pStyle w:val="ListBullet"/>
            </w:pPr>
            <w:r w:rsidRPr="00AD1724">
              <w:t>mi</w:t>
            </w:r>
            <w:r w:rsidRPr="00AD1724">
              <w:t>ning legislation</w:t>
            </w:r>
          </w:p>
          <w:p w:rsidR="00000000" w:rsidRPr="00AD1724" w:rsidP="00AD1724">
            <w:pPr>
              <w:pStyle w:val="ListBullet"/>
            </w:pPr>
            <w:r w:rsidRPr="00AD1724">
              <w:t>noise abatement and heritage legislation</w:t>
            </w:r>
          </w:p>
          <w:p w:rsidR="00000000" w:rsidRPr="00AD1724" w:rsidP="00AD1724">
            <w:pPr>
              <w:pStyle w:val="ListBullet"/>
            </w:pPr>
            <w:r w:rsidRPr="00AD1724">
              <w:t>OHS</w:t>
            </w:r>
          </w:p>
          <w:p w:rsidR="00000000" w:rsidRPr="00AD1724" w:rsidP="00AD1724">
            <w:pPr>
              <w:pStyle w:val="ListBullet"/>
            </w:pPr>
            <w:r w:rsidRPr="00AD1724">
              <w:t>Radcoms Act</w:t>
            </w:r>
          </w:p>
          <w:p w:rsidR="00000000" w:rsidRPr="00AD1724" w:rsidP="00AD1724">
            <w:pPr>
              <w:pStyle w:val="ListBullet"/>
            </w:pPr>
            <w:r w:rsidRPr="00AD1724">
              <w:t xml:space="preserve">regulated or industry codes of practice </w:t>
            </w:r>
          </w:p>
          <w:p w:rsidR="00000000" w:rsidRPr="00AD1724" w:rsidP="00AD1724">
            <w:pPr>
              <w:pStyle w:val="ListBullet"/>
            </w:pPr>
            <w:r w:rsidRPr="00AD1724">
              <w:t>site engineering standard</w:t>
            </w:r>
          </w:p>
          <w:p w:rsidR="00000000" w:rsidRPr="00AD1724" w:rsidP="00AD1724">
            <w:pPr>
              <w:pStyle w:val="ListBullet"/>
            </w:pPr>
            <w:r w:rsidRPr="00AD1724">
              <w:t xml:space="preserve">technical standards AS/ACIF S008:2006 and AS/ACIF S009:2006 </w:t>
            </w:r>
          </w:p>
          <w:p w:rsidR="00000000" w:rsidRPr="00AD1724" w:rsidP="00AD1724">
            <w:pPr>
              <w:pStyle w:val="ListBullet"/>
            </w:pPr>
            <w:r w:rsidRPr="00AD1724">
              <w:t xml:space="preserve">Telecoms Act </w:t>
            </w:r>
          </w:p>
          <w:p w:rsidR="00000000" w:rsidP="00AD1724">
            <w:pPr>
              <w:pStyle w:val="ListBullet"/>
              <w:rPr>
                <w:lang w:val="en-NZ"/>
              </w:rPr>
            </w:pPr>
            <w:r w:rsidRPr="00AD1724">
              <w:t>WIs, CIs, Business Operating Procedures (BOP), Radiocommunications Assignment and Licensing Instruction (RALI), assignment guidelines, spectrum planning reports.</w:t>
            </w:r>
          </w:p>
        </w:tc>
      </w:tr>
      <w:tr w:rsidTr="000A067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r w:rsidRPr="00AD1724">
              <w:rPr>
                <w:rStyle w:val="BoldandItalics"/>
              </w:rPr>
              <w:t>Customer's installation specifications</w:t>
            </w:r>
            <w:r w:rsidRPr="00AD172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724" w:rsidP="00AD1724">
            <w:pPr>
              <w:pStyle w:val="ListBullet"/>
            </w:pPr>
            <w:r w:rsidRPr="00AD1724">
              <w:t>cable plans and designs</w:t>
            </w:r>
          </w:p>
          <w:p w:rsidR="00000000" w:rsidRPr="00AD1724" w:rsidP="00AD1724">
            <w:pPr>
              <w:pStyle w:val="ListBullet"/>
            </w:pPr>
            <w:r w:rsidRPr="00AD1724">
              <w:t>contract documen</w:t>
            </w:r>
            <w:r w:rsidRPr="00AD1724">
              <w:t>ts</w:t>
            </w:r>
          </w:p>
          <w:p w:rsidR="00000000" w:rsidP="00AD1724">
            <w:pPr>
              <w:pStyle w:val="ListBullet"/>
              <w:rPr>
                <w:lang w:val="en-NZ"/>
              </w:rPr>
            </w:pPr>
            <w:r w:rsidRPr="00AD1724">
              <w:t>specification schedules.</w:t>
            </w:r>
          </w:p>
        </w:tc>
      </w:tr>
      <w:tr w:rsidTr="000A067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r w:rsidRPr="00AD1724">
              <w:rPr>
                <w:rStyle w:val="BoldandItalics"/>
              </w:rPr>
              <w:t>Other services</w:t>
            </w:r>
            <w:r w:rsidRPr="00AD172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724" w:rsidP="00AD1724">
            <w:pPr>
              <w:pStyle w:val="ListBullet"/>
            </w:pPr>
            <w:r w:rsidRPr="00AD1724">
              <w:t>availability and suitability of existing cabling trays and fixing systems</w:t>
            </w:r>
          </w:p>
          <w:p w:rsidR="00000000" w:rsidRPr="00AD1724" w:rsidP="00AD1724">
            <w:pPr>
              <w:pStyle w:val="ListBullet"/>
            </w:pPr>
            <w:r w:rsidRPr="00AD1724">
              <w:t>fire sprinkler systems</w:t>
            </w:r>
          </w:p>
          <w:p w:rsidR="00000000" w:rsidRPr="00AD1724" w:rsidP="00AD1724">
            <w:pPr>
              <w:pStyle w:val="ListBullet"/>
            </w:pPr>
            <w:r w:rsidRPr="00AD1724">
              <w:t>gas and water mains</w:t>
            </w:r>
          </w:p>
          <w:p w:rsidR="00000000" w:rsidP="00AD1724">
            <w:pPr>
              <w:pStyle w:val="ListBullet"/>
              <w:rPr>
                <w:lang w:val="en-NZ"/>
              </w:rPr>
            </w:pPr>
            <w:r w:rsidRPr="00AD1724">
              <w:t>high voltage (HV) power.</w:t>
            </w:r>
          </w:p>
        </w:tc>
      </w:tr>
      <w:tr w:rsidTr="000A067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r w:rsidRPr="00AD1724">
              <w:rPr>
                <w:rStyle w:val="BoldandItalics"/>
              </w:rPr>
              <w:t>OHS</w:t>
            </w:r>
            <w:r w:rsidRPr="00AD1724">
              <w:t xml:space="preserve"> may include: </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724" w:rsidP="00AD1724">
            <w:pPr>
              <w:pStyle w:val="ListBullet"/>
            </w:pPr>
            <w:r w:rsidRPr="00AD1724">
              <w:t>safe use and handling of:</w:t>
            </w:r>
          </w:p>
          <w:p w:rsidR="00000000" w:rsidRPr="00AD1724" w:rsidP="00AD1724">
            <w:pPr>
              <w:pStyle w:val="ListBullet2"/>
            </w:pPr>
            <w:r w:rsidRPr="00AD1724">
              <w:t xml:space="preserve">chemicals </w:t>
            </w:r>
          </w:p>
          <w:p w:rsidR="00000000" w:rsidRPr="00AD1724" w:rsidP="00AD1724">
            <w:pPr>
              <w:pStyle w:val="ListBullet2"/>
            </w:pPr>
            <w:r w:rsidRPr="00AD1724">
              <w:t>materials</w:t>
            </w:r>
          </w:p>
          <w:p w:rsidR="00000000" w:rsidRPr="00AD1724" w:rsidP="00AD1724">
            <w:pPr>
              <w:pStyle w:val="ListBullet2"/>
            </w:pPr>
            <w:r w:rsidRPr="00AD1724">
              <w:t>tools and equipment</w:t>
            </w:r>
          </w:p>
          <w:p w:rsidR="00000000" w:rsidP="00AD1724">
            <w:pPr>
              <w:pStyle w:val="ListBullet2"/>
              <w:rPr>
                <w:lang w:val="en-NZ"/>
              </w:rPr>
            </w:pPr>
            <w:r w:rsidRPr="00AD1724">
              <w:t>work platforms.</w:t>
            </w:r>
          </w:p>
        </w:tc>
      </w:tr>
      <w:tr w:rsidTr="000A067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r w:rsidRPr="00AD1724">
              <w:rPr>
                <w:rStyle w:val="BoldandItalics"/>
              </w:rPr>
              <w:t>Coaxial cable</w:t>
            </w:r>
            <w:r w:rsidRPr="00AD1724">
              <w:t xml:space="preserve"> may be: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724" w:rsidP="00AD1724">
            <w:pPr>
              <w:pStyle w:val="ListBullet"/>
            </w:pPr>
            <w:r w:rsidRPr="00AD1724">
              <w:t>aerial or underground</w:t>
            </w:r>
          </w:p>
          <w:p w:rsidR="00000000" w:rsidRPr="00AD1724" w:rsidP="00AD1724">
            <w:pPr>
              <w:pStyle w:val="ListBullet"/>
            </w:pPr>
            <w:r w:rsidRPr="00AD1724">
              <w:t>flexible:</w:t>
            </w:r>
          </w:p>
          <w:p w:rsidR="00000000" w:rsidRPr="00AD1724" w:rsidP="00AD1724">
            <w:pPr>
              <w:pStyle w:val="ListBullet2"/>
            </w:pPr>
            <w:r w:rsidRPr="00AD1724">
              <w:t>external</w:t>
            </w:r>
          </w:p>
          <w:p w:rsidR="00000000" w:rsidRPr="00AD1724" w:rsidP="00AD1724">
            <w:pPr>
              <w:pStyle w:val="ListBullet2"/>
            </w:pPr>
            <w:r w:rsidRPr="00AD1724">
              <w:t xml:space="preserve">internal </w:t>
            </w:r>
          </w:p>
          <w:p w:rsidR="00000000" w:rsidRPr="00AD1724" w:rsidP="00AD1724">
            <w:pPr>
              <w:pStyle w:val="ListBullet"/>
            </w:pPr>
            <w:r w:rsidRPr="00AD1724">
              <w:t>flooded coaxial for underground use</w:t>
            </w:r>
          </w:p>
          <w:p w:rsidR="00000000" w:rsidRPr="00AD1724" w:rsidP="00AD1724">
            <w:pPr>
              <w:pStyle w:val="ListBullet"/>
            </w:pPr>
            <w:r w:rsidRPr="00AD1724">
              <w:t>hard line:</w:t>
            </w:r>
          </w:p>
          <w:p w:rsidR="00000000" w:rsidRPr="00AD1724" w:rsidP="00AD1724">
            <w:pPr>
              <w:pStyle w:val="ListBullet2"/>
            </w:pPr>
            <w:r w:rsidRPr="00AD1724">
              <w:t>external</w:t>
            </w:r>
          </w:p>
          <w:p w:rsidR="00000000" w:rsidRPr="00AD1724" w:rsidP="00AD1724">
            <w:pPr>
              <w:pStyle w:val="ListBullet2"/>
            </w:pPr>
            <w:r w:rsidRPr="00AD1724">
              <w:t>internal</w:t>
            </w:r>
          </w:p>
          <w:p w:rsidR="00000000" w:rsidRPr="00AD1724" w:rsidP="00AD1724">
            <w:pPr>
              <w:pStyle w:val="ListBullet"/>
            </w:pPr>
            <w:r w:rsidRPr="00AD1724">
              <w:t xml:space="preserve">powered or unpowered </w:t>
            </w:r>
          </w:p>
          <w:p w:rsidR="00000000" w:rsidP="00AD1724">
            <w:pPr>
              <w:pStyle w:val="ListBullet"/>
              <w:rPr>
                <w:lang w:val="en-NZ"/>
              </w:rPr>
            </w:pPr>
            <w:r w:rsidRPr="00AD1724">
              <w:t>RG6 and RG11 quad shield.</w:t>
            </w:r>
          </w:p>
        </w:tc>
      </w:tr>
      <w:tr w:rsidTr="000A067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r w:rsidRPr="00AD1724">
              <w:rPr>
                <w:rStyle w:val="BoldandItalics"/>
              </w:rPr>
              <w:t>Manufacturer's specifications</w:t>
            </w:r>
            <w:r w:rsidRPr="00AD172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724" w:rsidP="00AD1724">
            <w:pPr>
              <w:pStyle w:val="ListBullet"/>
            </w:pPr>
            <w:r w:rsidRPr="00AD1724">
              <w:t>electrical characteristics:</w:t>
            </w:r>
          </w:p>
          <w:p w:rsidR="00000000" w:rsidRPr="00AD1724" w:rsidP="00AD1724">
            <w:pPr>
              <w:pStyle w:val="ListBullet2"/>
            </w:pPr>
            <w:r w:rsidRPr="00AD1724">
              <w:t>isolation voltage</w:t>
            </w:r>
          </w:p>
          <w:p w:rsidR="00000000" w:rsidRPr="00AD1724" w:rsidP="00AD1724">
            <w:pPr>
              <w:pStyle w:val="ListBullet2"/>
            </w:pPr>
            <w:r w:rsidRPr="00AD1724">
              <w:t>voltage requirements</w:t>
            </w:r>
          </w:p>
          <w:p w:rsidR="00000000" w:rsidRPr="00AD1724" w:rsidP="00AD1724">
            <w:pPr>
              <w:pStyle w:val="ListBullet"/>
            </w:pPr>
            <w:r w:rsidRPr="00AD1724">
              <w:t>handling instructions</w:t>
            </w:r>
          </w:p>
          <w:p w:rsidR="00000000" w:rsidRPr="00AD1724" w:rsidP="00AD1724">
            <w:pPr>
              <w:pStyle w:val="ListBullet"/>
            </w:pPr>
            <w:r w:rsidRPr="00AD1724">
              <w:t>installation instructions</w:t>
            </w:r>
          </w:p>
          <w:p w:rsidR="00000000" w:rsidRPr="00AD1724" w:rsidP="00AD1724">
            <w:pPr>
              <w:pStyle w:val="ListBullet"/>
            </w:pPr>
            <w:r w:rsidRPr="00AD1724">
              <w:t>performance characteristics</w:t>
            </w:r>
          </w:p>
          <w:p w:rsidR="00000000" w:rsidRPr="00AD1724" w:rsidP="00AD1724">
            <w:pPr>
              <w:pStyle w:val="ListBullet2"/>
            </w:pPr>
            <w:r w:rsidRPr="00AD1724">
              <w:t>frequency response</w:t>
            </w:r>
          </w:p>
          <w:p w:rsidR="00000000" w:rsidRPr="00AD1724" w:rsidP="00AD1724">
            <w:pPr>
              <w:pStyle w:val="ListBullet2"/>
            </w:pPr>
            <w:r w:rsidRPr="00AD1724">
              <w:t>impedance</w:t>
            </w:r>
          </w:p>
          <w:p w:rsidR="00000000" w:rsidRPr="00AD1724" w:rsidP="00AD1724">
            <w:pPr>
              <w:pStyle w:val="ListBullet2"/>
            </w:pPr>
            <w:r w:rsidRPr="00AD1724">
              <w:t>loss</w:t>
            </w:r>
          </w:p>
          <w:p w:rsidR="00000000" w:rsidP="00AD1724">
            <w:pPr>
              <w:pStyle w:val="ListBullet2"/>
              <w:rPr>
                <w:lang w:val="en-NZ"/>
              </w:rPr>
            </w:pPr>
            <w:r w:rsidRPr="00AD1724">
              <w:t>testing details.</w:t>
            </w:r>
          </w:p>
        </w:tc>
      </w:tr>
      <w:tr w:rsidTr="000A067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r w:rsidRPr="00AD1724">
              <w:rPr>
                <w:rStyle w:val="BoldandItalics"/>
              </w:rPr>
              <w:t>Tools</w:t>
            </w:r>
            <w:r w:rsidRPr="00AD1724">
              <w:t xml:space="preserve"> may include: </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724" w:rsidP="00AD1724">
            <w:pPr>
              <w:pStyle w:val="ListBullet"/>
            </w:pPr>
            <w:r w:rsidRPr="00AD1724">
              <w:t xml:space="preserve">hand or power tools: </w:t>
            </w:r>
          </w:p>
          <w:p w:rsidR="00000000" w:rsidRPr="00AD1724" w:rsidP="00AD1724">
            <w:pPr>
              <w:pStyle w:val="ListBullet2"/>
            </w:pPr>
            <w:r w:rsidRPr="00AD1724">
              <w:t>connector gauges</w:t>
            </w:r>
          </w:p>
          <w:p w:rsidR="00000000" w:rsidRPr="00AD1724" w:rsidP="00AD1724">
            <w:pPr>
              <w:pStyle w:val="ListBullet2"/>
            </w:pPr>
            <w:r w:rsidRPr="00AD1724">
              <w:t>coring</w:t>
            </w:r>
          </w:p>
          <w:p w:rsidR="00000000" w:rsidRPr="00AD1724" w:rsidP="00AD1724">
            <w:pPr>
              <w:pStyle w:val="ListBullet2"/>
            </w:pPr>
            <w:r w:rsidRPr="00AD1724">
              <w:t>crimping</w:t>
            </w:r>
          </w:p>
          <w:p w:rsidR="00000000" w:rsidRPr="00AD1724" w:rsidP="00AD1724">
            <w:pPr>
              <w:pStyle w:val="ListBullet2"/>
            </w:pPr>
            <w:r w:rsidRPr="00AD1724">
              <w:t>stripping and preparation tool</w:t>
            </w:r>
          </w:p>
          <w:p w:rsidR="00000000" w:rsidP="00AD1724">
            <w:pPr>
              <w:pStyle w:val="ListBullet2"/>
              <w:rPr>
                <w:lang w:val="en-NZ"/>
              </w:rPr>
            </w:pPr>
            <w:r w:rsidRPr="00AD1724">
              <w:t>torque spanner.</w:t>
            </w:r>
          </w:p>
        </w:tc>
      </w:tr>
      <w:tr w:rsidTr="000A067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r w:rsidRPr="00AD1724">
              <w:rPr>
                <w:rStyle w:val="BoldandItalics"/>
              </w:rPr>
              <w:t>Connectors</w:t>
            </w:r>
            <w:r w:rsidRPr="00AD172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724" w:rsidP="00AD1724">
            <w:pPr>
              <w:pStyle w:val="ListBullet"/>
            </w:pPr>
            <w:r w:rsidRPr="00AD1724">
              <w:t>integral pin</w:t>
            </w:r>
          </w:p>
          <w:p w:rsidR="00000000" w:rsidRPr="00AD1724" w:rsidP="00AD1724">
            <w:pPr>
              <w:pStyle w:val="ListBullet"/>
            </w:pPr>
            <w:r w:rsidRPr="00AD1724">
              <w:t>internal or external</w:t>
            </w:r>
          </w:p>
          <w:p w:rsidR="00000000" w:rsidRPr="00AD1724" w:rsidP="00AD1724">
            <w:pPr>
              <w:pStyle w:val="ListBullet"/>
            </w:pPr>
            <w:r w:rsidRPr="00AD1724">
              <w:t>pin type</w:t>
            </w:r>
          </w:p>
          <w:p w:rsidR="00000000" w:rsidRPr="00AD1724" w:rsidP="00AD1724">
            <w:pPr>
              <w:pStyle w:val="ListBullet"/>
            </w:pPr>
            <w:r w:rsidRPr="00AD1724">
              <w:t>separate pin.</w:t>
            </w:r>
          </w:p>
        </w:tc>
      </w:tr>
    </w:tbl>
    <w:p w:rsidR="000A067E" w:rsidP="00AD1724">
      <w:pPr>
        <w:pStyle w:val="BodyText"/>
      </w:pPr>
    </w:p>
    <w:p w:rsidR="000A067E" w:rsidP="00AD1724">
      <w:pPr>
        <w:pStyle w:val="BodyText"/>
      </w:pPr>
    </w:p>
    <w:p w:rsidR="00000000" w:rsidRPr="00AD1724" w:rsidP="00AD1724">
      <w:pPr>
        <w:pStyle w:val="Heading1"/>
      </w:pPr>
      <w:bookmarkStart w:id="12" w:name="O_208639"/>
      <w:bookmarkEnd w:id="12"/>
      <w:r w:rsidRPr="00AD1724">
        <w:t>Unit Sector(s)</w:t>
      </w:r>
    </w:p>
    <w:tbl>
      <w:tblPr>
        <w:tblW w:w="0" w:type="auto"/>
        <w:tblLayout w:type="fixed"/>
        <w:tblCellMar>
          <w:left w:w="62" w:type="dxa"/>
          <w:right w:w="62" w:type="dxa"/>
        </w:tblCellMar>
        <w:tblLook w:val="0000"/>
      </w:tblPr>
      <w:tblGrid>
        <w:gridCol w:w="2570"/>
        <w:gridCol w:w="5952"/>
      </w:tblGrid>
      <w:tr w:rsidTr="000A067E">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r w:rsidRPr="00AD1724">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724" w:rsidP="00AD1724">
            <w:pPr>
              <w:pStyle w:val="BodyText"/>
            </w:pPr>
            <w:r w:rsidRPr="00AD1724">
              <w:t>Telecommunications</w:t>
            </w:r>
          </w:p>
        </w:tc>
      </w:tr>
    </w:tbl>
    <w:p w:rsidR="000A067E" w:rsidP="00AD1724">
      <w:pPr>
        <w:pStyle w:val="BodyText"/>
      </w:pPr>
    </w:p>
    <w:p w:rsidR="000A067E" w:rsidP="00AD1724">
      <w:pPr>
        <w:pStyle w:val="BodyText"/>
      </w:pPr>
    </w:p>
    <w:p w:rsidR="00000000" w:rsidRPr="00AD1724" w:rsidP="00AD1724">
      <w:pPr>
        <w:pStyle w:val="Heading1"/>
      </w:pPr>
      <w:bookmarkStart w:id="13" w:name="O_208636"/>
      <w:bookmarkEnd w:id="13"/>
      <w:r w:rsidRPr="00AD1724">
        <w:t>Co-requisite units</w:t>
      </w:r>
    </w:p>
    <w:tbl>
      <w:tblPr>
        <w:tblW w:w="0" w:type="auto"/>
        <w:tblLayout w:type="fixed"/>
        <w:tblCellMar>
          <w:left w:w="62" w:type="dxa"/>
          <w:right w:w="62" w:type="dxa"/>
        </w:tblCellMar>
        <w:tblLook w:val="0000"/>
      </w:tblPr>
      <w:tblGrid>
        <w:gridCol w:w="2641"/>
        <w:gridCol w:w="1322"/>
        <w:gridCol w:w="4559"/>
      </w:tblGrid>
      <w:tr w:rsidTr="000A067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r w:rsidRPr="00AD172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p>
        </w:tc>
      </w:tr>
      <w:tr w:rsidTr="000A06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p>
        </w:tc>
      </w:tr>
      <w:tr w:rsidTr="000A06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724" w:rsidP="00AD1724">
            <w:pPr>
              <w:pStyle w:val="BodyText"/>
            </w:pPr>
          </w:p>
        </w:tc>
      </w:tr>
    </w:tbl>
    <w:p w:rsidR="000A067E" w:rsidP="00AD1724">
      <w:pPr>
        <w:pStyle w:val="BodyText"/>
      </w:pPr>
    </w:p>
    <w:p w:rsidR="000A067E" w:rsidP="00AD1724">
      <w:pPr>
        <w:pStyle w:val="BodyText"/>
      </w:pPr>
    </w:p>
    <w:p w:rsidR="00000000" w:rsidRPr="00AD1724" w:rsidP="00AD1724">
      <w:pPr>
        <w:pStyle w:val="Heading1"/>
      </w:pPr>
      <w:bookmarkStart w:id="14" w:name="O_208638"/>
      <w:bookmarkEnd w:id="14"/>
      <w:r w:rsidRPr="00AD1724">
        <w:t>Competency field</w:t>
      </w:r>
    </w:p>
    <w:tbl>
      <w:tblPr>
        <w:tblW w:w="0" w:type="auto"/>
        <w:tblLayout w:type="fixed"/>
        <w:tblCellMar>
          <w:left w:w="62" w:type="dxa"/>
          <w:right w:w="62" w:type="dxa"/>
        </w:tblCellMar>
        <w:tblLook w:val="0000"/>
      </w:tblPr>
      <w:tblGrid>
        <w:gridCol w:w="2778"/>
        <w:gridCol w:w="5744"/>
      </w:tblGrid>
      <w:tr w:rsidTr="000A067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724">
            <w:pPr>
              <w:pStyle w:val="BodyText"/>
              <w:rPr>
                <w:lang w:val="en-NZ"/>
              </w:rPr>
            </w:pPr>
            <w:r w:rsidRPr="00AD172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724" w:rsidP="00AD1724">
            <w:pPr>
              <w:pStyle w:val="BodyText"/>
            </w:pPr>
            <w:r w:rsidRPr="00AD1724">
              <w:t>Cabling</w:t>
            </w:r>
          </w:p>
        </w:tc>
      </w:tr>
    </w:tbl>
    <w:p w:rsidR="000A067E" w:rsidP="00AD1724">
      <w:pPr>
        <w:pStyle w:val="BodyText"/>
      </w:pPr>
    </w:p>
    <w:p w:rsidR="000A067E" w:rsidP="00AD1724">
      <w:pPr>
        <w:pStyle w:val="BodyText"/>
      </w:pPr>
    </w:p>
    <w:p w:rsidR="00000000" w:rsidRPr="00AD1724" w:rsidP="00AD1724"/>
    <w:sectPr w:rsidSect="00AD17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7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067E" w:rsidP="000A06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7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67E" w:rsidP="00AD17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A067E" w:rsidP="00AD17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A067E" w:rsidP="00AD17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7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724" w:rsidRPr="000A067E" w:rsidP="000A067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7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67E" w:rsidP="00AD1724">
    <w:pPr>
      <w:pStyle w:val="Header"/>
      <w:framePr w:wrap="around"/>
    </w:pPr>
    <w:r>
      <w:fldChar w:fldCharType="begin"/>
    </w:r>
    <w:r>
      <w:instrText xml:space="preserve"> TITLE   \* MERGEFORMAT </w:instrText>
    </w:r>
    <w:r>
      <w:fldChar w:fldCharType="separate"/>
    </w:r>
    <w:r>
      <w:t>ICTCBL2066A Joint and terminate coaxial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A067E" w:rsidP="00AD17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A0FF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924A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52CC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7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1724"/>
    <w:pPr>
      <w:spacing w:before="360" w:after="60"/>
      <w:outlineLvl w:val="0"/>
    </w:pPr>
    <w:rPr>
      <w:sz w:val="32"/>
    </w:rPr>
  </w:style>
  <w:style w:type="paragraph" w:styleId="Heading2">
    <w:name w:val="heading 2"/>
    <w:basedOn w:val="HeadingBase"/>
    <w:next w:val="BodyText"/>
    <w:link w:val="Heading2Char"/>
    <w:qFormat/>
    <w:rsid w:val="00AD1724"/>
    <w:pPr>
      <w:keepLines/>
      <w:spacing w:before="240" w:after="120"/>
      <w:outlineLvl w:val="1"/>
    </w:pPr>
    <w:rPr>
      <w:sz w:val="28"/>
      <w:szCs w:val="40"/>
    </w:rPr>
  </w:style>
  <w:style w:type="paragraph" w:styleId="Heading3">
    <w:name w:val="heading 3"/>
    <w:basedOn w:val="HeadingBase"/>
    <w:next w:val="BodyText"/>
    <w:link w:val="Heading3Char"/>
    <w:qFormat/>
    <w:rsid w:val="00AD1724"/>
    <w:pPr>
      <w:spacing w:before="180" w:after="120"/>
      <w:outlineLvl w:val="2"/>
    </w:pPr>
    <w:rPr>
      <w:spacing w:val="-10"/>
      <w:kern w:val="32"/>
    </w:rPr>
  </w:style>
  <w:style w:type="paragraph" w:styleId="Heading4">
    <w:name w:val="heading 4"/>
    <w:basedOn w:val="HeadingBase"/>
    <w:next w:val="BodyText"/>
    <w:link w:val="Heading4Char"/>
    <w:qFormat/>
    <w:rsid w:val="00AD1724"/>
    <w:pPr>
      <w:spacing w:before="160" w:after="120"/>
      <w:outlineLvl w:val="3"/>
    </w:pPr>
    <w:rPr>
      <w:sz w:val="22"/>
    </w:rPr>
  </w:style>
  <w:style w:type="paragraph" w:styleId="Heading5">
    <w:name w:val="heading 5"/>
    <w:basedOn w:val="HeadingBase"/>
    <w:next w:val="Normal"/>
    <w:link w:val="Heading5Char"/>
    <w:qFormat/>
    <w:rsid w:val="00AD1724"/>
    <w:pPr>
      <w:spacing w:before="80"/>
      <w:outlineLvl w:val="4"/>
    </w:pPr>
    <w:rPr>
      <w:color w:val="918585"/>
      <w:sz w:val="20"/>
    </w:rPr>
  </w:style>
  <w:style w:type="paragraph" w:styleId="Heading6">
    <w:name w:val="heading 6"/>
    <w:basedOn w:val="HeadingBase"/>
    <w:next w:val="Normal"/>
    <w:link w:val="Heading6Char"/>
    <w:qFormat/>
    <w:rsid w:val="00AD1724"/>
    <w:pPr>
      <w:spacing w:before="60"/>
      <w:outlineLvl w:val="5"/>
    </w:pPr>
    <w:rPr>
      <w:color w:val="918585"/>
      <w:sz w:val="20"/>
    </w:rPr>
  </w:style>
  <w:style w:type="paragraph" w:styleId="Heading7">
    <w:name w:val="heading 7"/>
    <w:basedOn w:val="Normal"/>
    <w:next w:val="Normal"/>
    <w:link w:val="Heading7Char"/>
    <w:qFormat/>
    <w:rsid w:val="00AD1724"/>
    <w:pPr>
      <w:ind w:left="720"/>
      <w:outlineLvl w:val="6"/>
    </w:pPr>
    <w:rPr>
      <w:i/>
    </w:rPr>
  </w:style>
  <w:style w:type="paragraph" w:styleId="Heading8">
    <w:name w:val="heading 8"/>
    <w:basedOn w:val="Normal"/>
    <w:next w:val="Normal"/>
    <w:link w:val="Heading8Char"/>
    <w:qFormat/>
    <w:rsid w:val="00AD1724"/>
    <w:pPr>
      <w:ind w:left="720"/>
      <w:outlineLvl w:val="7"/>
    </w:pPr>
    <w:rPr>
      <w:i/>
    </w:rPr>
  </w:style>
  <w:style w:type="paragraph" w:styleId="Heading9">
    <w:name w:val="heading 9"/>
    <w:basedOn w:val="Normal"/>
    <w:next w:val="Normal"/>
    <w:link w:val="Heading9Char"/>
    <w:qFormat/>
    <w:rsid w:val="00AD1724"/>
    <w:pPr>
      <w:ind w:left="720"/>
      <w:outlineLvl w:val="8"/>
    </w:pPr>
    <w:rPr>
      <w:i/>
    </w:rPr>
  </w:style>
  <w:style w:type="character" w:default="1" w:styleId="DefaultParagraphFont">
    <w:name w:val="Default Paragraph Font"/>
    <w:uiPriority w:val="1"/>
    <w:unhideWhenUsed/>
    <w:rsid w:val="00AD17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1724"/>
  </w:style>
  <w:style w:type="character" w:customStyle="1" w:styleId="Heading1Char">
    <w:name w:val="Heading 1 Char"/>
    <w:link w:val="Heading1"/>
    <w:rsid w:val="00AD1724"/>
    <w:rPr>
      <w:rFonts w:ascii="Times New Roman" w:eastAsia="Times New Roman" w:hAnsi="Times New Roman" w:cs="Times New Roman"/>
      <w:b/>
      <w:sz w:val="32"/>
      <w:szCs w:val="20"/>
      <w:lang w:eastAsia="en-US"/>
    </w:rPr>
  </w:style>
  <w:style w:type="paragraph" w:styleId="BodyText">
    <w:name w:val="Body Text"/>
    <w:basedOn w:val="Normal"/>
    <w:link w:val="BodyTextChar"/>
    <w:rsid w:val="00AD1724"/>
    <w:pPr>
      <w:spacing w:before="120" w:after="120"/>
      <w:contextualSpacing/>
    </w:pPr>
    <w:rPr>
      <w:rFonts w:ascii="Times New Roman" w:hAnsi="Times New Roman"/>
      <w:sz w:val="24"/>
      <w:szCs w:val="22"/>
    </w:rPr>
  </w:style>
  <w:style w:type="character" w:customStyle="1" w:styleId="BodyTextChar">
    <w:name w:val="Body Text Char"/>
    <w:link w:val="BodyText"/>
    <w:rsid w:val="00AD1724"/>
    <w:rPr>
      <w:rFonts w:ascii="Times New Roman" w:eastAsia="Times New Roman" w:hAnsi="Times New Roman" w:cs="Times New Roman"/>
      <w:sz w:val="24"/>
      <w:lang w:val="en-US" w:eastAsia="en-US"/>
    </w:rPr>
  </w:style>
  <w:style w:type="paragraph" w:styleId="Footer">
    <w:name w:val="footer"/>
    <w:basedOn w:val="Normal"/>
    <w:link w:val="FooterChar"/>
    <w:rsid w:val="00AD17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D1724"/>
    <w:rPr>
      <w:rFonts w:ascii="Times New Roman" w:eastAsia="Times New Roman" w:hAnsi="Times New Roman" w:cs="Times New Roman"/>
      <w:sz w:val="16"/>
      <w:lang w:val="en-US" w:eastAsia="en-US"/>
    </w:rPr>
  </w:style>
  <w:style w:type="paragraph" w:styleId="List">
    <w:name w:val="List"/>
    <w:basedOn w:val="BodyText"/>
    <w:next w:val="BodyText"/>
    <w:rsid w:val="00AD1724"/>
    <w:pPr>
      <w:tabs>
        <w:tab w:val="left" w:pos="340"/>
      </w:tabs>
      <w:spacing w:before="60" w:after="60"/>
      <w:ind w:left="340" w:hanging="340"/>
    </w:pPr>
  </w:style>
  <w:style w:type="paragraph" w:styleId="ListBullet">
    <w:name w:val="List Bullet"/>
    <w:basedOn w:val="List"/>
    <w:rsid w:val="00AD1724"/>
    <w:pPr>
      <w:numPr>
        <w:numId w:val="13"/>
      </w:numPr>
      <w:tabs>
        <w:tab w:val="clear" w:pos="340"/>
      </w:tabs>
      <w:spacing w:before="40" w:after="40"/>
    </w:pPr>
  </w:style>
  <w:style w:type="character" w:customStyle="1" w:styleId="SpecialBold">
    <w:name w:val="Special Bold"/>
    <w:rsid w:val="00AD1724"/>
    <w:rPr>
      <w:b/>
      <w:spacing w:val="0"/>
    </w:rPr>
  </w:style>
  <w:style w:type="paragraph" w:styleId="ListBullet2">
    <w:name w:val="List Bullet 2"/>
    <w:basedOn w:val="List2"/>
    <w:rsid w:val="00AD1724"/>
    <w:pPr>
      <w:numPr>
        <w:numId w:val="14"/>
      </w:numPr>
      <w:tabs>
        <w:tab w:val="clear" w:pos="680"/>
      </w:tabs>
    </w:pPr>
  </w:style>
  <w:style w:type="paragraph" w:customStyle="1" w:styleId="SuperHeading">
    <w:name w:val="SuperHeading"/>
    <w:basedOn w:val="Normal"/>
    <w:rsid w:val="00AD1724"/>
    <w:pPr>
      <w:spacing w:before="240" w:after="120"/>
      <w:outlineLvl w:val="0"/>
    </w:pPr>
    <w:rPr>
      <w:rFonts w:ascii="Times New Roman" w:hAnsi="Times New Roman"/>
      <w:b/>
      <w:sz w:val="28"/>
    </w:rPr>
  </w:style>
  <w:style w:type="paragraph" w:customStyle="1" w:styleId="AllowPageBreak">
    <w:name w:val="AllowPageBreak"/>
    <w:rsid w:val="00AD17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1724"/>
    <w:pPr>
      <w:tabs>
        <w:tab w:val="left" w:pos="680"/>
      </w:tabs>
      <w:spacing w:before="60" w:after="60"/>
      <w:ind w:left="680" w:hanging="340"/>
    </w:pPr>
  </w:style>
  <w:style w:type="character" w:customStyle="1" w:styleId="BoldandItalics">
    <w:name w:val="Bold and Italics"/>
    <w:qFormat/>
    <w:rsid w:val="00AD1724"/>
    <w:rPr>
      <w:b/>
      <w:i/>
      <w:u w:val="none"/>
    </w:rPr>
  </w:style>
  <w:style w:type="character" w:customStyle="1" w:styleId="Heading2Char">
    <w:name w:val="Heading 2 Char"/>
    <w:link w:val="Heading2"/>
    <w:rsid w:val="00AD1724"/>
    <w:rPr>
      <w:rFonts w:ascii="Times New Roman" w:eastAsia="Times New Roman" w:hAnsi="Times New Roman" w:cs="Times New Roman"/>
      <w:b/>
      <w:sz w:val="28"/>
      <w:szCs w:val="40"/>
      <w:lang w:eastAsia="en-US"/>
    </w:rPr>
  </w:style>
  <w:style w:type="character" w:customStyle="1" w:styleId="Heading3Char">
    <w:name w:val="Heading 3 Char"/>
    <w:link w:val="Heading3"/>
    <w:rsid w:val="00AD172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D1724"/>
    <w:rPr>
      <w:rFonts w:ascii="Times New Roman" w:eastAsia="Times New Roman" w:hAnsi="Times New Roman" w:cs="Times New Roman"/>
      <w:b/>
      <w:szCs w:val="20"/>
      <w:lang w:eastAsia="en-US"/>
    </w:rPr>
  </w:style>
  <w:style w:type="character" w:customStyle="1" w:styleId="Heading5Char">
    <w:name w:val="Heading 5 Char"/>
    <w:link w:val="Heading5"/>
    <w:rsid w:val="00AD172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D17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17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17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1724"/>
    <w:rPr>
      <w:rFonts w:ascii="Courier New" w:eastAsia="Times New Roman" w:hAnsi="Courier New" w:cs="Times New Roman"/>
      <w:i/>
      <w:szCs w:val="20"/>
      <w:lang w:val="en-US" w:eastAsia="en-US"/>
    </w:rPr>
  </w:style>
  <w:style w:type="paragraph" w:customStyle="1" w:styleId="HeadingBase">
    <w:name w:val="Heading Base"/>
    <w:rsid w:val="00AD17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1724"/>
    <w:pPr>
      <w:tabs>
        <w:tab w:val="right" w:leader="dot" w:pos="9072"/>
      </w:tabs>
      <w:ind w:left="567"/>
    </w:pPr>
    <w:rPr>
      <w:szCs w:val="22"/>
    </w:rPr>
  </w:style>
  <w:style w:type="paragraph" w:customStyle="1" w:styleId="TOCBase">
    <w:name w:val="TOC Base"/>
    <w:rsid w:val="00AD17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1724"/>
    <w:pPr>
      <w:tabs>
        <w:tab w:val="right" w:leader="dot" w:pos="9072"/>
      </w:tabs>
      <w:spacing w:before="40" w:after="40"/>
      <w:ind w:left="284"/>
    </w:pPr>
    <w:rPr>
      <w:rFonts w:ascii="Times New Roman" w:hAnsi="Times New Roman"/>
    </w:rPr>
  </w:style>
  <w:style w:type="paragraph" w:styleId="TOC1">
    <w:name w:val="toc 1"/>
    <w:basedOn w:val="TOCBase"/>
    <w:next w:val="Normal"/>
    <w:rsid w:val="00AD17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1724"/>
    <w:pPr>
      <w:spacing w:before="5040"/>
      <w:jc w:val="center"/>
    </w:pPr>
    <w:rPr>
      <w:sz w:val="48"/>
      <w:szCs w:val="72"/>
      <w:lang w:val="en-US"/>
    </w:rPr>
  </w:style>
  <w:style w:type="character" w:customStyle="1" w:styleId="TitleChar">
    <w:name w:val="Title Char"/>
    <w:link w:val="Title"/>
    <w:rsid w:val="00AD17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1724"/>
    <w:pPr>
      <w:tabs>
        <w:tab w:val="left" w:pos="3600"/>
        <w:tab w:val="left" w:pos="3958"/>
      </w:tabs>
    </w:pPr>
  </w:style>
  <w:style w:type="paragraph" w:customStyle="1" w:styleId="Note">
    <w:name w:val="Note"/>
    <w:basedOn w:val="BodyText"/>
    <w:rsid w:val="00AD17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1724"/>
    <w:pPr>
      <w:framePr w:wrap="auto" w:hAnchor="text" w:y="6049"/>
    </w:pPr>
    <w:rPr>
      <w:color w:val="000000"/>
      <w:sz w:val="40"/>
    </w:rPr>
  </w:style>
  <w:style w:type="paragraph" w:customStyle="1" w:styleId="TOCTitle">
    <w:name w:val="TOCTitle"/>
    <w:basedOn w:val="Heading1"/>
    <w:rsid w:val="00AD1724"/>
    <w:pPr>
      <w:spacing w:after="240"/>
      <w:jc w:val="center"/>
      <w:outlineLvl w:val="9"/>
    </w:pPr>
    <w:rPr>
      <w:caps/>
    </w:rPr>
  </w:style>
  <w:style w:type="paragraph" w:customStyle="1" w:styleId="Version">
    <w:name w:val="Version"/>
    <w:rsid w:val="00AD17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1724"/>
    <w:pPr>
      <w:keepNext w:val="0"/>
      <w:tabs>
        <w:tab w:val="right" w:pos="4176"/>
      </w:tabs>
      <w:ind w:left="198" w:hanging="198"/>
    </w:pPr>
    <w:rPr>
      <w:rFonts w:ascii="Garamond" w:hAnsi="Garamond"/>
    </w:rPr>
  </w:style>
  <w:style w:type="paragraph" w:styleId="IndexHeading">
    <w:name w:val="index heading"/>
    <w:basedOn w:val="Normal"/>
    <w:next w:val="Index1"/>
    <w:semiHidden/>
    <w:rsid w:val="00AD1724"/>
    <w:pPr>
      <w:spacing w:before="120" w:after="120"/>
    </w:pPr>
    <w:rPr>
      <w:rFonts w:ascii="Arial" w:hAnsi="Arial"/>
      <w:b/>
      <w:color w:val="918585"/>
      <w:sz w:val="24"/>
    </w:rPr>
  </w:style>
  <w:style w:type="paragraph" w:styleId="Header">
    <w:name w:val="header"/>
    <w:basedOn w:val="Normal"/>
    <w:link w:val="HeaderChar"/>
    <w:rsid w:val="00AD17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D1724"/>
    <w:rPr>
      <w:rFonts w:ascii="Times New Roman" w:eastAsia="Times New Roman" w:hAnsi="Times New Roman" w:cs="Times New Roman"/>
      <w:sz w:val="16"/>
      <w:szCs w:val="20"/>
      <w:lang w:val="en-GB" w:eastAsia="en-US"/>
    </w:rPr>
  </w:style>
  <w:style w:type="paragraph" w:customStyle="1" w:styleId="Chapter">
    <w:name w:val="Chapter"/>
    <w:basedOn w:val="Normal"/>
    <w:rsid w:val="00AD1724"/>
    <w:pPr>
      <w:spacing w:before="240"/>
    </w:pPr>
    <w:rPr>
      <w:rFonts w:ascii="Times New Roman" w:hAnsi="Times New Roman"/>
      <w:smallCaps/>
      <w:spacing w:val="80"/>
      <w:sz w:val="28"/>
    </w:rPr>
  </w:style>
  <w:style w:type="paragraph" w:customStyle="1" w:styleId="InChapter">
    <w:name w:val="InChapter"/>
    <w:basedOn w:val="Heading3"/>
    <w:rsid w:val="00AD1724"/>
    <w:pPr>
      <w:spacing w:after="240"/>
      <w:outlineLvl w:val="9"/>
    </w:pPr>
    <w:rPr>
      <w:noProof/>
    </w:rPr>
  </w:style>
  <w:style w:type="paragraph" w:styleId="Index2">
    <w:name w:val="index 2"/>
    <w:basedOn w:val="Normal"/>
    <w:next w:val="Normal"/>
    <w:semiHidden/>
    <w:rsid w:val="00AD1724"/>
    <w:pPr>
      <w:tabs>
        <w:tab w:val="right" w:pos="4176"/>
      </w:tabs>
      <w:ind w:left="568" w:hanging="284"/>
    </w:pPr>
    <w:rPr>
      <w:rFonts w:ascii="Garamond" w:hAnsi="Garamond"/>
    </w:rPr>
  </w:style>
  <w:style w:type="paragraph" w:customStyle="1" w:styleId="Byline">
    <w:name w:val="Byline"/>
    <w:rsid w:val="00AD17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1724"/>
    <w:pPr>
      <w:tabs>
        <w:tab w:val="clear" w:pos="3600"/>
        <w:tab w:val="clear" w:pos="3958"/>
      </w:tabs>
      <w:jc w:val="right"/>
    </w:pPr>
  </w:style>
  <w:style w:type="character" w:styleId="Emphasis">
    <w:name w:val="Emphasis"/>
    <w:qFormat/>
    <w:rsid w:val="00AD1724"/>
    <w:rPr>
      <w:i/>
    </w:rPr>
  </w:style>
  <w:style w:type="paragraph" w:styleId="Caption">
    <w:name w:val="caption"/>
    <w:basedOn w:val="BodyText"/>
    <w:next w:val="Normal"/>
    <w:qFormat/>
    <w:rsid w:val="00AD1724"/>
    <w:pPr>
      <w:framePr w:w="2268" w:hSpace="181" w:vSpace="181" w:wrap="around" w:vAnchor="text" w:hAnchor="page" w:x="1135" w:y="285" w:anchorLock="1"/>
    </w:pPr>
    <w:rPr>
      <w:i/>
    </w:rPr>
  </w:style>
  <w:style w:type="paragraph" w:customStyle="1" w:styleId="MiniTOCTitle">
    <w:name w:val="MiniTOCTitle"/>
    <w:basedOn w:val="Heading4"/>
    <w:rsid w:val="00AD1724"/>
    <w:pPr>
      <w:spacing w:before="240"/>
      <w:outlineLvl w:val="9"/>
    </w:pPr>
    <w:rPr>
      <w:noProof/>
      <w:sz w:val="24"/>
    </w:rPr>
  </w:style>
  <w:style w:type="paragraph" w:customStyle="1" w:styleId="MiniTOCItem">
    <w:name w:val="MiniTOCItem"/>
    <w:basedOn w:val="ListBullet"/>
    <w:rsid w:val="00AD1724"/>
    <w:pPr>
      <w:numPr>
        <w:numId w:val="0"/>
      </w:numPr>
      <w:tabs>
        <w:tab w:val="right" w:leader="dot" w:pos="6521"/>
      </w:tabs>
      <w:spacing w:before="0" w:after="0"/>
    </w:pPr>
  </w:style>
  <w:style w:type="paragraph" w:customStyle="1" w:styleId="TOFTitle">
    <w:name w:val="TOFTitle"/>
    <w:basedOn w:val="TOCTitle"/>
    <w:rsid w:val="00AD1724"/>
  </w:style>
  <w:style w:type="paragraph" w:styleId="TableofFigures">
    <w:name w:val="table of figures"/>
    <w:basedOn w:val="Normal"/>
    <w:next w:val="Normal"/>
    <w:semiHidden/>
    <w:rsid w:val="00AD1724"/>
    <w:pPr>
      <w:tabs>
        <w:tab w:val="right" w:leader="dot" w:pos="9072"/>
      </w:tabs>
      <w:ind w:left="970" w:hanging="403"/>
    </w:pPr>
    <w:rPr>
      <w:rFonts w:ascii="Times New Roman" w:hAnsi="Times New Roman"/>
      <w:b/>
    </w:rPr>
  </w:style>
  <w:style w:type="paragraph" w:styleId="ListNumber">
    <w:name w:val="List Number"/>
    <w:basedOn w:val="List"/>
    <w:rsid w:val="00AD1724"/>
    <w:pPr>
      <w:numPr>
        <w:numId w:val="11"/>
      </w:numPr>
    </w:pPr>
  </w:style>
  <w:style w:type="character" w:customStyle="1" w:styleId="WingdingSymbols">
    <w:name w:val="Wingding Symbols"/>
    <w:rsid w:val="00AD1724"/>
    <w:rPr>
      <w:rFonts w:ascii="Wingdings" w:hAnsi="Wingdings"/>
    </w:rPr>
  </w:style>
  <w:style w:type="paragraph" w:customStyle="1" w:styleId="TableHeading">
    <w:name w:val="Table Heading"/>
    <w:basedOn w:val="HeadingBase"/>
    <w:rsid w:val="00AD1724"/>
    <w:pPr>
      <w:keepLines/>
      <w:pBdr>
        <w:bottom w:val="single" w:sz="6" w:space="1" w:color="918585"/>
      </w:pBdr>
      <w:spacing w:before="240"/>
    </w:pPr>
  </w:style>
  <w:style w:type="character" w:customStyle="1" w:styleId="HotSpot">
    <w:name w:val="HotSpot"/>
    <w:rsid w:val="00AD1724"/>
    <w:rPr>
      <w:color w:val="0033CC"/>
      <w:u w:val="none"/>
    </w:rPr>
  </w:style>
  <w:style w:type="paragraph" w:customStyle="1" w:styleId="BodyTextRight">
    <w:name w:val="Body Text Right"/>
    <w:basedOn w:val="BodyText"/>
    <w:rsid w:val="00AD1724"/>
    <w:pPr>
      <w:spacing w:before="0" w:after="0"/>
      <w:jc w:val="right"/>
    </w:pPr>
  </w:style>
  <w:style w:type="paragraph" w:styleId="Index3">
    <w:name w:val="index 3"/>
    <w:basedOn w:val="ListNumber2"/>
    <w:next w:val="Normal"/>
    <w:semiHidden/>
    <w:rsid w:val="00AD1724"/>
    <w:pPr>
      <w:numPr>
        <w:numId w:val="0"/>
      </w:numPr>
      <w:tabs>
        <w:tab w:val="right" w:leader="dot" w:pos="4176"/>
      </w:tabs>
    </w:pPr>
  </w:style>
  <w:style w:type="paragraph" w:styleId="ListNumber2">
    <w:name w:val="List Number 2"/>
    <w:basedOn w:val="List2"/>
    <w:rsid w:val="00AD1724"/>
    <w:pPr>
      <w:numPr>
        <w:numId w:val="10"/>
      </w:numPr>
      <w:tabs>
        <w:tab w:val="clear" w:pos="1060"/>
      </w:tabs>
    </w:pPr>
  </w:style>
  <w:style w:type="paragraph" w:customStyle="1" w:styleId="MarginNote">
    <w:name w:val="Margin Note"/>
    <w:basedOn w:val="BodyText"/>
    <w:rsid w:val="00AD17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17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D17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1724"/>
    <w:rPr>
      <w:sz w:val="32"/>
    </w:rPr>
  </w:style>
  <w:style w:type="paragraph" w:customStyle="1" w:styleId="HeadingProcedure">
    <w:name w:val="Heading Procedure"/>
    <w:basedOn w:val="HeadingBase"/>
    <w:next w:val="Normal"/>
    <w:rsid w:val="00AD1724"/>
    <w:pPr>
      <w:tabs>
        <w:tab w:val="left" w:pos="0"/>
      </w:tabs>
      <w:spacing w:before="120" w:after="60"/>
    </w:pPr>
    <w:rPr>
      <w:i/>
      <w:color w:val="918585"/>
      <w:sz w:val="22"/>
    </w:rPr>
  </w:style>
  <w:style w:type="paragraph" w:customStyle="1" w:styleId="TableBodyText">
    <w:name w:val="Table Body Text"/>
    <w:basedOn w:val="BodyText"/>
    <w:rsid w:val="00AD1724"/>
    <w:pPr>
      <w:spacing w:before="60" w:after="60"/>
    </w:pPr>
  </w:style>
  <w:style w:type="paragraph" w:styleId="ListContinue">
    <w:name w:val="List Continue"/>
    <w:basedOn w:val="List"/>
    <w:rsid w:val="00AD1724"/>
    <w:pPr>
      <w:ind w:firstLine="0"/>
    </w:pPr>
  </w:style>
  <w:style w:type="paragraph" w:customStyle="1" w:styleId="ListNote">
    <w:name w:val="List Note"/>
    <w:basedOn w:val="List"/>
    <w:rsid w:val="00AD1724"/>
    <w:pPr>
      <w:pBdr>
        <w:top w:val="single" w:sz="6" w:space="2" w:color="918585"/>
        <w:bottom w:val="single" w:sz="6" w:space="2" w:color="918585"/>
      </w:pBdr>
      <w:tabs>
        <w:tab w:val="left" w:pos="1021"/>
      </w:tabs>
      <w:ind w:firstLine="0"/>
    </w:pPr>
  </w:style>
  <w:style w:type="paragraph" w:customStyle="1" w:styleId="Warning">
    <w:name w:val="Warning"/>
    <w:basedOn w:val="BodyText"/>
    <w:rsid w:val="00AD1724"/>
    <w:pPr>
      <w:shd w:val="clear" w:color="auto" w:fill="D9D9D9"/>
      <w:tabs>
        <w:tab w:val="left" w:pos="992"/>
      </w:tabs>
      <w:ind w:left="119" w:right="119"/>
    </w:pPr>
    <w:rPr>
      <w:sz w:val="20"/>
    </w:rPr>
  </w:style>
  <w:style w:type="paragraph" w:customStyle="1" w:styleId="MarginIcons">
    <w:name w:val="Margin Icons"/>
    <w:basedOn w:val="BodyText"/>
    <w:rsid w:val="00AD172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D1724"/>
    <w:rPr>
      <w:rFonts w:ascii="Courier New" w:hAnsi="Courier New"/>
    </w:rPr>
  </w:style>
  <w:style w:type="paragraph" w:customStyle="1" w:styleId="NoteBullet">
    <w:name w:val="Note Bullet"/>
    <w:basedOn w:val="Note"/>
    <w:rsid w:val="00AD1724"/>
    <w:pPr>
      <w:tabs>
        <w:tab w:val="clear" w:pos="680"/>
      </w:tabs>
      <w:spacing w:before="60" w:after="60"/>
    </w:pPr>
  </w:style>
  <w:style w:type="paragraph" w:customStyle="1" w:styleId="SubHeading2">
    <w:name w:val="SubHeading2"/>
    <w:basedOn w:val="HeadingBase"/>
    <w:rsid w:val="00AD1724"/>
    <w:pPr>
      <w:spacing w:before="240" w:after="60"/>
    </w:pPr>
    <w:rPr>
      <w:sz w:val="20"/>
    </w:rPr>
  </w:style>
  <w:style w:type="paragraph" w:customStyle="1" w:styleId="SubHeading1">
    <w:name w:val="SubHeading1"/>
    <w:basedOn w:val="HeadingBase"/>
    <w:rsid w:val="00AD1724"/>
    <w:pPr>
      <w:spacing w:before="240" w:after="60"/>
    </w:pPr>
    <w:rPr>
      <w:color w:val="918585"/>
      <w:sz w:val="22"/>
    </w:rPr>
  </w:style>
  <w:style w:type="paragraph" w:customStyle="1" w:styleId="SideHeading">
    <w:name w:val="Side Heading"/>
    <w:basedOn w:val="HeadingBase"/>
    <w:rsid w:val="00AD17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1724"/>
    <w:pPr>
      <w:numPr>
        <w:numId w:val="12"/>
      </w:numPr>
    </w:pPr>
  </w:style>
  <w:style w:type="paragraph" w:styleId="PlainText">
    <w:name w:val="Plain Text"/>
    <w:basedOn w:val="Normal"/>
    <w:link w:val="PlainTextChar"/>
    <w:rsid w:val="00AD1724"/>
    <w:rPr>
      <w:sz w:val="20"/>
    </w:rPr>
  </w:style>
  <w:style w:type="character" w:customStyle="1" w:styleId="PlainTextChar">
    <w:name w:val="Plain Text Char"/>
    <w:basedOn w:val="DefaultParagraphFont"/>
    <w:link w:val="PlainText"/>
    <w:rsid w:val="00AD1724"/>
    <w:rPr>
      <w:rFonts w:ascii="Courier New" w:eastAsia="Times New Roman" w:hAnsi="Courier New" w:cs="Times New Roman"/>
      <w:sz w:val="20"/>
      <w:szCs w:val="20"/>
      <w:lang w:val="en-US" w:eastAsia="en-US"/>
    </w:rPr>
  </w:style>
  <w:style w:type="character" w:customStyle="1" w:styleId="MenuOption">
    <w:name w:val="Menu Option"/>
    <w:rsid w:val="00AD1724"/>
    <w:rPr>
      <w:b/>
      <w:smallCaps/>
    </w:rPr>
  </w:style>
  <w:style w:type="paragraph" w:customStyle="1" w:styleId="TableListNumber">
    <w:name w:val="Table List Number"/>
    <w:basedOn w:val="ListNumber"/>
    <w:rsid w:val="00AD1724"/>
    <w:pPr>
      <w:numPr>
        <w:numId w:val="0"/>
      </w:numPr>
    </w:pPr>
  </w:style>
  <w:style w:type="paragraph" w:styleId="TOC4">
    <w:name w:val="toc 4"/>
    <w:basedOn w:val="TOCBase"/>
    <w:next w:val="Normal"/>
    <w:semiHidden/>
    <w:rsid w:val="00AD1724"/>
    <w:pPr>
      <w:tabs>
        <w:tab w:val="right" w:leader="dot" w:pos="9071"/>
      </w:tabs>
      <w:ind w:left="1701"/>
    </w:pPr>
  </w:style>
  <w:style w:type="paragraph" w:customStyle="1" w:styleId="ListAlpha">
    <w:name w:val="List Alpha"/>
    <w:basedOn w:val="List"/>
    <w:rsid w:val="00AD1724"/>
    <w:pPr>
      <w:numPr>
        <w:numId w:val="9"/>
      </w:numPr>
    </w:pPr>
  </w:style>
  <w:style w:type="paragraph" w:customStyle="1" w:styleId="ListAlpha2">
    <w:name w:val="List Alpha 2"/>
    <w:basedOn w:val="List2"/>
    <w:rsid w:val="00AD1724"/>
    <w:pPr>
      <w:numPr>
        <w:numId w:val="8"/>
      </w:numPr>
    </w:pPr>
  </w:style>
  <w:style w:type="paragraph" w:styleId="List3">
    <w:name w:val="List 3"/>
    <w:basedOn w:val="BodyText"/>
    <w:rsid w:val="00AD1724"/>
    <w:pPr>
      <w:tabs>
        <w:tab w:val="left" w:pos="1021"/>
      </w:tabs>
      <w:spacing w:before="60" w:after="60"/>
      <w:ind w:left="1020" w:hanging="340"/>
    </w:pPr>
  </w:style>
  <w:style w:type="paragraph" w:styleId="List4">
    <w:name w:val="List 4"/>
    <w:basedOn w:val="BodyText"/>
    <w:rsid w:val="00AD1724"/>
    <w:pPr>
      <w:tabs>
        <w:tab w:val="left" w:pos="1361"/>
      </w:tabs>
      <w:spacing w:before="60" w:after="60"/>
      <w:ind w:left="1361" w:hanging="340"/>
    </w:pPr>
  </w:style>
  <w:style w:type="paragraph" w:styleId="List5">
    <w:name w:val="List 5"/>
    <w:basedOn w:val="BodyText"/>
    <w:rsid w:val="00AD1724"/>
    <w:pPr>
      <w:tabs>
        <w:tab w:val="left" w:pos="1701"/>
      </w:tabs>
      <w:spacing w:before="60" w:after="60"/>
      <w:ind w:left="1701" w:hanging="340"/>
    </w:pPr>
  </w:style>
  <w:style w:type="paragraph" w:styleId="ListBullet3">
    <w:name w:val="List Bullet 3"/>
    <w:basedOn w:val="List3"/>
    <w:rsid w:val="00AD1724"/>
    <w:pPr>
      <w:numPr>
        <w:numId w:val="15"/>
      </w:numPr>
      <w:tabs>
        <w:tab w:val="clear" w:pos="1021"/>
      </w:tabs>
      <w:ind w:left="1037" w:hanging="357"/>
    </w:pPr>
  </w:style>
  <w:style w:type="paragraph" w:styleId="ListBullet4">
    <w:name w:val="List Bullet 4"/>
    <w:basedOn w:val="List4"/>
    <w:rsid w:val="00AD1724"/>
    <w:pPr>
      <w:numPr>
        <w:numId w:val="3"/>
      </w:numPr>
    </w:pPr>
  </w:style>
  <w:style w:type="paragraph" w:styleId="ListBullet5">
    <w:name w:val="List Bullet 5"/>
    <w:basedOn w:val="List5"/>
    <w:rsid w:val="00AD1724"/>
    <w:pPr>
      <w:numPr>
        <w:numId w:val="4"/>
      </w:numPr>
    </w:pPr>
  </w:style>
  <w:style w:type="paragraph" w:styleId="ListContinue2">
    <w:name w:val="List Continue 2"/>
    <w:basedOn w:val="List2"/>
    <w:rsid w:val="00AD1724"/>
    <w:pPr>
      <w:ind w:firstLine="0"/>
    </w:pPr>
  </w:style>
  <w:style w:type="paragraph" w:styleId="ListContinue3">
    <w:name w:val="List Continue 3"/>
    <w:basedOn w:val="List3"/>
    <w:rsid w:val="00AD1724"/>
    <w:pPr>
      <w:ind w:left="1021" w:firstLine="0"/>
    </w:pPr>
  </w:style>
  <w:style w:type="paragraph" w:styleId="ListContinue4">
    <w:name w:val="List Continue 4"/>
    <w:basedOn w:val="List4"/>
    <w:rsid w:val="00AD1724"/>
    <w:pPr>
      <w:ind w:firstLine="0"/>
    </w:pPr>
  </w:style>
  <w:style w:type="paragraph" w:styleId="ListContinue5">
    <w:name w:val="List Continue 5"/>
    <w:basedOn w:val="List5"/>
    <w:rsid w:val="00AD1724"/>
    <w:pPr>
      <w:ind w:firstLine="0"/>
    </w:pPr>
  </w:style>
  <w:style w:type="paragraph" w:styleId="ListNumber3">
    <w:name w:val="List Number 3"/>
    <w:basedOn w:val="List3"/>
    <w:rsid w:val="00AD1724"/>
    <w:pPr>
      <w:numPr>
        <w:numId w:val="5"/>
      </w:numPr>
    </w:pPr>
  </w:style>
  <w:style w:type="paragraph" w:styleId="ListNumber4">
    <w:name w:val="List Number 4"/>
    <w:basedOn w:val="List4"/>
    <w:rsid w:val="00AD1724"/>
    <w:pPr>
      <w:numPr>
        <w:numId w:val="6"/>
      </w:numPr>
    </w:pPr>
  </w:style>
  <w:style w:type="paragraph" w:styleId="ListNumber5">
    <w:name w:val="List Number 5"/>
    <w:basedOn w:val="List5"/>
    <w:rsid w:val="00AD1724"/>
    <w:pPr>
      <w:numPr>
        <w:numId w:val="7"/>
      </w:numPr>
    </w:pPr>
  </w:style>
  <w:style w:type="paragraph" w:styleId="BlockText">
    <w:name w:val="Block Text"/>
    <w:basedOn w:val="Normal"/>
    <w:rsid w:val="00AD1724"/>
    <w:pPr>
      <w:spacing w:after="120"/>
      <w:ind w:left="1440" w:right="1440"/>
    </w:pPr>
  </w:style>
  <w:style w:type="character" w:customStyle="1" w:styleId="Subscript">
    <w:name w:val="Subscript"/>
    <w:rsid w:val="00AD1724"/>
    <w:rPr>
      <w:sz w:val="16"/>
      <w:vertAlign w:val="subscript"/>
    </w:rPr>
  </w:style>
  <w:style w:type="character" w:customStyle="1" w:styleId="Superscript">
    <w:name w:val="Superscript"/>
    <w:rsid w:val="00AD1724"/>
    <w:rPr>
      <w:sz w:val="16"/>
      <w:vertAlign w:val="superscript"/>
    </w:rPr>
  </w:style>
  <w:style w:type="character" w:customStyle="1" w:styleId="Symbols">
    <w:name w:val="Symbols"/>
    <w:rsid w:val="00AD1724"/>
    <w:rPr>
      <w:rFonts w:ascii="Symbol" w:hAnsi="Symbol"/>
    </w:rPr>
  </w:style>
  <w:style w:type="character" w:customStyle="1" w:styleId="MenuOptions">
    <w:name w:val="Menu Options"/>
    <w:rsid w:val="00AD1724"/>
    <w:rPr>
      <w:rFonts w:ascii="Arial Narrow" w:hAnsi="Arial Narrow"/>
      <w:smallCaps/>
    </w:rPr>
  </w:style>
  <w:style w:type="character" w:customStyle="1" w:styleId="Buttons">
    <w:name w:val="Buttons"/>
    <w:rsid w:val="00AD1724"/>
    <w:rPr>
      <w:b/>
    </w:rPr>
  </w:style>
  <w:style w:type="character" w:customStyle="1" w:styleId="Underlined">
    <w:name w:val="Underlined"/>
    <w:rsid w:val="00AD1724"/>
    <w:rPr>
      <w:u w:val="single"/>
    </w:rPr>
  </w:style>
  <w:style w:type="paragraph" w:customStyle="1" w:styleId="TableBodyTextRight">
    <w:name w:val="Table Body Text Right"/>
    <w:basedOn w:val="TableBodyText"/>
    <w:rsid w:val="00AD1724"/>
    <w:pPr>
      <w:widowControl w:val="0"/>
      <w:autoSpaceDE w:val="0"/>
      <w:autoSpaceDN w:val="0"/>
      <w:adjustRightInd w:val="0"/>
      <w:jc w:val="right"/>
    </w:pPr>
    <w:rPr>
      <w:rFonts w:cs="Arial"/>
      <w:szCs w:val="18"/>
    </w:rPr>
  </w:style>
  <w:style w:type="paragraph" w:customStyle="1" w:styleId="CopyrightText">
    <w:name w:val="Copyright Text"/>
    <w:basedOn w:val="BodyText"/>
    <w:rsid w:val="00AD1724"/>
    <w:rPr>
      <w:sz w:val="18"/>
    </w:rPr>
  </w:style>
  <w:style w:type="paragraph" w:customStyle="1" w:styleId="BodySmallRight">
    <w:name w:val="Body Small Right"/>
    <w:basedOn w:val="BodyTextRight"/>
    <w:rsid w:val="00AD1724"/>
    <w:rPr>
      <w:sz w:val="18"/>
      <w:szCs w:val="18"/>
    </w:rPr>
  </w:style>
  <w:style w:type="paragraph" w:customStyle="1" w:styleId="MarginEdition">
    <w:name w:val="Margin Edition"/>
    <w:basedOn w:val="MarginNote"/>
    <w:rsid w:val="00AD1724"/>
    <w:pPr>
      <w:spacing w:before="0" w:after="0"/>
    </w:pPr>
    <w:rPr>
      <w:rFonts w:ascii="Times New Roman" w:hAnsi="Times New Roman"/>
      <w:color w:val="999999"/>
    </w:rPr>
  </w:style>
  <w:style w:type="paragraph" w:customStyle="1" w:styleId="Spacer">
    <w:name w:val="Spacer"/>
    <w:basedOn w:val="Normal"/>
    <w:rsid w:val="00AD1724"/>
    <w:rPr>
      <w:sz w:val="2"/>
      <w:szCs w:val="2"/>
    </w:rPr>
  </w:style>
  <w:style w:type="character" w:customStyle="1" w:styleId="Small">
    <w:name w:val="Small"/>
    <w:rsid w:val="00AD1724"/>
    <w:rPr>
      <w:sz w:val="16"/>
    </w:rPr>
  </w:style>
  <w:style w:type="paragraph" w:customStyle="1" w:styleId="WideTable">
    <w:name w:val="Wide Table"/>
    <w:basedOn w:val="Normal"/>
    <w:rsid w:val="00AD1724"/>
    <w:pPr>
      <w:ind w:left="-1418"/>
    </w:pPr>
    <w:rPr>
      <w:sz w:val="2"/>
      <w:szCs w:val="2"/>
    </w:rPr>
  </w:style>
  <w:style w:type="character" w:styleId="PageNumber">
    <w:name w:val="page number"/>
    <w:rsid w:val="00AD1724"/>
  </w:style>
  <w:style w:type="paragraph" w:styleId="Quote">
    <w:name w:val="Quote"/>
    <w:basedOn w:val="Heading1"/>
    <w:link w:val="QuoteChar"/>
    <w:qFormat/>
    <w:rsid w:val="00AD1724"/>
    <w:rPr>
      <w:b w:val="0"/>
      <w:sz w:val="72"/>
      <w:szCs w:val="72"/>
      <w:lang w:val="en-NZ"/>
    </w:rPr>
  </w:style>
  <w:style w:type="character" w:customStyle="1" w:styleId="QuoteChar">
    <w:name w:val="Quote Char"/>
    <w:link w:val="Quote"/>
    <w:rsid w:val="00AD17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1724"/>
    <w:pPr>
      <w:pageBreakBefore/>
    </w:pPr>
  </w:style>
  <w:style w:type="paragraph" w:customStyle="1" w:styleId="Border">
    <w:name w:val="Border"/>
    <w:basedOn w:val="Normal"/>
    <w:qFormat/>
    <w:rsid w:val="00AD1724"/>
    <w:pPr>
      <w:pBdr>
        <w:top w:val="single" w:sz="18" w:space="1" w:color="auto"/>
      </w:pBdr>
    </w:pPr>
    <w:rPr>
      <w:rFonts w:ascii="Times New Roman" w:hAnsi="Times New Roman"/>
      <w:color w:val="FFFFFF"/>
      <w:sz w:val="2"/>
    </w:rPr>
  </w:style>
  <w:style w:type="character" w:styleId="IntenseEmphasis">
    <w:name w:val="Intense Emphasis"/>
    <w:uiPriority w:val="21"/>
    <w:qFormat/>
    <w:rsid w:val="00AD1724"/>
    <w:rPr>
      <w:b/>
      <w:bCs/>
      <w:i/>
      <w:iCs/>
      <w:color w:val="auto"/>
    </w:rPr>
  </w:style>
  <w:style w:type="paragraph" w:styleId="IntenseQuote">
    <w:name w:val="Intense Quote"/>
    <w:basedOn w:val="Normal"/>
    <w:next w:val="Normal"/>
    <w:link w:val="IntenseQuoteChar"/>
    <w:uiPriority w:val="30"/>
    <w:qFormat/>
    <w:rsid w:val="00AD172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D1724"/>
    <w:rPr>
      <w:rFonts w:ascii="Courier New" w:eastAsia="Times New Roman" w:hAnsi="Courier New" w:cs="Times New Roman"/>
      <w:b/>
      <w:bCs/>
      <w:i/>
      <w:iCs/>
      <w:szCs w:val="20"/>
      <w:lang w:val="en-US" w:eastAsia="en-US"/>
    </w:rPr>
  </w:style>
  <w:style w:type="character" w:styleId="SubtleReference">
    <w:name w:val="Subtle Reference"/>
    <w:uiPriority w:val="31"/>
    <w:qFormat/>
    <w:rsid w:val="00AD1724"/>
    <w:rPr>
      <w:smallCaps/>
      <w:color w:val="auto"/>
      <w:u w:val="single"/>
    </w:rPr>
  </w:style>
  <w:style w:type="character" w:styleId="IntenseReference">
    <w:name w:val="Intense Reference"/>
    <w:uiPriority w:val="32"/>
    <w:qFormat/>
    <w:rsid w:val="00AD1724"/>
    <w:rPr>
      <w:b/>
      <w:bCs/>
      <w:smallCaps/>
      <w:color w:val="auto"/>
      <w:spacing w:val="5"/>
      <w:u w:val="single"/>
    </w:rPr>
  </w:style>
  <w:style w:type="paragraph" w:customStyle="1" w:styleId="2ColumnHeading">
    <w:name w:val="2Column Heading"/>
    <w:basedOn w:val="BodyText"/>
    <w:qFormat/>
    <w:rsid w:val="00AD1724"/>
    <w:pPr>
      <w:spacing w:after="60"/>
      <w:ind w:left="-2268"/>
    </w:pPr>
    <w:rPr>
      <w:b/>
    </w:rPr>
  </w:style>
  <w:style w:type="paragraph" w:customStyle="1" w:styleId="Heading1TOC">
    <w:name w:val="Heading1 TOC"/>
    <w:basedOn w:val="Normal"/>
    <w:qFormat/>
    <w:rsid w:val="00AD1724"/>
    <w:pPr>
      <w:spacing w:before="240" w:after="120"/>
    </w:pPr>
    <w:rPr>
      <w:rFonts w:ascii="Times New Roman" w:hAnsi="Times New Roman"/>
      <w:b/>
      <w:sz w:val="32"/>
    </w:rPr>
  </w:style>
  <w:style w:type="paragraph" w:customStyle="1" w:styleId="Heading2TOC">
    <w:name w:val="Heading2 TOC"/>
    <w:basedOn w:val="Normal"/>
    <w:qFormat/>
    <w:rsid w:val="00AD1724"/>
    <w:pPr>
      <w:spacing w:before="240" w:after="60"/>
    </w:pPr>
    <w:rPr>
      <w:rFonts w:ascii="Times New Roman" w:hAnsi="Times New Roman"/>
      <w:b/>
      <w:sz w:val="28"/>
    </w:rPr>
  </w:style>
  <w:style w:type="character" w:customStyle="1" w:styleId="Underline">
    <w:name w:val="Underline"/>
    <w:qFormat/>
    <w:rsid w:val="00AD1724"/>
    <w:rPr>
      <w:u w:val="single"/>
    </w:rPr>
  </w:style>
  <w:style w:type="paragraph" w:styleId="BalloonText">
    <w:name w:val="Balloon Text"/>
    <w:basedOn w:val="Normal"/>
    <w:link w:val="BalloonTextChar"/>
    <w:rsid w:val="00AD1724"/>
    <w:rPr>
      <w:rFonts w:ascii="Tahoma" w:hAnsi="Tahoma" w:cs="Tahoma"/>
      <w:sz w:val="16"/>
      <w:szCs w:val="16"/>
    </w:rPr>
  </w:style>
  <w:style w:type="character" w:customStyle="1" w:styleId="BalloonTextChar">
    <w:name w:val="Balloon Text Char"/>
    <w:link w:val="BalloonText"/>
    <w:rsid w:val="00AD17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172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D172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1526</Words>
  <Characters>9804</Characters>
  <Application>Microsoft Office Word</Application>
  <DocSecurity>0</DocSecurity>
  <Lines>375</Lines>
  <Paragraphs>210</Paragraphs>
  <ScaleCrop>false</ScaleCrop>
  <Company>Author-it Software Corporation Ltd.</Company>
  <LinksUpToDate>false</LinksUpToDate>
  <CharactersWithSpaces>11251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ICTCBL2066A Joint and terminate coaxial cable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2012-05-26T07:25:00Z</dcterms:created>
  <dcterms:modified xsi:type="dcterms:W3CDTF">2012-05-26T07:25:00Z</dcterms:modified>
</cp:coreProperties>
</file>