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A86" w:rsidP="00026A86">
      <w:pPr>
        <w:pStyle w:val="Title"/>
      </w:pPr>
      <w:r>
        <w:fldChar w:fldCharType="begin"/>
      </w:r>
      <w:r>
        <w:instrText xml:space="preserve"> TITLE   \* MERGEFORMAT </w:instrText>
      </w:r>
      <w:r>
        <w:fldChar w:fldCharType="separate"/>
      </w:r>
      <w:r>
        <w:t>ICTCBL2012B Install functional and protective telecommunications earthing system</w:t>
      </w:r>
      <w:r>
        <w:fldChar w:fldCharType="end"/>
      </w:r>
    </w:p>
    <w:p w:rsidR="00026A86" w:rsidP="00026A86">
      <w:pPr>
        <w:pStyle w:val="Version"/>
        <w:sectPr w:rsidSect="00283A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A72" w:rsidP="00283A72">
      <w:pPr>
        <w:pStyle w:val="SuperHeading"/>
      </w:pPr>
      <w:r w:rsidRPr="00283A72">
        <w:t>ICTCBL2012B Install functional and protective telecommunications earthing system</w:t>
      </w:r>
    </w:p>
    <w:p w:rsidR="00000000" w:rsidRPr="00283A72" w:rsidP="00283A72">
      <w:pPr>
        <w:pStyle w:val="Heading1"/>
      </w:pPr>
      <w:bookmarkStart w:id="1" w:name="O_639315"/>
      <w:bookmarkEnd w:id="1"/>
      <w:r w:rsidRPr="00283A72">
        <w:t>Modification History</w:t>
      </w:r>
    </w:p>
    <w:tbl>
      <w:tblPr>
        <w:tblW w:w="0" w:type="auto"/>
        <w:tblLayout w:type="fixed"/>
        <w:tblCellMar>
          <w:left w:w="62" w:type="dxa"/>
          <w:right w:w="62" w:type="dxa"/>
        </w:tblCellMar>
        <w:tblLook w:val="0000"/>
      </w:tblPr>
      <w:tblGrid>
        <w:gridCol w:w="2430"/>
        <w:gridCol w:w="6315"/>
      </w:tblGrid>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Comments</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 xml:space="preserve">This version first released with </w:t>
            </w:r>
            <w:r w:rsidRPr="00283A72">
              <w:rPr>
                <w:rStyle w:val="Emphasis"/>
              </w:rPr>
              <w:t>ICT10 Integrated Telecommunications Training Package Version 3.0</w:t>
            </w:r>
            <w:r w:rsidRPr="00283A72">
              <w:t>.</w:t>
            </w:r>
          </w:p>
          <w:p w:rsidR="00000000" w:rsidRPr="00283A72" w:rsidP="00283A72">
            <w:pPr>
              <w:pStyle w:val="BodyText"/>
            </w:pPr>
          </w:p>
          <w:p w:rsidR="00000000" w:rsidRPr="00283A72" w:rsidP="00283A72">
            <w:pPr>
              <w:pStyle w:val="BodyText"/>
            </w:pPr>
            <w:r w:rsidRPr="00283A72">
              <w:t>References to other units updated.</w:t>
            </w:r>
          </w:p>
          <w:p w:rsidR="00000000" w:rsidRPr="00283A72" w:rsidP="00283A72">
            <w:pPr>
              <w:pStyle w:val="BodyText"/>
            </w:pPr>
          </w:p>
          <w:p w:rsidR="00000000" w:rsidP="00283A72">
            <w:pPr>
              <w:pStyle w:val="BodyText"/>
              <w:rPr>
                <w:lang w:val="en-NZ"/>
              </w:rPr>
            </w:pPr>
            <w:r w:rsidRPr="00283A72">
              <w:t>Outcomes deemed equivalent.</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 xml:space="preserve">This version first released with </w:t>
            </w:r>
            <w:r w:rsidRPr="00283A72">
              <w:rPr>
                <w:rStyle w:val="Emphasis"/>
              </w:rPr>
              <w:t>ICT10 Integrated Telecommunications Training Package Version 1.0</w:t>
            </w:r>
            <w:r w:rsidRPr="00283A72">
              <w:t>.</w:t>
            </w:r>
          </w:p>
        </w:tc>
      </w:tr>
    </w:tbl>
    <w:p w:rsidR="00000000" w:rsidRPr="00283A72" w:rsidP="00283A72">
      <w:pPr>
        <w:pStyle w:val="BodyText"/>
      </w:pPr>
    </w:p>
    <w:p w:rsidR="00000000" w:rsidRPr="00283A72" w:rsidP="00283A72">
      <w:pPr>
        <w:pStyle w:val="AllowPageBreak"/>
      </w:pPr>
    </w:p>
    <w:p w:rsidR="00000000" w:rsidRPr="00283A72" w:rsidP="00283A72">
      <w:pPr>
        <w:pStyle w:val="Heading1"/>
      </w:pPr>
      <w:bookmarkStart w:id="2" w:name="O_639316"/>
      <w:bookmarkEnd w:id="2"/>
      <w:r w:rsidRPr="00283A72">
        <w:t>Unit Descriptor</w:t>
      </w:r>
    </w:p>
    <w:p w:rsidR="00000000" w:rsidRPr="00283A72" w:rsidP="00283A72">
      <w:pPr>
        <w:pStyle w:val="BodyText"/>
      </w:pPr>
      <w:r w:rsidRPr="00283A72">
        <w:t>This unit describes the performance outcomes, s</w:t>
      </w:r>
      <w:r w:rsidRPr="00283A72">
        <w:t>kills and knowledge required to install telecommunications earthing system to metallic frames.</w:t>
      </w:r>
    </w:p>
    <w:p w:rsidR="00000000" w:rsidRPr="00283A72" w:rsidP="00283A72">
      <w:pPr>
        <w:pStyle w:val="BodyText"/>
      </w:pPr>
    </w:p>
    <w:p w:rsidR="00000000" w:rsidRPr="00283A72" w:rsidP="00283A72">
      <w:pPr>
        <w:pStyle w:val="BodyText"/>
      </w:pPr>
      <w:r w:rsidRPr="00283A72">
        <w:t>Assessment by a TITAB registered assessor is recommended.</w:t>
      </w:r>
    </w:p>
    <w:p w:rsidR="00000000" w:rsidRPr="00283A72" w:rsidP="00283A72">
      <w:pPr>
        <w:pStyle w:val="BodyText"/>
      </w:pPr>
    </w:p>
    <w:p w:rsidR="00000000" w:rsidRPr="00283A72" w:rsidP="00283A72">
      <w:pPr>
        <w:pStyle w:val="BodyText"/>
      </w:pPr>
      <w:r w:rsidRPr="00283A72">
        <w:t>Licensing, legislative, regulatory and certification requirements apply to telecommunications earthing systems.</w:t>
      </w:r>
    </w:p>
    <w:p w:rsidR="00000000" w:rsidRPr="00283A72" w:rsidP="00283A72">
      <w:pPr>
        <w:pStyle w:val="BodyText"/>
      </w:pPr>
    </w:p>
    <w:p w:rsidR="00000000" w:rsidRPr="00283A72" w:rsidP="00283A72">
      <w:pPr>
        <w:pStyle w:val="BodyText"/>
      </w:pPr>
      <w:r w:rsidRPr="00283A72">
        <w:t>The six unit competency set ICTCBL2005B, ICTCBL2006B, ICTCBL2008B, ICTCBL2012B, ICTCBL2017B and ICTCMP2022B. that meets the Australian Communic</w:t>
      </w:r>
      <w:r w:rsidRPr="00283A72">
        <w:t xml:space="preserve">ations and Media Authority’s (ACMA) requirements for Cabling Provider Registration (CPR), is generally used as part of a more specialised customer cabling qualification. This set is usually regarded as more suitable for new entrants where limited industry </w:t>
      </w:r>
      <w:r w:rsidRPr="00283A72">
        <w:t>experience has been obtained and forms the major part of specialised qualifications such as ICT20313 Certificate II in Telecommunications Cabling. When these six units are undertaken as a set within state and territory funding approved programs, the two be</w:t>
      </w:r>
      <w:r w:rsidRPr="00283A72">
        <w:t>nchmark CPR units (ICTCBL2136B and ICTCBL2137B) are not required.</w:t>
      </w:r>
    </w:p>
    <w:p w:rsidR="00000000" w:rsidRPr="00283A72" w:rsidP="00283A72">
      <w:pPr>
        <w:pStyle w:val="BodyText"/>
      </w:pPr>
    </w:p>
    <w:p w:rsidR="00000000" w:rsidRPr="00283A72" w:rsidP="00283A72">
      <w:pPr>
        <w:pStyle w:val="BodyText"/>
      </w:pPr>
      <w:r w:rsidRPr="00283A72">
        <w:t>All customer cabling work in the telecommunications, fire, security and data industries must be performed by a registered cabler. All cablers are required to register with an ACMA-accredite</w:t>
      </w:r>
      <w:r w:rsidRPr="00283A72">
        <w:t>d registrar.</w:t>
      </w:r>
    </w:p>
    <w:p w:rsidR="00000000" w:rsidRPr="00283A72" w:rsidP="00283A72">
      <w:pPr>
        <w:pStyle w:val="AllowPageBreak"/>
      </w:pPr>
    </w:p>
    <w:p w:rsidR="00000000" w:rsidRPr="00283A72" w:rsidP="00283A72">
      <w:pPr>
        <w:pStyle w:val="Heading1"/>
      </w:pPr>
      <w:bookmarkStart w:id="3" w:name="O_639317"/>
      <w:bookmarkEnd w:id="3"/>
      <w:r w:rsidRPr="00283A72">
        <w:t>Application of the Unit</w:t>
      </w:r>
    </w:p>
    <w:p w:rsidR="00000000" w:rsidRPr="00283A72" w:rsidP="00283A72">
      <w:pPr>
        <w:pStyle w:val="BodyText"/>
      </w:pPr>
      <w:r w:rsidRPr="00283A72">
        <w:t>Telecommunications technicians and field officers who install earthing systems apply the skills and knowledge in this unit.</w:t>
      </w:r>
    </w:p>
    <w:p w:rsidR="00000000" w:rsidRPr="00283A72" w:rsidP="00283A72">
      <w:pPr>
        <w:pStyle w:val="BodyText"/>
      </w:pPr>
    </w:p>
    <w:p w:rsidR="00000000" w:rsidRPr="00283A72" w:rsidP="00283A72">
      <w:pPr>
        <w:pStyle w:val="BodyText"/>
      </w:pPr>
      <w:r w:rsidRPr="00283A72">
        <w:t>This unit may be applied to domestic, small office home office (SOHO), commer</w:t>
      </w:r>
      <w:r w:rsidRPr="00283A72">
        <w:t>cial or industrial installations and covers multi-storey and multi-site locations. It applies to indoor and outdoor installation of cabling and equipment within customer premises.</w:t>
      </w:r>
    </w:p>
    <w:p w:rsidR="00000000" w:rsidRPr="00283A72" w:rsidP="00283A72">
      <w:pPr>
        <w:pStyle w:val="BodyText"/>
      </w:pPr>
    </w:p>
    <w:p w:rsidR="00000000" w:rsidRPr="00283A72" w:rsidP="00283A72">
      <w:pPr>
        <w:pStyle w:val="BodyText"/>
      </w:pPr>
      <w:r w:rsidRPr="00283A72">
        <w:t>Communications applications include digital and analog, telephony, data, vi</w:t>
      </w:r>
      <w:r w:rsidRPr="00283A72">
        <w:t>deo, digital broadcasting, computer networks, LANs and WANs and multimedia.</w:t>
      </w:r>
    </w:p>
    <w:p w:rsidR="00000000" w:rsidRPr="00283A72" w:rsidP="00283A72">
      <w:pPr>
        <w:pStyle w:val="AllowPageBreak"/>
      </w:pPr>
    </w:p>
    <w:p w:rsidR="00000000" w:rsidRPr="00283A72" w:rsidP="00283A72">
      <w:pPr>
        <w:pStyle w:val="Heading1"/>
      </w:pPr>
      <w:bookmarkStart w:id="4" w:name="O_639318"/>
      <w:bookmarkEnd w:id="4"/>
      <w:r w:rsidRPr="00283A72">
        <w:t>Licensing/Regulatory Information</w:t>
      </w:r>
    </w:p>
    <w:p w:rsidR="00000000" w:rsidRPr="00283A72" w:rsidP="00283A72">
      <w:pPr>
        <w:pStyle w:val="BodyText"/>
      </w:pPr>
      <w:r w:rsidRPr="00283A72">
        <w:t xml:space="preserve">Refer to Unit Descriptor. </w:t>
      </w:r>
    </w:p>
    <w:p w:rsidR="00000000" w:rsidRPr="00283A72" w:rsidP="00283A72">
      <w:pPr>
        <w:pStyle w:val="AllowPageBreak"/>
      </w:pPr>
    </w:p>
    <w:p w:rsidR="00000000" w:rsidRPr="00283A72" w:rsidP="00283A72">
      <w:pPr>
        <w:pStyle w:val="Heading1"/>
      </w:pPr>
      <w:bookmarkStart w:id="5" w:name="O_639319"/>
      <w:bookmarkEnd w:id="5"/>
      <w:r w:rsidRPr="00283A72">
        <w:t>Pre-Requisites</w:t>
      </w:r>
    </w:p>
    <w:p w:rsidR="00000000" w:rsidRPr="00283A72" w:rsidP="00283A72">
      <w:pPr>
        <w:pStyle w:val="BodyText"/>
      </w:pPr>
      <w:r w:rsidRPr="00283A72">
        <w:t>Not applicable.</w:t>
      </w:r>
    </w:p>
    <w:p w:rsidR="00000000" w:rsidRPr="00283A72" w:rsidP="00283A72">
      <w:pPr>
        <w:pStyle w:val="AllowPageBreak"/>
      </w:pPr>
    </w:p>
    <w:p w:rsidR="00000000" w:rsidRPr="00283A72" w:rsidP="00283A72">
      <w:pPr>
        <w:pStyle w:val="Heading1"/>
      </w:pPr>
      <w:bookmarkStart w:id="6" w:name="O_639320"/>
      <w:bookmarkEnd w:id="6"/>
      <w:r w:rsidRPr="00283A72">
        <w:t>Employability Skills Information</w:t>
      </w:r>
    </w:p>
    <w:p w:rsidR="00000000" w:rsidRPr="00283A72" w:rsidP="00283A72">
      <w:pPr>
        <w:pStyle w:val="BodyText"/>
      </w:pPr>
      <w:r w:rsidRPr="00283A72">
        <w:t xml:space="preserve">This </w:t>
      </w:r>
      <w:r w:rsidRPr="00283A72">
        <w:t>unit contains employability skills.</w:t>
      </w:r>
    </w:p>
    <w:p w:rsidR="00000000" w:rsidRPr="00283A72" w:rsidP="00283A72">
      <w:pPr>
        <w:pStyle w:val="AllowPageBreak"/>
      </w:pPr>
    </w:p>
    <w:p w:rsidR="00000000" w:rsidRPr="00283A72" w:rsidP="00283A72">
      <w:pPr>
        <w:pStyle w:val="Heading1"/>
      </w:pPr>
      <w:bookmarkStart w:id="7" w:name="O_639321"/>
      <w:bookmarkEnd w:id="7"/>
      <w:r w:rsidRPr="00283A72">
        <w:t>Elements and Performance Criteria Pre-Content</w:t>
      </w:r>
    </w:p>
    <w:tbl>
      <w:tblPr>
        <w:tblW w:w="0" w:type="auto"/>
        <w:tblLayout w:type="fixed"/>
        <w:tblCellMar>
          <w:left w:w="62" w:type="dxa"/>
          <w:right w:w="62" w:type="dxa"/>
        </w:tblCellMar>
        <w:tblLook w:val="0000"/>
      </w:tblPr>
      <w:tblGrid>
        <w:gridCol w:w="2469"/>
        <w:gridCol w:w="6276"/>
      </w:tblGrid>
      <w:tr w:rsidTr="00283A72">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83A72" w:rsidP="00283A72">
            <w:pPr>
              <w:pStyle w:val="BodyText"/>
            </w:pPr>
            <w:r w:rsidRPr="00283A72">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Performance Criteria</w:t>
            </w:r>
          </w:p>
        </w:tc>
      </w:tr>
      <w:tr w:rsidTr="00283A72">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83A72">
              <w:rPr>
                <w:rStyle w:val="Emphasis"/>
              </w:rPr>
              <w:t>nce is to be consistent with the evidence guide.</w:t>
            </w:r>
          </w:p>
        </w:tc>
      </w:tr>
    </w:tbl>
    <w:p w:rsidR="00000000" w:rsidRPr="00283A72" w:rsidP="00283A72">
      <w:pPr>
        <w:pStyle w:val="BodyText"/>
      </w:pPr>
    </w:p>
    <w:p w:rsidR="00000000" w:rsidRPr="00283A72" w:rsidP="00283A72">
      <w:pPr>
        <w:pStyle w:val="AllowPageBreak"/>
      </w:pPr>
    </w:p>
    <w:p w:rsidR="00000000" w:rsidRPr="00283A72" w:rsidP="00283A72">
      <w:pPr>
        <w:pStyle w:val="Heading1"/>
      </w:pPr>
      <w:bookmarkStart w:id="8" w:name="O_639322"/>
      <w:bookmarkEnd w:id="8"/>
      <w:r w:rsidRPr="00283A72">
        <w:t>Elements and Performance Criteria</w:t>
      </w:r>
    </w:p>
    <w:tbl>
      <w:tblPr>
        <w:tblW w:w="0" w:type="auto"/>
        <w:tblLayout w:type="fixed"/>
        <w:tblCellMar>
          <w:left w:w="62" w:type="dxa"/>
          <w:right w:w="62" w:type="dxa"/>
        </w:tblCellMar>
        <w:tblLook w:val="0000"/>
      </w:tblPr>
      <w:tblGrid>
        <w:gridCol w:w="2589"/>
        <w:gridCol w:w="6156"/>
      </w:tblGrid>
      <w:tr w:rsidTr="00283A72">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t>1. Prepare to install telecommunications earthing system</w:t>
            </w:r>
          </w:p>
        </w:tc>
        <w:tc>
          <w:tcPr>
            <w:tcW w:w="6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 xml:space="preserve">1.1 Prepare for given work according to </w:t>
            </w:r>
            <w:r w:rsidRPr="00283A72">
              <w:rPr>
                <w:rStyle w:val="BoldandItalics"/>
              </w:rPr>
              <w:t>relevant legislation, codes, regulations and standards</w:t>
            </w:r>
          </w:p>
          <w:p w:rsidR="00000000" w:rsidRPr="00283A72" w:rsidP="00283A72">
            <w:pPr>
              <w:pStyle w:val="BodyText"/>
            </w:pPr>
            <w:r w:rsidRPr="00283A72">
              <w:t>1.</w:t>
            </w:r>
            <w:r w:rsidRPr="00283A72">
              <w:t>2 Arrange access to the site according to required procedure</w:t>
            </w:r>
          </w:p>
          <w:p w:rsidR="00000000" w:rsidRPr="00283A72" w:rsidP="00283A72">
            <w:pPr>
              <w:pStyle w:val="BodyText"/>
            </w:pPr>
            <w:r w:rsidRPr="00283A72">
              <w:t xml:space="preserve">1.3 Calculate </w:t>
            </w:r>
            <w:r w:rsidRPr="00283A72">
              <w:rPr>
                <w:rStyle w:val="BoldandItalics"/>
              </w:rPr>
              <w:t xml:space="preserve">earthing requirements </w:t>
            </w:r>
            <w:r w:rsidRPr="00283A72">
              <w:t>using relevant cable characteristics</w:t>
            </w:r>
          </w:p>
          <w:p w:rsidR="00000000" w:rsidRPr="00283A72" w:rsidP="00283A72">
            <w:pPr>
              <w:pStyle w:val="BodyText"/>
            </w:pPr>
            <w:r w:rsidRPr="00283A72">
              <w:t>1.4 Calculate the upper and lower limits of resistance for cable system earths</w:t>
            </w:r>
          </w:p>
          <w:p w:rsidR="00000000" w:rsidRPr="00283A72" w:rsidP="00283A72">
            <w:pPr>
              <w:pStyle w:val="BodyText"/>
            </w:pPr>
            <w:r w:rsidRPr="00283A72">
              <w:t xml:space="preserve">1.5 Establish </w:t>
            </w:r>
            <w:r w:rsidRPr="00283A72">
              <w:rPr>
                <w:rStyle w:val="BoldandItalics"/>
              </w:rPr>
              <w:t xml:space="preserve">location </w:t>
            </w:r>
            <w:r w:rsidRPr="00283A72">
              <w:t xml:space="preserve">of </w:t>
            </w:r>
            <w:r w:rsidRPr="00283A72">
              <w:rPr>
                <w:rStyle w:val="BoldandItalics"/>
              </w:rPr>
              <w:t>earthing applications</w:t>
            </w:r>
            <w:r w:rsidRPr="00283A72">
              <w:t>, minimising the risks posed by contact with remote power feeding services</w:t>
            </w:r>
          </w:p>
          <w:p w:rsidR="00000000" w:rsidRPr="00283A72" w:rsidP="00283A72">
            <w:pPr>
              <w:pStyle w:val="BodyText"/>
            </w:pPr>
            <w:r w:rsidRPr="00283A72">
              <w:t>1.6 Select route to minimise interference to system performance and according to safe working practices</w:t>
            </w:r>
          </w:p>
          <w:p w:rsidR="00000000" w:rsidP="00283A72">
            <w:pPr>
              <w:pStyle w:val="BodyText"/>
              <w:rPr>
                <w:lang w:val="en-NZ"/>
              </w:rPr>
            </w:pPr>
            <w:r w:rsidRPr="00283A72">
              <w:t>1.7 Select earthing materials to comply with relevant in</w:t>
            </w:r>
            <w:r w:rsidRPr="00283A72">
              <w:t>dustry standards</w:t>
            </w:r>
          </w:p>
        </w:tc>
      </w:tr>
      <w:tr w:rsidTr="00283A72">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t>2. Install and secure earth cable</w:t>
            </w:r>
          </w:p>
        </w:tc>
        <w:tc>
          <w:tcPr>
            <w:tcW w:w="6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2.1 Maintain cable separations to meet performance requirements of application environment</w:t>
            </w:r>
          </w:p>
          <w:p w:rsidR="00000000" w:rsidRPr="00283A72" w:rsidP="00283A72">
            <w:pPr>
              <w:pStyle w:val="BodyText"/>
            </w:pPr>
            <w:r w:rsidRPr="00283A72">
              <w:t>2.2 Check earth cable insulation is undamaged to ensure integrity of earth provided</w:t>
            </w:r>
          </w:p>
          <w:p w:rsidR="00000000" w:rsidRPr="00283A72" w:rsidP="00283A72">
            <w:pPr>
              <w:pStyle w:val="BodyText"/>
            </w:pPr>
            <w:r w:rsidRPr="00283A72">
              <w:t xml:space="preserve">2.3 Isolate protective and </w:t>
            </w:r>
            <w:r w:rsidRPr="00283A72">
              <w:rPr>
                <w:rStyle w:val="BoldandItalics"/>
              </w:rPr>
              <w:t xml:space="preserve">functional earths </w:t>
            </w:r>
            <w:r w:rsidRPr="00283A72">
              <w:t>at all times to ensure operation according to industry standards</w:t>
            </w:r>
          </w:p>
          <w:p w:rsidR="00000000" w:rsidP="00283A72">
            <w:pPr>
              <w:pStyle w:val="BodyText"/>
              <w:rPr>
                <w:lang w:val="en-NZ"/>
              </w:rPr>
            </w:pPr>
            <w:r w:rsidRPr="00283A72">
              <w:t xml:space="preserve">2.4 Install and secure cable following occupational health and safety </w:t>
            </w:r>
            <w:r w:rsidRPr="00283A72">
              <w:rPr>
                <w:rStyle w:val="BoldandItalics"/>
              </w:rPr>
              <w:t xml:space="preserve">(OHS) and environmental requirements </w:t>
            </w:r>
            <w:r w:rsidRPr="00283A72">
              <w:t>meeting manufacturer’s specifications and industry standards</w:t>
            </w:r>
          </w:p>
        </w:tc>
      </w:tr>
      <w:tr w:rsidTr="00283A72">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t>3. T</w:t>
            </w:r>
            <w:r w:rsidRPr="00283A72">
              <w:t>erminate and test earth cable installation</w:t>
            </w:r>
          </w:p>
        </w:tc>
        <w:tc>
          <w:tcPr>
            <w:tcW w:w="6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3.1 Terminate earth with connectors recommended by manufacturer and according to industry standards</w:t>
            </w:r>
          </w:p>
          <w:p w:rsidR="00000000" w:rsidRPr="00283A72" w:rsidP="00283A72">
            <w:pPr>
              <w:pStyle w:val="BodyText"/>
            </w:pPr>
            <w:r w:rsidRPr="00283A72">
              <w:t>3.2 Maintain earth continuity at all times to ensure safe and reliable system operation</w:t>
            </w:r>
          </w:p>
          <w:p w:rsidR="00000000" w:rsidRPr="00283A72" w:rsidP="00283A72">
            <w:pPr>
              <w:pStyle w:val="BodyText"/>
            </w:pPr>
            <w:r w:rsidRPr="00283A72">
              <w:t>3.3 Maintain correct inte</w:t>
            </w:r>
            <w:r w:rsidRPr="00283A72">
              <w:t>rface requirements with electrical systems according to industry standards</w:t>
            </w:r>
          </w:p>
          <w:p w:rsidR="00000000" w:rsidRPr="00283A72" w:rsidP="00283A72">
            <w:pPr>
              <w:pStyle w:val="BodyText"/>
            </w:pPr>
            <w:r w:rsidRPr="00283A72">
              <w:t>3.4 Test the earthing system according to manufacturer’s specifications in a safe manner</w:t>
            </w:r>
          </w:p>
          <w:p w:rsidR="00000000" w:rsidP="00283A72">
            <w:pPr>
              <w:pStyle w:val="BodyText"/>
              <w:rPr>
                <w:lang w:val="en-NZ"/>
              </w:rPr>
            </w:pPr>
            <w:r w:rsidRPr="00283A72">
              <w:t>3.5 Rectify earth system faults, where required, prior to re-testing</w:t>
            </w:r>
          </w:p>
        </w:tc>
      </w:tr>
      <w:tr w:rsidTr="00283A72">
        <w:tblPrEx>
          <w:tblW w:w="0" w:type="auto"/>
          <w:tblLayout w:type="fixed"/>
          <w:tblCellMar>
            <w:left w:w="62" w:type="dxa"/>
            <w:right w:w="62" w:type="dxa"/>
          </w:tblCellMar>
          <w:tblLook w:val="0000"/>
        </w:tblPrEx>
        <w:trPr>
          <w:trHeight w:val="114"/>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t>4. Complete task and d</w:t>
            </w:r>
            <w:r w:rsidRPr="00283A72">
              <w:t>ocumentation</w:t>
            </w:r>
          </w:p>
        </w:tc>
        <w:tc>
          <w:tcPr>
            <w:tcW w:w="6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4.1 Label earthing systems according to industry regulations</w:t>
            </w:r>
          </w:p>
          <w:p w:rsidR="00000000" w:rsidRPr="00283A72" w:rsidP="00283A72">
            <w:pPr>
              <w:pStyle w:val="BodyText"/>
            </w:pPr>
            <w:r w:rsidRPr="00283A72">
              <w:t>4.2 Complete documentation, including test records</w:t>
            </w:r>
          </w:p>
          <w:p w:rsidR="00000000" w:rsidRPr="00283A72" w:rsidP="00283A72">
            <w:pPr>
              <w:pStyle w:val="BodyText"/>
            </w:pPr>
            <w:r w:rsidRPr="00283A72">
              <w:t>4.3 Clean up and restore worksite</w:t>
            </w:r>
          </w:p>
          <w:p w:rsidR="00000000" w:rsidRPr="00283A72" w:rsidP="00283A72">
            <w:pPr>
              <w:pStyle w:val="BodyText"/>
            </w:pPr>
            <w:r w:rsidRPr="00283A72">
              <w:t>4.4 Notify customer and obtain sign off</w:t>
            </w:r>
          </w:p>
        </w:tc>
      </w:tr>
    </w:tbl>
    <w:p w:rsidR="00000000" w:rsidRPr="00283A72" w:rsidP="00283A72">
      <w:pPr>
        <w:pStyle w:val="BodyText"/>
      </w:pPr>
    </w:p>
    <w:p w:rsidR="00000000" w:rsidRPr="00283A72" w:rsidP="00283A72">
      <w:pPr>
        <w:pStyle w:val="AllowPageBreak"/>
      </w:pPr>
    </w:p>
    <w:p w:rsidR="00000000" w:rsidRPr="00283A72" w:rsidP="00283A72">
      <w:pPr>
        <w:pStyle w:val="Heading1"/>
      </w:pPr>
      <w:bookmarkStart w:id="9" w:name="O_639323"/>
      <w:bookmarkEnd w:id="9"/>
      <w:r w:rsidRPr="00283A72">
        <w:t>Required Skills and Knowledge</w:t>
      </w:r>
    </w:p>
    <w:p w:rsidR="00000000" w:rsidRPr="00283A72" w:rsidP="00283A72">
      <w:pPr>
        <w:pStyle w:val="BodyText"/>
      </w:pPr>
      <w:r w:rsidRPr="00283A72">
        <w:rPr>
          <w:rStyle w:val="Emphasis"/>
        </w:rPr>
        <w:t>This section describes the skills and knowledge required for this unit.</w:t>
      </w:r>
    </w:p>
    <w:p w:rsidR="00000000" w:rsidRPr="00283A72" w:rsidP="00283A72">
      <w:pPr>
        <w:pStyle w:val="BodyText"/>
      </w:pPr>
    </w:p>
    <w:p w:rsidR="00000000" w:rsidRPr="00283A72" w:rsidP="00283A72">
      <w:pPr>
        <w:pStyle w:val="BodyText"/>
      </w:pPr>
      <w:r w:rsidRPr="00283A72">
        <w:rPr>
          <w:rStyle w:val="SpecialBold"/>
        </w:rPr>
        <w:t>Required skills</w:t>
      </w:r>
    </w:p>
    <w:p w:rsidR="00000000" w:rsidRPr="00283A72" w:rsidP="00283A72">
      <w:pPr>
        <w:pStyle w:val="BodyText"/>
      </w:pPr>
    </w:p>
    <w:p w:rsidR="00000000" w:rsidRPr="00283A72" w:rsidP="00283A72">
      <w:pPr>
        <w:pStyle w:val="ListBullet"/>
      </w:pPr>
      <w:r w:rsidRPr="00283A72">
        <w:t xml:space="preserve">communication skills to liaise with internal and external personnel on technical and operational matters </w:t>
      </w:r>
    </w:p>
    <w:p w:rsidR="00000000" w:rsidRPr="00283A72" w:rsidP="00283A72">
      <w:pPr>
        <w:pStyle w:val="ListBullet"/>
      </w:pPr>
      <w:r w:rsidRPr="00283A72">
        <w:t xml:space="preserve">literacy skills to interpret technical documentation, such </w:t>
      </w:r>
      <w:r w:rsidRPr="00283A72">
        <w:t>as equipment manuals and specifications, competency requirements for telecommunications earthing systems</w:t>
      </w:r>
    </w:p>
    <w:p w:rsidR="00000000" w:rsidRPr="00283A72" w:rsidP="00283A72">
      <w:pPr>
        <w:pStyle w:val="ListBullet"/>
      </w:pPr>
      <w:r w:rsidRPr="00283A72">
        <w:t>numeracy skills to take and analyse measurements</w:t>
      </w:r>
    </w:p>
    <w:p w:rsidR="00000000" w:rsidRPr="00283A72" w:rsidP="00283A72">
      <w:pPr>
        <w:pStyle w:val="ListBullet"/>
      </w:pPr>
      <w:r w:rsidRPr="00283A72">
        <w:t>planning and organisational skills to organise and maintain equipment</w:t>
      </w:r>
    </w:p>
    <w:p w:rsidR="00000000" w:rsidRPr="00283A72" w:rsidP="00283A72">
      <w:pPr>
        <w:pStyle w:val="ListBullet"/>
      </w:pPr>
      <w:r w:rsidRPr="00283A72">
        <w:t xml:space="preserve">problem solving skills to solve </w:t>
      </w:r>
      <w:r w:rsidRPr="00283A72">
        <w:t>equipment and logistics problems</w:t>
      </w:r>
    </w:p>
    <w:p w:rsidR="00000000" w:rsidRPr="00283A72" w:rsidP="00283A72">
      <w:pPr>
        <w:pStyle w:val="ListBullet"/>
      </w:pPr>
      <w:r w:rsidRPr="00283A72">
        <w:t>safety awareness skills to:</w:t>
      </w:r>
    </w:p>
    <w:p w:rsidR="00000000" w:rsidRPr="00283A72" w:rsidP="00283A72">
      <w:pPr>
        <w:pStyle w:val="ListBullet2"/>
      </w:pPr>
      <w:r w:rsidRPr="00283A72">
        <w:t>apply precautions and required action to minimise, control or eliminate hazards that may exist during work activities</w:t>
      </w:r>
    </w:p>
    <w:p w:rsidR="00000000" w:rsidRPr="00283A72" w:rsidP="00283A72">
      <w:pPr>
        <w:pStyle w:val="ListBullet2"/>
      </w:pPr>
      <w:r w:rsidRPr="00283A72">
        <w:t>select and use required personal protective equipment conforming to industry and OHS standards</w:t>
      </w:r>
    </w:p>
    <w:p w:rsidR="00000000" w:rsidRPr="00283A72" w:rsidP="00283A72">
      <w:pPr>
        <w:pStyle w:val="ListBullet2"/>
      </w:pPr>
      <w:r w:rsidRPr="00283A72">
        <w:t>work systematically with required attention to detail without injury to self or others, or damage to goods or equipment</w:t>
      </w:r>
    </w:p>
    <w:p w:rsidR="00000000" w:rsidRPr="00283A72" w:rsidP="00283A72">
      <w:pPr>
        <w:pStyle w:val="ListBullet"/>
      </w:pPr>
      <w:r w:rsidRPr="00283A72">
        <w:t>task management skills to work systemati</w:t>
      </w:r>
      <w:r w:rsidRPr="00283A72">
        <w:t>cally with required attention to detail</w:t>
      </w:r>
    </w:p>
    <w:p w:rsidR="00026A86" w:rsidP="00283A72">
      <w:pPr>
        <w:pStyle w:val="ListBullet"/>
      </w:pPr>
      <w:r w:rsidRPr="00283A72">
        <w:t>technical skills to use hand and power tools, diagnostic equipment and perform fault clearance.</w:t>
      </w:r>
    </w:p>
    <w:p w:rsidR="00026A86" w:rsidP="00283A72">
      <w:pPr>
        <w:pStyle w:val="ListBullet"/>
      </w:pPr>
    </w:p>
    <w:p w:rsidR="00000000" w:rsidRPr="00283A72" w:rsidP="00283A72">
      <w:pPr>
        <w:pStyle w:val="BodyText"/>
      </w:pPr>
      <w:r w:rsidRPr="00283A72">
        <w:rPr>
          <w:rStyle w:val="SpecialBold"/>
        </w:rPr>
        <w:t>Required knowledge</w:t>
      </w:r>
    </w:p>
    <w:p w:rsidR="00000000" w:rsidRPr="00283A72" w:rsidP="00283A72">
      <w:pPr>
        <w:pStyle w:val="BodyText"/>
      </w:pPr>
    </w:p>
    <w:p w:rsidR="00000000" w:rsidRPr="00283A72" w:rsidP="00283A72">
      <w:pPr>
        <w:pStyle w:val="ListBullet"/>
      </w:pPr>
      <w:r w:rsidRPr="00283A72">
        <w:t>ACMA Competency Requirements for Telecommunications Cabling Provider Rules 2000, legislation, cod</w:t>
      </w:r>
      <w:r w:rsidRPr="00283A72">
        <w:t>es of practice and other formal agreements that impact on the work activity</w:t>
      </w:r>
    </w:p>
    <w:p w:rsidR="00000000" w:rsidRPr="00283A72" w:rsidP="00283A72">
      <w:pPr>
        <w:pStyle w:val="ListBullet"/>
      </w:pPr>
      <w:r w:rsidRPr="00283A72">
        <w:t>features and operating requirements of test equipment</w:t>
      </w:r>
    </w:p>
    <w:p w:rsidR="00000000" w:rsidRPr="00283A72" w:rsidP="00283A72">
      <w:pPr>
        <w:pStyle w:val="ListBullet"/>
      </w:pPr>
      <w:r w:rsidRPr="00283A72">
        <w:t>information required to operate equipment according to a test specification</w:t>
      </w:r>
    </w:p>
    <w:p w:rsidR="00000000" w:rsidRPr="00283A72" w:rsidP="00283A72">
      <w:pPr>
        <w:pStyle w:val="ListBullet"/>
      </w:pPr>
      <w:r w:rsidRPr="00283A72">
        <w:t xml:space="preserve">manufacturer‘s requirements for safe operation of </w:t>
      </w:r>
      <w:r w:rsidRPr="00283A72">
        <w:t>equipment</w:t>
      </w:r>
    </w:p>
    <w:p w:rsidR="00000000" w:rsidRPr="00283A72" w:rsidP="00283A72">
      <w:pPr>
        <w:pStyle w:val="ListBullet"/>
      </w:pPr>
      <w:r w:rsidRPr="00283A72">
        <w:t>specific OHS requirements relating to the activity and site conditions</w:t>
      </w:r>
    </w:p>
    <w:p w:rsidR="00000000" w:rsidRPr="00283A72" w:rsidP="00283A72">
      <w:pPr>
        <w:pStyle w:val="ListBullet"/>
      </w:pPr>
      <w:r w:rsidRPr="00283A72">
        <w:t>test methods and performance requirements</w:t>
      </w:r>
    </w:p>
    <w:p w:rsidR="00000000" w:rsidRPr="00283A72" w:rsidP="00283A72">
      <w:pPr>
        <w:pStyle w:val="ListBullet"/>
      </w:pPr>
      <w:r w:rsidRPr="00283A72">
        <w:t>typical issues and challenges that occur on site.</w:t>
      </w:r>
    </w:p>
    <w:p w:rsidR="00000000" w:rsidRPr="00283A72" w:rsidP="00283A72">
      <w:pPr>
        <w:pStyle w:val="AllowPageBreak"/>
      </w:pPr>
    </w:p>
    <w:p w:rsidR="00000000" w:rsidRPr="00283A72" w:rsidP="00283A72">
      <w:pPr>
        <w:pStyle w:val="Heading1"/>
      </w:pPr>
      <w:bookmarkStart w:id="10" w:name="O_639324"/>
      <w:bookmarkEnd w:id="10"/>
      <w:r w:rsidRPr="00283A72">
        <w:t>Evidence Guide</w:t>
      </w:r>
    </w:p>
    <w:p w:rsidR="00000000" w:rsidRPr="00283A72" w:rsidP="00283A72">
      <w:pPr>
        <w:pStyle w:val="BodyText"/>
      </w:pPr>
      <w:r w:rsidRPr="00283A7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83A72" w:rsidP="00283A72">
      <w:pPr>
        <w:pStyle w:val="BodyText"/>
      </w:pPr>
    </w:p>
    <w:tbl>
      <w:tblPr>
        <w:tblW w:w="0" w:type="auto"/>
        <w:tblLayout w:type="fixed"/>
        <w:tblCellMar>
          <w:left w:w="62" w:type="dxa"/>
          <w:right w:w="62" w:type="dxa"/>
        </w:tblCellMar>
        <w:tblLook w:val="0000"/>
      </w:tblPr>
      <w:tblGrid>
        <w:gridCol w:w="2430"/>
        <w:gridCol w:w="6315"/>
      </w:tblGrid>
      <w:tr w:rsidTr="00283A72">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Overview of assessment</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Critical aspect</w:t>
            </w:r>
            <w:r w:rsidRPr="00283A72">
              <w:rPr>
                <w:rStyle w:val="SpecialBold"/>
              </w:rPr>
              <w: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Evidence of the ability to:</w:t>
            </w:r>
          </w:p>
          <w:p w:rsidR="00000000" w:rsidRPr="00283A72" w:rsidP="00283A72">
            <w:pPr>
              <w:pStyle w:val="BodyText"/>
            </w:pPr>
          </w:p>
          <w:p w:rsidR="00000000" w:rsidRPr="00283A72" w:rsidP="00283A72">
            <w:pPr>
              <w:pStyle w:val="ListBullet"/>
            </w:pPr>
            <w:r w:rsidRPr="00283A72">
              <w:t>evaluate earthing needs for cable systems on customer premises and apply related OHS requirements</w:t>
            </w:r>
          </w:p>
          <w:p w:rsidR="00000000" w:rsidRPr="00283A72" w:rsidP="00283A72">
            <w:pPr>
              <w:pStyle w:val="ListBullet"/>
            </w:pPr>
            <w:r w:rsidRPr="00283A72">
              <w:t>determine potential earthing locations</w:t>
            </w:r>
          </w:p>
          <w:p w:rsidR="00000000" w:rsidRPr="00283A72" w:rsidP="00283A72">
            <w:pPr>
              <w:pStyle w:val="ListBullet"/>
            </w:pPr>
            <w:r w:rsidRPr="00283A72">
              <w:t>determine earth route and support system</w:t>
            </w:r>
          </w:p>
          <w:p w:rsidR="00000000" w:rsidRPr="00283A72" w:rsidP="00283A72">
            <w:pPr>
              <w:pStyle w:val="ListBullet"/>
            </w:pPr>
            <w:r w:rsidRPr="00283A72">
              <w:t>install functional earth installations including equi-potential bonding</w:t>
            </w:r>
          </w:p>
          <w:p w:rsidR="00000000" w:rsidRPr="00283A72" w:rsidP="00283A72">
            <w:pPr>
              <w:pStyle w:val="ListBullet"/>
            </w:pPr>
            <w:r w:rsidRPr="00283A72">
              <w:t>test and label earth installation</w:t>
            </w:r>
          </w:p>
          <w:p w:rsidR="00000000" w:rsidP="00283A72">
            <w:pPr>
              <w:pStyle w:val="ListBullet"/>
              <w:rPr>
                <w:lang w:val="en-NZ"/>
              </w:rPr>
            </w:pPr>
            <w:r w:rsidRPr="00283A72">
              <w:t>manage remote power feed services.</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Assessment must ensure:</w:t>
            </w:r>
          </w:p>
          <w:p w:rsidR="00000000" w:rsidRPr="00283A72" w:rsidP="00283A72">
            <w:pPr>
              <w:pStyle w:val="BodyText"/>
            </w:pPr>
          </w:p>
          <w:p w:rsidR="00000000" w:rsidRPr="00283A72" w:rsidP="00283A72">
            <w:pPr>
              <w:pStyle w:val="ListBullet"/>
            </w:pPr>
            <w:r w:rsidRPr="00283A72">
              <w:t>sites where installation of functional and protective telecommunications earthing system may be conducted</w:t>
            </w:r>
          </w:p>
          <w:p w:rsidR="00000000" w:rsidRPr="00283A72" w:rsidP="00283A72">
            <w:pPr>
              <w:pStyle w:val="ListBullet"/>
            </w:pPr>
            <w:r w:rsidRPr="00283A72">
              <w:t>use of testing equipment currently used in industry</w:t>
            </w:r>
          </w:p>
          <w:p w:rsidR="00000000" w:rsidP="00283A72">
            <w:pPr>
              <w:pStyle w:val="ListBullet"/>
              <w:rPr>
                <w:lang w:val="en-NZ"/>
              </w:rPr>
            </w:pPr>
            <w:r w:rsidRPr="00283A72">
              <w:t>relevant regulatory and equipment documentation that impact on installation activities.</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Method</w:t>
            </w:r>
            <w:r w:rsidRPr="00283A72">
              <w:rPr>
                <w:rStyle w:val="SpecialBold"/>
              </w:rPr>
              <w:t>s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A range of assessment methods should be used to assess practical skills and knowledge. The following examples are appropriate for this unit:</w:t>
            </w:r>
          </w:p>
          <w:p w:rsidR="00000000" w:rsidRPr="00283A72" w:rsidP="00283A72">
            <w:pPr>
              <w:pStyle w:val="BodyText"/>
            </w:pPr>
          </w:p>
          <w:p w:rsidR="00000000" w:rsidRPr="00283A72" w:rsidP="00283A72">
            <w:pPr>
              <w:pStyle w:val="ListBullet"/>
            </w:pPr>
            <w:r w:rsidRPr="00283A72">
              <w:t>review of a hands-on project completed by the candidate</w:t>
            </w:r>
          </w:p>
          <w:p w:rsidR="00000000" w:rsidRPr="00283A72" w:rsidP="00283A72">
            <w:pPr>
              <w:pStyle w:val="ListBullet"/>
            </w:pPr>
            <w:r w:rsidRPr="00283A72">
              <w:t>review of an oral and written report with completed documentation, such as test results, updated cable plans and records</w:t>
            </w:r>
          </w:p>
          <w:p w:rsidR="00000000" w:rsidP="00283A72">
            <w:pPr>
              <w:pStyle w:val="ListBullet"/>
              <w:rPr>
                <w:lang w:val="en-NZ"/>
              </w:rPr>
            </w:pPr>
            <w:r w:rsidRPr="00283A72">
              <w:t>direct observation of the candidate installing a functional and protective telecommunications earthing system.</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SpecialBold"/>
              </w:rPr>
              <w:t>Guidance information fo</w:t>
            </w:r>
            <w:r w:rsidRPr="00283A72">
              <w:rPr>
                <w:rStyle w:val="SpecialBold"/>
              </w:rPr>
              <w:t>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BodyText"/>
            </w:pPr>
            <w:r w:rsidRPr="00283A72">
              <w:t>Holistic assessment with other units relevant to the industry sector, workplace and job role is recommended, for example:</w:t>
            </w:r>
          </w:p>
          <w:p w:rsidR="00000000" w:rsidRPr="00283A72" w:rsidP="00283A72">
            <w:pPr>
              <w:pStyle w:val="BodyText"/>
            </w:pPr>
          </w:p>
          <w:p w:rsidR="00000000" w:rsidRPr="00283A72" w:rsidP="00283A72">
            <w:pPr>
              <w:pStyle w:val="ListBullet"/>
            </w:pPr>
            <w:r w:rsidRPr="00283A72">
              <w:t>ICTCMP2022B Organise and monitor cabling to ensure compliance with regulatory and industry standards.</w:t>
            </w:r>
          </w:p>
          <w:p w:rsidR="00000000" w:rsidRPr="00283A72" w:rsidP="00283A72">
            <w:pPr>
              <w:pStyle w:val="BodyText"/>
            </w:pPr>
          </w:p>
          <w:p w:rsidR="00000000" w:rsidRPr="00283A72" w:rsidP="00283A72">
            <w:pPr>
              <w:pStyle w:val="BodyText"/>
            </w:pPr>
            <w:r w:rsidRPr="00283A72">
              <w:t>Aboriginal peopl</w:t>
            </w:r>
            <w:r w:rsidRPr="00283A72">
              <w:t>e and other people from a non-English speaking background may have second language issues.</w:t>
            </w:r>
          </w:p>
          <w:p w:rsidR="00000000" w:rsidRPr="00283A72" w:rsidP="00283A72">
            <w:pPr>
              <w:pStyle w:val="BodyText"/>
            </w:pPr>
          </w:p>
          <w:p w:rsidR="00000000" w:rsidRPr="00283A72" w:rsidP="00283A72">
            <w:pPr>
              <w:pStyle w:val="BodyText"/>
            </w:pPr>
            <w:r w:rsidRPr="00283A72">
              <w:t>Access must be provided to appropriate learning and assessment support when required.</w:t>
            </w:r>
          </w:p>
          <w:p w:rsidR="00000000" w:rsidRPr="00283A72" w:rsidP="00283A72">
            <w:pPr>
              <w:pStyle w:val="BodyText"/>
            </w:pPr>
          </w:p>
          <w:p w:rsidR="00000000" w:rsidRPr="00283A72" w:rsidP="00283A72">
            <w:pPr>
              <w:pStyle w:val="BodyText"/>
            </w:pPr>
            <w:r w:rsidRPr="00283A72">
              <w:t>Assessment processes and techniques must be culturally appropriate, and appro</w:t>
            </w:r>
            <w:r w:rsidRPr="00283A72">
              <w:t>priate to the oral communication skill level, and language and literacy capacity of the candidate and the work being performed.</w:t>
            </w:r>
          </w:p>
          <w:p w:rsidR="00000000" w:rsidRPr="00283A72" w:rsidP="00283A72">
            <w:pPr>
              <w:pStyle w:val="BodyText"/>
            </w:pPr>
          </w:p>
          <w:p w:rsidR="00000000" w:rsidRPr="00283A72" w:rsidP="00283A72">
            <w:pPr>
              <w:pStyle w:val="BodyText"/>
            </w:pPr>
            <w:r w:rsidRPr="00283A72">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283A72" w:rsidP="00283A72">
            <w:pPr>
              <w:pStyle w:val="BodyText"/>
            </w:pPr>
          </w:p>
          <w:p w:rsidR="00000000" w:rsidRPr="00283A72" w:rsidP="00283A72">
            <w:pPr>
              <w:pStyle w:val="BodyText"/>
            </w:pPr>
            <w:r w:rsidRPr="00283A72">
              <w:t>Where applicable, physical resources should include equipment modified for people with special needs.</w:t>
            </w:r>
          </w:p>
        </w:tc>
      </w:tr>
    </w:tbl>
    <w:p w:rsidR="00000000" w:rsidRPr="00283A72" w:rsidP="00283A72">
      <w:pPr>
        <w:pStyle w:val="BodyText"/>
      </w:pPr>
    </w:p>
    <w:p w:rsidR="00000000" w:rsidRPr="00283A72" w:rsidP="00283A72">
      <w:pPr>
        <w:pStyle w:val="AllowPageBreak"/>
      </w:pPr>
    </w:p>
    <w:p w:rsidR="00000000" w:rsidRPr="00283A72" w:rsidP="00283A72">
      <w:pPr>
        <w:pStyle w:val="Heading1"/>
      </w:pPr>
      <w:bookmarkStart w:id="11" w:name="O_639325"/>
      <w:bookmarkEnd w:id="11"/>
      <w:r w:rsidRPr="00283A72">
        <w:t>Range Statement</w:t>
      </w:r>
    </w:p>
    <w:p w:rsidR="00000000" w:rsidRPr="00283A72" w:rsidP="00283A72">
      <w:pPr>
        <w:pStyle w:val="BodyText"/>
      </w:pPr>
      <w:r w:rsidRPr="00283A72">
        <w:rPr>
          <w:rStyle w:val="Emphasis"/>
        </w:rPr>
        <w:t>The range statement relates to the unit of competency as a whole. It allows for different work environments and situati</w:t>
      </w:r>
      <w:r w:rsidRPr="00283A72">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283A72">
        <w:rPr>
          <w:rStyle w:val="Emphasis"/>
        </w:rPr>
        <w:t>ssibility of the item, and local industry and regional contexts) may also be included.</w:t>
      </w:r>
    </w:p>
    <w:p w:rsidR="00000000" w:rsidRPr="00283A72" w:rsidP="00283A72">
      <w:pPr>
        <w:pStyle w:val="BodyText"/>
      </w:pPr>
    </w:p>
    <w:tbl>
      <w:tblPr>
        <w:tblW w:w="0" w:type="auto"/>
        <w:tblLayout w:type="fixed"/>
        <w:tblCellMar>
          <w:left w:w="62" w:type="dxa"/>
          <w:right w:w="62" w:type="dxa"/>
        </w:tblCellMar>
        <w:tblLook w:val="0000"/>
      </w:tblPr>
      <w:tblGrid>
        <w:gridCol w:w="2430"/>
        <w:gridCol w:w="6300"/>
      </w:tblGrid>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BoldandItalics"/>
              </w:rPr>
              <w:t xml:space="preserve">Relevant legislation, codes, regulations and standards </w:t>
            </w:r>
            <w:r w:rsidRPr="00283A72">
              <w:t>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ListBullet"/>
            </w:pPr>
            <w:r w:rsidRPr="00283A72">
              <w:t>Australian Communications Industry Forum (ACIF) standards and codes</w:t>
            </w:r>
          </w:p>
          <w:p w:rsidR="00000000" w:rsidRPr="00283A72" w:rsidP="00283A72">
            <w:pPr>
              <w:pStyle w:val="ListBullet"/>
            </w:pPr>
            <w:r w:rsidRPr="00283A72">
              <w:t>AS Communications Cabling Manual (C</w:t>
            </w:r>
            <w:r w:rsidRPr="00283A72">
              <w:t>CM) Volume 1</w:t>
            </w:r>
          </w:p>
          <w:p w:rsidR="00000000" w:rsidRPr="00283A72" w:rsidP="00283A72">
            <w:pPr>
              <w:pStyle w:val="ListBullet"/>
            </w:pPr>
            <w:r w:rsidRPr="00283A72">
              <w:t>AS/NZS 3000:2007</w:t>
            </w:r>
          </w:p>
          <w:p w:rsidR="00000000" w:rsidRPr="00283A72" w:rsidP="00283A72">
            <w:pPr>
              <w:pStyle w:val="ListBullet"/>
            </w:pPr>
            <w:r w:rsidRPr="00283A72">
              <w:t>AS/NZS 3080:2003</w:t>
            </w:r>
          </w:p>
          <w:p w:rsidR="00000000" w:rsidRPr="00283A72" w:rsidP="00283A72">
            <w:pPr>
              <w:pStyle w:val="ListBullet"/>
            </w:pPr>
            <w:r w:rsidRPr="00283A72">
              <w:t>AS/NZS 3084:2003</w:t>
            </w:r>
          </w:p>
          <w:p w:rsidR="00000000" w:rsidRPr="00283A72" w:rsidP="00283A72">
            <w:pPr>
              <w:pStyle w:val="ListBullet"/>
            </w:pPr>
            <w:r w:rsidRPr="00283A72">
              <w:t>AS/NZS 3085.1:2004</w:t>
            </w:r>
          </w:p>
          <w:p w:rsidR="00000000" w:rsidRPr="00283A72" w:rsidP="00283A72">
            <w:pPr>
              <w:pStyle w:val="ListBullet"/>
            </w:pPr>
            <w:r w:rsidRPr="00283A72">
              <w:t>AS/NZS 3260:1993</w:t>
            </w:r>
          </w:p>
          <w:p w:rsidR="00000000" w:rsidRPr="00283A72" w:rsidP="00283A72">
            <w:pPr>
              <w:pStyle w:val="ListBullet"/>
            </w:pPr>
            <w:r w:rsidRPr="00283A72">
              <w:t>AS/NZS IEC 61935.1:2006</w:t>
            </w:r>
          </w:p>
          <w:p w:rsidR="00000000" w:rsidRPr="00283A72" w:rsidP="00283A72">
            <w:pPr>
              <w:pStyle w:val="ListBullet"/>
            </w:pPr>
            <w:r w:rsidRPr="00283A72">
              <w:t>AS/NZS IEC 61935.2:2006</w:t>
            </w:r>
          </w:p>
          <w:p w:rsidR="00000000" w:rsidRPr="00283A72" w:rsidP="00283A72">
            <w:pPr>
              <w:pStyle w:val="ListBullet"/>
            </w:pPr>
            <w:r w:rsidRPr="00283A72">
              <w:t>AS/NZS ISO/IEC 14763.3:2007</w:t>
            </w:r>
          </w:p>
          <w:p w:rsidR="00000000" w:rsidRPr="00283A72" w:rsidP="00283A72">
            <w:pPr>
              <w:pStyle w:val="ListBullet"/>
            </w:pPr>
            <w:r w:rsidRPr="00283A72">
              <w:t>AS/NZS ISO/IEC 15018:2005</w:t>
            </w:r>
          </w:p>
          <w:p w:rsidR="00000000" w:rsidRPr="00283A72" w:rsidP="00283A72">
            <w:pPr>
              <w:pStyle w:val="ListBullet"/>
            </w:pPr>
            <w:r w:rsidRPr="00283A72">
              <w:t>AS/NZS ISO/IEC 24702:2007</w:t>
            </w:r>
          </w:p>
          <w:p w:rsidR="00000000" w:rsidRPr="00283A72" w:rsidP="00283A72">
            <w:pPr>
              <w:pStyle w:val="ListBullet"/>
            </w:pPr>
            <w:r w:rsidRPr="00283A72">
              <w:t>Australian building codes and regulations</w:t>
            </w:r>
          </w:p>
          <w:p w:rsidR="00000000" w:rsidRPr="00283A72" w:rsidP="00283A72">
            <w:pPr>
              <w:pStyle w:val="ListBullet"/>
            </w:pPr>
            <w:r w:rsidRPr="00283A72">
              <w:t>cabling security codes and regulations</w:t>
            </w:r>
          </w:p>
          <w:p w:rsidR="00000000" w:rsidRPr="00283A72" w:rsidP="00283A72">
            <w:pPr>
              <w:pStyle w:val="ListBullet"/>
            </w:pPr>
            <w:r w:rsidRPr="00283A72">
              <w:t>Environmental Protection Acts</w:t>
            </w:r>
          </w:p>
          <w:p w:rsidR="00000000" w:rsidRPr="00283A72" w:rsidP="00283A72">
            <w:pPr>
              <w:pStyle w:val="ListBullet"/>
            </w:pPr>
            <w:r w:rsidRPr="00283A72">
              <w:t>fire regulations</w:t>
            </w:r>
          </w:p>
          <w:p w:rsidR="00000000" w:rsidRPr="00283A72" w:rsidP="00283A72">
            <w:pPr>
              <w:pStyle w:val="ListBullet"/>
            </w:pPr>
            <w:r w:rsidRPr="00283A72">
              <w:t>National Association of Testing Authorities (NATA) requirements</w:t>
            </w:r>
          </w:p>
          <w:p w:rsidR="00000000" w:rsidRPr="00283A72" w:rsidP="00283A72">
            <w:pPr>
              <w:pStyle w:val="ListBullet"/>
            </w:pPr>
            <w:r w:rsidRPr="00283A72">
              <w:t>OHS</w:t>
            </w:r>
          </w:p>
          <w:p w:rsidR="00000000" w:rsidP="00283A72">
            <w:pPr>
              <w:pStyle w:val="ListBullet"/>
              <w:rPr>
                <w:lang w:val="en-NZ"/>
              </w:rPr>
            </w:pPr>
            <w:r w:rsidRPr="00283A72">
              <w:t>technical standards AS/ACIF S008:2006 and AS/ACIF S009:2006.</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BoldandItalics"/>
              </w:rPr>
              <w:t xml:space="preserve">Earthing requirements </w:t>
            </w:r>
            <w:r w:rsidRPr="00283A72">
              <w:t>refers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ListBullet"/>
            </w:pPr>
            <w:r w:rsidRPr="00283A72">
              <w:t>provision of safe operation of the installation and includes:</w:t>
            </w:r>
          </w:p>
          <w:p w:rsidR="00000000" w:rsidRPr="00283A72" w:rsidP="00283A72">
            <w:pPr>
              <w:pStyle w:val="ListBullet2"/>
            </w:pPr>
            <w:r w:rsidRPr="00283A72">
              <w:t>lightning conductor</w:t>
            </w:r>
          </w:p>
          <w:p w:rsidR="00000000" w:rsidRPr="00283A72" w:rsidP="00283A72">
            <w:pPr>
              <w:pStyle w:val="ListBullet2"/>
            </w:pPr>
            <w:r w:rsidRPr="00283A72">
              <w:t>link to multiple earth neutral (MEN)</w:t>
            </w:r>
          </w:p>
          <w:p w:rsidR="00000000" w:rsidRPr="00283A72" w:rsidP="00283A72">
            <w:pPr>
              <w:pStyle w:val="ListBullet2"/>
            </w:pPr>
            <w:r w:rsidRPr="00283A72">
              <w:t>over voltage</w:t>
            </w:r>
          </w:p>
          <w:p w:rsidR="00000000" w:rsidRPr="00283A72" w:rsidP="00283A72">
            <w:pPr>
              <w:pStyle w:val="ListBullet2"/>
            </w:pPr>
            <w:r w:rsidRPr="00283A72">
              <w:t>screening</w:t>
            </w:r>
          </w:p>
          <w:p w:rsidR="00000000" w:rsidP="00283A72">
            <w:pPr>
              <w:pStyle w:val="ListBullet2"/>
              <w:rPr>
                <w:lang w:val="en-NZ"/>
              </w:rPr>
            </w:pPr>
            <w:r w:rsidRPr="00283A72">
              <w:t>surges and spikes.</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BoldandItalics"/>
              </w:rPr>
              <w:t xml:space="preserve">Location </w:t>
            </w:r>
            <w:r w:rsidRPr="00283A72">
              <w:t>refers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ListBullet"/>
            </w:pPr>
            <w:r w:rsidRPr="00283A72">
              <w:t>cable routes</w:t>
            </w:r>
          </w:p>
          <w:p w:rsidR="00000000" w:rsidRPr="00283A72" w:rsidP="00283A72">
            <w:pPr>
              <w:pStyle w:val="ListBullet"/>
            </w:pPr>
            <w:r w:rsidRPr="00283A72">
              <w:t>cable trays</w:t>
            </w:r>
          </w:p>
          <w:p w:rsidR="00000000" w:rsidRPr="00283A72" w:rsidP="00283A72">
            <w:pPr>
              <w:pStyle w:val="ListBullet"/>
            </w:pPr>
            <w:r w:rsidRPr="00283A72">
              <w:t>communications earthing terminal (CET)</w:t>
            </w:r>
          </w:p>
          <w:p w:rsidR="00000000" w:rsidRPr="00283A72" w:rsidP="00283A72">
            <w:pPr>
              <w:pStyle w:val="ListBullet"/>
            </w:pPr>
            <w:r w:rsidRPr="00283A72">
              <w:t>cross connects</w:t>
            </w:r>
          </w:p>
          <w:p w:rsidR="00000000" w:rsidRPr="00283A72" w:rsidP="00283A72">
            <w:pPr>
              <w:pStyle w:val="ListBullet"/>
            </w:pPr>
            <w:r w:rsidRPr="00283A72">
              <w:t>data cabinets</w:t>
            </w:r>
          </w:p>
          <w:p w:rsidR="00000000" w:rsidRPr="00283A72" w:rsidP="00283A72">
            <w:pPr>
              <w:pStyle w:val="ListBullet"/>
            </w:pPr>
            <w:r w:rsidRPr="00283A72">
              <w:t>final distribution point (FDP)</w:t>
            </w:r>
          </w:p>
          <w:p w:rsidR="00000000" w:rsidRPr="00283A72" w:rsidP="00283A72">
            <w:pPr>
              <w:pStyle w:val="ListBullet"/>
            </w:pPr>
            <w:r w:rsidRPr="00283A72">
              <w:t>intermediate distribution frame (IDF)</w:t>
            </w:r>
          </w:p>
          <w:p w:rsidR="00000000" w:rsidRPr="00283A72" w:rsidP="00283A72">
            <w:pPr>
              <w:pStyle w:val="ListBullet"/>
            </w:pPr>
            <w:r w:rsidRPr="00283A72">
              <w:t>main distribution frame (MDF)</w:t>
            </w:r>
          </w:p>
          <w:p w:rsidR="00000000" w:rsidRPr="00283A72" w:rsidP="00283A72">
            <w:pPr>
              <w:pStyle w:val="ListBullet"/>
            </w:pPr>
            <w:r w:rsidRPr="00283A72">
              <w:t>telecommunications closures</w:t>
            </w:r>
          </w:p>
          <w:p w:rsidR="00000000" w:rsidP="00283A72">
            <w:pPr>
              <w:pStyle w:val="ListBullet"/>
              <w:rPr>
                <w:lang w:val="en-NZ"/>
              </w:rPr>
            </w:pPr>
            <w:r w:rsidRPr="00283A72">
              <w:t>telecommunications reference conductor (TRC).</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BoldandItalics"/>
              </w:rPr>
              <w:t xml:space="preserve">Earthing applications </w:t>
            </w:r>
            <w:r w:rsidRPr="00283A72">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ListBullet"/>
            </w:pPr>
            <w:r w:rsidRPr="00283A72">
              <w:t>barriers</w:t>
            </w:r>
          </w:p>
          <w:p w:rsidR="00000000" w:rsidRPr="00283A72" w:rsidP="00283A72">
            <w:pPr>
              <w:pStyle w:val="ListBullet"/>
            </w:pPr>
            <w:r w:rsidRPr="00283A72">
              <w:t>data rack</w:t>
            </w:r>
          </w:p>
          <w:p w:rsidR="00000000" w:rsidRPr="00283A72" w:rsidP="00283A72">
            <w:pPr>
              <w:pStyle w:val="ListBullet"/>
            </w:pPr>
            <w:r w:rsidRPr="00283A72">
              <w:t>distributor (MDF) bonding</w:t>
            </w:r>
          </w:p>
          <w:p w:rsidR="00000000" w:rsidRPr="00283A72" w:rsidP="00283A72">
            <w:pPr>
              <w:pStyle w:val="ListBullet"/>
            </w:pPr>
            <w:r w:rsidRPr="00283A72">
              <w:t>equipment earthing</w:t>
            </w:r>
          </w:p>
          <w:p w:rsidR="00000000" w:rsidRPr="00283A72" w:rsidP="00283A72">
            <w:pPr>
              <w:pStyle w:val="ListBullet"/>
            </w:pPr>
            <w:r w:rsidRPr="00283A72">
              <w:t>exposed metal work</w:t>
            </w:r>
          </w:p>
          <w:p w:rsidR="00000000" w:rsidRPr="00283A72" w:rsidP="00283A72">
            <w:pPr>
              <w:pStyle w:val="ListBullet"/>
            </w:pPr>
            <w:r w:rsidRPr="00283A72">
              <w:t>screen earth</w:t>
            </w:r>
          </w:p>
          <w:p w:rsidR="00000000" w:rsidRPr="00283A72" w:rsidP="00283A72">
            <w:pPr>
              <w:pStyle w:val="ListBullet"/>
            </w:pPr>
            <w:r w:rsidRPr="00283A72">
              <w:t>TRC</w:t>
            </w:r>
          </w:p>
          <w:p w:rsidR="00000000" w:rsidP="00283A72">
            <w:pPr>
              <w:pStyle w:val="ListBullet"/>
              <w:rPr>
                <w:lang w:val="en-NZ"/>
              </w:rPr>
            </w:pPr>
            <w:r w:rsidRPr="00283A72">
              <w:t>telex earth (single function earth).</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BoldandItalics"/>
              </w:rPr>
              <w:t xml:space="preserve">Functional earths </w:t>
            </w:r>
            <w:r w:rsidRPr="00283A72">
              <w:t>refer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ListBullet"/>
            </w:pPr>
            <w:r w:rsidRPr="00283A72">
              <w:t>earth systems with functionality to:</w:t>
            </w:r>
          </w:p>
          <w:p w:rsidR="00000000" w:rsidRPr="00283A72" w:rsidP="00283A72">
            <w:pPr>
              <w:pStyle w:val="ListBullet2"/>
            </w:pPr>
            <w:r w:rsidRPr="00283A72">
              <w:t>eliminate interference from electromagnetic, radio frequency (RF) and power sources</w:t>
            </w:r>
          </w:p>
          <w:p w:rsidR="00000000" w:rsidP="00283A72">
            <w:pPr>
              <w:pStyle w:val="ListBullet2"/>
              <w:rPr>
                <w:lang w:val="en-NZ"/>
              </w:rPr>
            </w:pPr>
            <w:r w:rsidRPr="00283A72">
              <w:t>reduce interference from electromagneticRF and power sources.</w:t>
            </w:r>
          </w:p>
        </w:tc>
      </w:tr>
      <w:tr w:rsidTr="00283A7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A72">
            <w:pPr>
              <w:pStyle w:val="BodyText"/>
              <w:rPr>
                <w:lang w:val="en-NZ"/>
              </w:rPr>
            </w:pPr>
            <w:r w:rsidRPr="00283A72">
              <w:rPr>
                <w:rStyle w:val="BoldandItalics"/>
              </w:rPr>
              <w:t xml:space="preserve">OHS and environmental requirements </w:t>
            </w:r>
            <w:r w:rsidRPr="00283A72">
              <w:t>may relate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A72" w:rsidP="00283A72">
            <w:pPr>
              <w:pStyle w:val="ListBullet"/>
            </w:pPr>
            <w:r w:rsidRPr="00283A72">
              <w:t>identifying other services, including power and gas</w:t>
            </w:r>
          </w:p>
          <w:p w:rsidR="00000000" w:rsidRPr="00283A72" w:rsidP="00283A72">
            <w:pPr>
              <w:pStyle w:val="ListBullet"/>
            </w:pPr>
            <w:r w:rsidRPr="00283A72">
              <w:t>need for decommissioning and isolating worksite and lines prior to commencement</w:t>
            </w:r>
          </w:p>
          <w:p w:rsidR="00000000" w:rsidRPr="00283A72" w:rsidP="00283A72">
            <w:pPr>
              <w:pStyle w:val="ListBullet"/>
            </w:pPr>
            <w:r w:rsidRPr="00283A72">
              <w:t>safe working practices, such as the safe use and handling of:</w:t>
            </w:r>
          </w:p>
          <w:p w:rsidR="00000000" w:rsidRPr="00283A72" w:rsidP="00283A72">
            <w:pPr>
              <w:pStyle w:val="ListBullet2"/>
            </w:pPr>
            <w:r w:rsidRPr="00283A72">
              <w:t>asbestos</w:t>
            </w:r>
          </w:p>
          <w:p w:rsidR="00000000" w:rsidRPr="00283A72" w:rsidP="00283A72">
            <w:pPr>
              <w:pStyle w:val="ListBullet2"/>
            </w:pPr>
            <w:r w:rsidRPr="00283A72">
              <w:t>chemicals</w:t>
            </w:r>
          </w:p>
          <w:p w:rsidR="00000000" w:rsidRPr="00283A72" w:rsidP="00283A72">
            <w:pPr>
              <w:pStyle w:val="ListBullet2"/>
            </w:pPr>
            <w:r w:rsidRPr="00283A72">
              <w:t>materials</w:t>
            </w:r>
          </w:p>
          <w:p w:rsidR="00000000" w:rsidRPr="00283A72" w:rsidP="00283A72">
            <w:pPr>
              <w:pStyle w:val="ListBullet2"/>
            </w:pPr>
            <w:r w:rsidRPr="00283A72">
              <w:t>tools and equipment</w:t>
            </w:r>
          </w:p>
          <w:p w:rsidR="00000000" w:rsidRPr="00283A72" w:rsidP="00283A72">
            <w:pPr>
              <w:pStyle w:val="ListBullet2"/>
            </w:pPr>
            <w:r w:rsidRPr="00283A72">
              <w:t>work platforms</w:t>
            </w:r>
          </w:p>
          <w:p w:rsidR="00000000" w:rsidRPr="00283A72" w:rsidP="00283A72">
            <w:pPr>
              <w:pStyle w:val="ListBullet"/>
            </w:pPr>
            <w:r w:rsidRPr="00283A72">
              <w:t>safety equipment</w:t>
            </w:r>
          </w:p>
          <w:p w:rsidR="00000000" w:rsidRPr="00283A72" w:rsidP="00283A72">
            <w:pPr>
              <w:pStyle w:val="ListBullet2"/>
            </w:pPr>
            <w:r w:rsidRPr="00283A72">
              <w:t>witches hats</w:t>
            </w:r>
          </w:p>
          <w:p w:rsidR="00000000" w:rsidRPr="00283A72" w:rsidP="00283A72">
            <w:pPr>
              <w:pStyle w:val="ListBullet2"/>
            </w:pPr>
            <w:r w:rsidRPr="00283A72">
              <w:t>flashing lights</w:t>
            </w:r>
          </w:p>
          <w:p w:rsidR="00000000" w:rsidRPr="00283A72" w:rsidP="00283A72">
            <w:pPr>
              <w:pStyle w:val="ListBullet2"/>
            </w:pPr>
            <w:r w:rsidRPr="00283A72">
              <w:t>s</w:t>
            </w:r>
            <w:r w:rsidRPr="00283A72">
              <w:t>afety barriers</w:t>
            </w:r>
          </w:p>
          <w:p w:rsidR="00000000" w:rsidRPr="00283A72" w:rsidP="00283A72">
            <w:pPr>
              <w:pStyle w:val="ListBullet2"/>
            </w:pPr>
            <w:r w:rsidRPr="00283A72">
              <w:t>trench guards</w:t>
            </w:r>
          </w:p>
          <w:p w:rsidR="00000000" w:rsidRPr="00283A72" w:rsidP="00283A72">
            <w:pPr>
              <w:pStyle w:val="ListBullet2"/>
            </w:pPr>
            <w:r w:rsidRPr="00283A72">
              <w:t>warning signs and tapes</w:t>
            </w:r>
          </w:p>
          <w:p w:rsidR="00000000" w:rsidRPr="00283A72" w:rsidP="00283A72">
            <w:pPr>
              <w:pStyle w:val="ListBullet2"/>
            </w:pPr>
            <w:r w:rsidRPr="00283A72">
              <w:t>gas and other hazard detection equipment</w:t>
            </w:r>
          </w:p>
          <w:p w:rsidR="00000000" w:rsidRPr="00283A72" w:rsidP="00283A72">
            <w:pPr>
              <w:pStyle w:val="ListBullet"/>
            </w:pPr>
            <w:r w:rsidRPr="00283A72">
              <w:t>special access requirements</w:t>
            </w:r>
          </w:p>
          <w:p w:rsidR="00000000" w:rsidRPr="00283A72" w:rsidP="00283A72">
            <w:pPr>
              <w:pStyle w:val="ListBullet"/>
            </w:pPr>
            <w:r w:rsidRPr="00283A72">
              <w:t>suitable light and ventilation</w:t>
            </w:r>
          </w:p>
          <w:p w:rsidR="00000000" w:rsidRPr="00283A72" w:rsidP="00283A72">
            <w:pPr>
              <w:pStyle w:val="ListBullet"/>
            </w:pPr>
            <w:r w:rsidRPr="00283A72">
              <w:t>environmental considerations:</w:t>
            </w:r>
          </w:p>
          <w:p w:rsidR="00000000" w:rsidRPr="00283A72" w:rsidP="00283A72">
            <w:pPr>
              <w:pStyle w:val="ListBullet2"/>
            </w:pPr>
            <w:r w:rsidRPr="00283A72">
              <w:t>clean-up protection</w:t>
            </w:r>
          </w:p>
          <w:p w:rsidR="00000000" w:rsidRPr="00283A72" w:rsidP="00283A72">
            <w:pPr>
              <w:pStyle w:val="ListBullet2"/>
            </w:pPr>
            <w:r w:rsidRPr="00283A72">
              <w:t>noise, dust and clean-up management</w:t>
            </w:r>
          </w:p>
          <w:p w:rsidR="00000000" w:rsidRPr="00283A72" w:rsidP="00283A72">
            <w:pPr>
              <w:pStyle w:val="ListBullet2"/>
            </w:pPr>
            <w:r w:rsidRPr="00283A72">
              <w:t>stormwater protection</w:t>
            </w:r>
          </w:p>
          <w:p w:rsidR="00000000" w:rsidRPr="00283A72" w:rsidP="00283A72">
            <w:pPr>
              <w:pStyle w:val="ListBullet2"/>
            </w:pPr>
            <w:r w:rsidRPr="00283A72">
              <w:t>waste management.</w:t>
            </w:r>
          </w:p>
        </w:tc>
      </w:tr>
    </w:tbl>
    <w:p w:rsidR="00000000" w:rsidRPr="00283A72" w:rsidP="00283A72">
      <w:pPr>
        <w:pStyle w:val="BodyText"/>
      </w:pPr>
    </w:p>
    <w:p w:rsidR="00000000" w:rsidRPr="00283A72" w:rsidP="00283A72">
      <w:pPr>
        <w:pStyle w:val="AllowPageBreak"/>
      </w:pPr>
    </w:p>
    <w:p w:rsidR="00000000" w:rsidRPr="00283A72" w:rsidP="00283A72">
      <w:pPr>
        <w:pStyle w:val="Heading1"/>
      </w:pPr>
      <w:bookmarkStart w:id="12" w:name="O_639326"/>
      <w:bookmarkEnd w:id="12"/>
      <w:r w:rsidRPr="00283A72">
        <w:t>Unit Sector(s)</w:t>
      </w:r>
    </w:p>
    <w:p w:rsidR="00000000" w:rsidRPr="00283A72" w:rsidP="00283A72">
      <w:pPr>
        <w:pStyle w:val="BodyText"/>
      </w:pPr>
      <w:r w:rsidRPr="00283A72">
        <w:t>Telecommunications - Cabling</w:t>
      </w:r>
    </w:p>
    <w:p w:rsidR="00000000" w:rsidRPr="00283A72" w:rsidP="00283A72"/>
    <w:sectPr w:rsidSect="00283A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72" w:rsidRPr="00026A86" w:rsidP="00026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86" w:rsidP="00283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6A86" w:rsidP="00283A7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6A86" w:rsidP="00283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72" w:rsidRPr="00026A86" w:rsidP="00026A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86" w:rsidRPr="002D2AF8" w:rsidP="00283A72">
    <w:pPr>
      <w:pStyle w:val="Header"/>
      <w:framePr w:wrap="around"/>
    </w:pPr>
    <w:r>
      <w:fldChar w:fldCharType="begin"/>
    </w:r>
    <w:r>
      <w:instrText xml:space="preserve"> TITLE   \* MERGEFORMAT </w:instrText>
    </w:r>
    <w:r>
      <w:fldChar w:fldCharType="separate"/>
    </w:r>
    <w:r>
      <w:t>ICTCBL2012B Install functional and protective telecommunications earthing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26A86" w:rsidP="00283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A5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E1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66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A72"/>
    <w:pPr>
      <w:spacing w:before="360" w:after="60"/>
      <w:outlineLvl w:val="0"/>
    </w:pPr>
    <w:rPr>
      <w:sz w:val="32"/>
    </w:rPr>
  </w:style>
  <w:style w:type="paragraph" w:styleId="Heading2">
    <w:name w:val="heading 2"/>
    <w:basedOn w:val="HeadingBase"/>
    <w:next w:val="BodyText"/>
    <w:link w:val="Heading2Char"/>
    <w:qFormat/>
    <w:rsid w:val="00283A72"/>
    <w:pPr>
      <w:keepLines/>
      <w:spacing w:before="240" w:after="120"/>
      <w:outlineLvl w:val="1"/>
    </w:pPr>
    <w:rPr>
      <w:sz w:val="28"/>
      <w:szCs w:val="40"/>
    </w:rPr>
  </w:style>
  <w:style w:type="paragraph" w:styleId="Heading3">
    <w:name w:val="heading 3"/>
    <w:basedOn w:val="HeadingBase"/>
    <w:next w:val="BodyText"/>
    <w:link w:val="Heading3Char"/>
    <w:qFormat/>
    <w:rsid w:val="00283A72"/>
    <w:pPr>
      <w:spacing w:before="180" w:after="120"/>
      <w:outlineLvl w:val="2"/>
    </w:pPr>
    <w:rPr>
      <w:spacing w:val="-10"/>
      <w:kern w:val="32"/>
    </w:rPr>
  </w:style>
  <w:style w:type="paragraph" w:styleId="Heading4">
    <w:name w:val="heading 4"/>
    <w:basedOn w:val="HeadingBase"/>
    <w:next w:val="BodyText"/>
    <w:link w:val="Heading4Char"/>
    <w:qFormat/>
    <w:rsid w:val="00283A72"/>
    <w:pPr>
      <w:spacing w:before="160" w:after="120"/>
      <w:outlineLvl w:val="3"/>
    </w:pPr>
    <w:rPr>
      <w:sz w:val="22"/>
    </w:rPr>
  </w:style>
  <w:style w:type="paragraph" w:styleId="Heading5">
    <w:name w:val="heading 5"/>
    <w:basedOn w:val="HeadingBase"/>
    <w:next w:val="Normal"/>
    <w:link w:val="Heading5Char"/>
    <w:qFormat/>
    <w:rsid w:val="00283A72"/>
    <w:pPr>
      <w:spacing w:before="80"/>
      <w:outlineLvl w:val="4"/>
    </w:pPr>
    <w:rPr>
      <w:color w:val="918585"/>
      <w:sz w:val="20"/>
    </w:rPr>
  </w:style>
  <w:style w:type="paragraph" w:styleId="Heading6">
    <w:name w:val="heading 6"/>
    <w:basedOn w:val="HeadingBase"/>
    <w:next w:val="Normal"/>
    <w:link w:val="Heading6Char"/>
    <w:qFormat/>
    <w:rsid w:val="00283A72"/>
    <w:pPr>
      <w:spacing w:before="60"/>
      <w:outlineLvl w:val="5"/>
    </w:pPr>
    <w:rPr>
      <w:color w:val="918585"/>
      <w:sz w:val="20"/>
    </w:rPr>
  </w:style>
  <w:style w:type="paragraph" w:styleId="Heading7">
    <w:name w:val="heading 7"/>
    <w:basedOn w:val="Normal"/>
    <w:next w:val="Normal"/>
    <w:link w:val="Heading7Char"/>
    <w:qFormat/>
    <w:rsid w:val="00283A72"/>
    <w:pPr>
      <w:ind w:left="720"/>
      <w:outlineLvl w:val="6"/>
    </w:pPr>
    <w:rPr>
      <w:i/>
    </w:rPr>
  </w:style>
  <w:style w:type="paragraph" w:styleId="Heading8">
    <w:name w:val="heading 8"/>
    <w:basedOn w:val="Normal"/>
    <w:next w:val="Normal"/>
    <w:link w:val="Heading8Char"/>
    <w:qFormat/>
    <w:rsid w:val="00283A72"/>
    <w:pPr>
      <w:ind w:left="720"/>
      <w:outlineLvl w:val="7"/>
    </w:pPr>
    <w:rPr>
      <w:i/>
    </w:rPr>
  </w:style>
  <w:style w:type="paragraph" w:styleId="Heading9">
    <w:name w:val="heading 9"/>
    <w:basedOn w:val="Normal"/>
    <w:next w:val="Normal"/>
    <w:link w:val="Heading9Char"/>
    <w:qFormat/>
    <w:rsid w:val="00283A72"/>
    <w:pPr>
      <w:ind w:left="720"/>
      <w:outlineLvl w:val="8"/>
    </w:pPr>
    <w:rPr>
      <w:i/>
    </w:rPr>
  </w:style>
  <w:style w:type="character" w:default="1" w:styleId="DefaultParagraphFont">
    <w:name w:val="Default Paragraph Font"/>
    <w:uiPriority w:val="1"/>
    <w:unhideWhenUsed/>
    <w:rsid w:val="00283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A72"/>
  </w:style>
  <w:style w:type="character" w:customStyle="1" w:styleId="Heading1Char">
    <w:name w:val="Heading 1 Char"/>
    <w:basedOn w:val="DefaultParagraphFont"/>
    <w:link w:val="Heading1"/>
    <w:rsid w:val="00283A72"/>
    <w:rPr>
      <w:rFonts w:ascii="Times New Roman" w:eastAsia="Times New Roman" w:hAnsi="Times New Roman" w:cs="Times New Roman"/>
      <w:b/>
      <w:sz w:val="32"/>
      <w:szCs w:val="20"/>
      <w:lang w:eastAsia="en-US"/>
    </w:rPr>
  </w:style>
  <w:style w:type="paragraph" w:styleId="BodyText">
    <w:name w:val="Body Text"/>
    <w:basedOn w:val="Normal"/>
    <w:link w:val="BodyTextChar"/>
    <w:rsid w:val="00283A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3A72"/>
    <w:rPr>
      <w:rFonts w:ascii="Times New Roman" w:eastAsia="Times New Roman" w:hAnsi="Times New Roman" w:cs="Times New Roman"/>
      <w:sz w:val="24"/>
      <w:lang w:eastAsia="en-US"/>
    </w:rPr>
  </w:style>
  <w:style w:type="paragraph" w:styleId="ListBullet">
    <w:name w:val="List Bullet"/>
    <w:basedOn w:val="List"/>
    <w:rsid w:val="00283A72"/>
    <w:pPr>
      <w:numPr>
        <w:numId w:val="13"/>
      </w:numPr>
      <w:tabs>
        <w:tab w:val="clear" w:pos="340"/>
      </w:tabs>
      <w:spacing w:before="40" w:after="40"/>
    </w:pPr>
  </w:style>
  <w:style w:type="character" w:customStyle="1" w:styleId="SpecialBold">
    <w:name w:val="Special Bold"/>
    <w:basedOn w:val="DefaultParagraphFont"/>
    <w:rsid w:val="00283A72"/>
    <w:rPr>
      <w:b/>
      <w:spacing w:val="0"/>
    </w:rPr>
  </w:style>
  <w:style w:type="paragraph" w:styleId="ListBullet2">
    <w:name w:val="List Bullet 2"/>
    <w:basedOn w:val="List2"/>
    <w:rsid w:val="00283A72"/>
    <w:pPr>
      <w:numPr>
        <w:numId w:val="14"/>
      </w:numPr>
      <w:tabs>
        <w:tab w:val="clear" w:pos="680"/>
      </w:tabs>
    </w:pPr>
  </w:style>
  <w:style w:type="character" w:styleId="Emphasis">
    <w:name w:val="Emphasis"/>
    <w:basedOn w:val="DefaultParagraphFont"/>
    <w:qFormat/>
    <w:rsid w:val="00283A72"/>
    <w:rPr>
      <w:i/>
    </w:rPr>
  </w:style>
  <w:style w:type="paragraph" w:customStyle="1" w:styleId="SuperHeading">
    <w:name w:val="SuperHeading"/>
    <w:basedOn w:val="Normal"/>
    <w:rsid w:val="00283A72"/>
    <w:pPr>
      <w:spacing w:before="240" w:after="120"/>
      <w:outlineLvl w:val="0"/>
    </w:pPr>
    <w:rPr>
      <w:rFonts w:ascii="Times New Roman" w:hAnsi="Times New Roman"/>
      <w:b/>
      <w:sz w:val="32"/>
    </w:rPr>
  </w:style>
  <w:style w:type="paragraph" w:customStyle="1" w:styleId="AllowPageBreak">
    <w:name w:val="AllowPageBreak"/>
    <w:rsid w:val="00283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3A72"/>
    <w:rPr>
      <w:b/>
      <w:i/>
      <w:u w:val="none"/>
    </w:rPr>
  </w:style>
  <w:style w:type="character" w:customStyle="1" w:styleId="Heading2Char">
    <w:name w:val="Heading 2 Char"/>
    <w:basedOn w:val="DefaultParagraphFont"/>
    <w:link w:val="Heading2"/>
    <w:rsid w:val="00283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A72"/>
    <w:rPr>
      <w:rFonts w:ascii="Courier New" w:eastAsia="Times New Roman" w:hAnsi="Courier New" w:cs="Times New Roman"/>
      <w:i/>
      <w:szCs w:val="20"/>
      <w:lang w:eastAsia="en-US"/>
    </w:rPr>
  </w:style>
  <w:style w:type="paragraph" w:customStyle="1" w:styleId="HeadingBase">
    <w:name w:val="Heading Base"/>
    <w:rsid w:val="00283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A72"/>
    <w:pPr>
      <w:tabs>
        <w:tab w:val="right" w:leader="dot" w:pos="9072"/>
      </w:tabs>
      <w:ind w:left="567"/>
    </w:pPr>
    <w:rPr>
      <w:szCs w:val="22"/>
    </w:rPr>
  </w:style>
  <w:style w:type="paragraph" w:customStyle="1" w:styleId="TOCBase">
    <w:name w:val="TOC Base"/>
    <w:rsid w:val="00283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A72"/>
    <w:pPr>
      <w:tabs>
        <w:tab w:val="right" w:leader="dot" w:pos="9072"/>
      </w:tabs>
      <w:spacing w:before="40" w:after="40"/>
      <w:ind w:left="284"/>
    </w:pPr>
    <w:rPr>
      <w:rFonts w:ascii="Times New Roman" w:hAnsi="Times New Roman"/>
    </w:rPr>
  </w:style>
  <w:style w:type="paragraph" w:styleId="TOC1">
    <w:name w:val="toc 1"/>
    <w:basedOn w:val="TOCBase"/>
    <w:next w:val="Normal"/>
    <w:rsid w:val="00283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A72"/>
    <w:rPr>
      <w:rFonts w:ascii="Times New Roman" w:eastAsia="Times New Roman" w:hAnsi="Times New Roman" w:cs="Times New Roman"/>
      <w:sz w:val="16"/>
      <w:lang w:eastAsia="en-US"/>
    </w:rPr>
  </w:style>
  <w:style w:type="paragraph" w:styleId="Title">
    <w:name w:val="Title"/>
    <w:basedOn w:val="HeadingBase"/>
    <w:link w:val="TitleChar"/>
    <w:qFormat/>
    <w:rsid w:val="00283A72"/>
    <w:pPr>
      <w:spacing w:before="5040"/>
      <w:jc w:val="center"/>
    </w:pPr>
    <w:rPr>
      <w:sz w:val="48"/>
      <w:szCs w:val="72"/>
      <w:lang w:val="en-US"/>
    </w:rPr>
  </w:style>
  <w:style w:type="character" w:customStyle="1" w:styleId="TitleChar">
    <w:name w:val="Title Char"/>
    <w:basedOn w:val="DefaultParagraphFont"/>
    <w:link w:val="Title"/>
    <w:rsid w:val="00283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A72"/>
    <w:pPr>
      <w:tabs>
        <w:tab w:val="left" w:pos="3600"/>
        <w:tab w:val="left" w:pos="3958"/>
      </w:tabs>
    </w:pPr>
  </w:style>
  <w:style w:type="paragraph" w:styleId="List">
    <w:name w:val="List"/>
    <w:basedOn w:val="BodyText"/>
    <w:next w:val="BodyText"/>
    <w:rsid w:val="00283A72"/>
    <w:pPr>
      <w:tabs>
        <w:tab w:val="left" w:pos="340"/>
      </w:tabs>
      <w:spacing w:before="60" w:after="60"/>
      <w:ind w:left="340" w:hanging="340"/>
    </w:pPr>
  </w:style>
  <w:style w:type="paragraph" w:customStyle="1" w:styleId="Note">
    <w:name w:val="Note"/>
    <w:basedOn w:val="BodyText"/>
    <w:rsid w:val="00283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A72"/>
    <w:pPr>
      <w:framePr w:wrap="auto" w:hAnchor="text" w:y="6049"/>
    </w:pPr>
    <w:rPr>
      <w:color w:val="000000"/>
      <w:sz w:val="40"/>
    </w:rPr>
  </w:style>
  <w:style w:type="paragraph" w:customStyle="1" w:styleId="TOCTitle">
    <w:name w:val="TOCTitle"/>
    <w:basedOn w:val="Heading1"/>
    <w:rsid w:val="00283A72"/>
    <w:pPr>
      <w:spacing w:after="240"/>
      <w:jc w:val="center"/>
      <w:outlineLvl w:val="9"/>
    </w:pPr>
    <w:rPr>
      <w:caps/>
    </w:rPr>
  </w:style>
  <w:style w:type="paragraph" w:customStyle="1" w:styleId="Version">
    <w:name w:val="Version"/>
    <w:rsid w:val="00283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A72"/>
    <w:pPr>
      <w:keepNext w:val="0"/>
      <w:tabs>
        <w:tab w:val="right" w:pos="4176"/>
      </w:tabs>
      <w:ind w:left="198" w:hanging="198"/>
    </w:pPr>
    <w:rPr>
      <w:rFonts w:ascii="Garamond" w:hAnsi="Garamond"/>
    </w:rPr>
  </w:style>
  <w:style w:type="paragraph" w:styleId="IndexHeading">
    <w:name w:val="index heading"/>
    <w:basedOn w:val="Normal"/>
    <w:next w:val="Index1"/>
    <w:semiHidden/>
    <w:rsid w:val="00283A72"/>
    <w:pPr>
      <w:spacing w:before="120" w:after="120"/>
    </w:pPr>
    <w:rPr>
      <w:rFonts w:ascii="Arial" w:hAnsi="Arial"/>
      <w:b/>
      <w:color w:val="918585"/>
      <w:sz w:val="24"/>
    </w:rPr>
  </w:style>
  <w:style w:type="paragraph" w:styleId="Header">
    <w:name w:val="header"/>
    <w:basedOn w:val="Normal"/>
    <w:link w:val="HeaderChar"/>
    <w:rsid w:val="00283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A72"/>
    <w:rPr>
      <w:rFonts w:ascii="Times New Roman" w:eastAsia="Times New Roman" w:hAnsi="Times New Roman" w:cs="Times New Roman"/>
      <w:sz w:val="16"/>
      <w:szCs w:val="20"/>
      <w:lang w:val="en-GB" w:eastAsia="en-US"/>
    </w:rPr>
  </w:style>
  <w:style w:type="paragraph" w:customStyle="1" w:styleId="Chapter">
    <w:name w:val="Chapter"/>
    <w:basedOn w:val="Normal"/>
    <w:rsid w:val="00283A72"/>
    <w:pPr>
      <w:spacing w:before="240"/>
    </w:pPr>
    <w:rPr>
      <w:rFonts w:ascii="Times New Roman" w:hAnsi="Times New Roman"/>
      <w:smallCaps/>
      <w:spacing w:val="80"/>
      <w:sz w:val="28"/>
    </w:rPr>
  </w:style>
  <w:style w:type="paragraph" w:customStyle="1" w:styleId="InChapter">
    <w:name w:val="InChapter"/>
    <w:basedOn w:val="Heading3"/>
    <w:rsid w:val="00283A72"/>
    <w:pPr>
      <w:spacing w:after="240"/>
      <w:outlineLvl w:val="9"/>
    </w:pPr>
    <w:rPr>
      <w:noProof/>
    </w:rPr>
  </w:style>
  <w:style w:type="paragraph" w:styleId="Index2">
    <w:name w:val="index 2"/>
    <w:basedOn w:val="Normal"/>
    <w:next w:val="Normal"/>
    <w:semiHidden/>
    <w:rsid w:val="00283A72"/>
    <w:pPr>
      <w:tabs>
        <w:tab w:val="right" w:pos="4176"/>
      </w:tabs>
      <w:ind w:left="568" w:hanging="284"/>
    </w:pPr>
    <w:rPr>
      <w:rFonts w:ascii="Garamond" w:hAnsi="Garamond"/>
    </w:rPr>
  </w:style>
  <w:style w:type="paragraph" w:customStyle="1" w:styleId="Byline">
    <w:name w:val="Byline"/>
    <w:rsid w:val="00283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A72"/>
    <w:pPr>
      <w:tabs>
        <w:tab w:val="clear" w:pos="3600"/>
        <w:tab w:val="clear" w:pos="3958"/>
      </w:tabs>
      <w:jc w:val="right"/>
    </w:pPr>
  </w:style>
  <w:style w:type="paragraph" w:styleId="Caption">
    <w:name w:val="caption"/>
    <w:basedOn w:val="BodyText"/>
    <w:next w:val="Normal"/>
    <w:qFormat/>
    <w:rsid w:val="00283A72"/>
    <w:pPr>
      <w:framePr w:w="2268" w:hSpace="181" w:vSpace="181" w:wrap="around" w:vAnchor="text" w:hAnchor="page" w:x="1135" w:y="285" w:anchorLock="1"/>
    </w:pPr>
    <w:rPr>
      <w:i/>
    </w:rPr>
  </w:style>
  <w:style w:type="paragraph" w:customStyle="1" w:styleId="MiniTOCTitle">
    <w:name w:val="MiniTOCTitle"/>
    <w:basedOn w:val="Heading4"/>
    <w:rsid w:val="00283A72"/>
    <w:pPr>
      <w:spacing w:before="240"/>
      <w:outlineLvl w:val="9"/>
    </w:pPr>
    <w:rPr>
      <w:noProof/>
      <w:sz w:val="24"/>
    </w:rPr>
  </w:style>
  <w:style w:type="paragraph" w:customStyle="1" w:styleId="MiniTOCItem">
    <w:name w:val="MiniTOCItem"/>
    <w:basedOn w:val="ListBullet"/>
    <w:rsid w:val="00283A72"/>
    <w:pPr>
      <w:numPr>
        <w:numId w:val="0"/>
      </w:numPr>
      <w:tabs>
        <w:tab w:val="right" w:leader="dot" w:pos="6521"/>
      </w:tabs>
      <w:spacing w:before="0" w:after="0"/>
    </w:pPr>
  </w:style>
  <w:style w:type="paragraph" w:customStyle="1" w:styleId="TOFTitle">
    <w:name w:val="TOFTitle"/>
    <w:basedOn w:val="TOCTitle"/>
    <w:rsid w:val="00283A72"/>
  </w:style>
  <w:style w:type="paragraph" w:styleId="TableofFigures">
    <w:name w:val="table of figures"/>
    <w:basedOn w:val="Normal"/>
    <w:next w:val="Normal"/>
    <w:semiHidden/>
    <w:rsid w:val="00283A72"/>
    <w:pPr>
      <w:tabs>
        <w:tab w:val="right" w:leader="dot" w:pos="9072"/>
      </w:tabs>
      <w:ind w:left="970" w:hanging="403"/>
    </w:pPr>
    <w:rPr>
      <w:rFonts w:ascii="Times New Roman" w:hAnsi="Times New Roman"/>
      <w:b/>
    </w:rPr>
  </w:style>
  <w:style w:type="paragraph" w:styleId="ListNumber">
    <w:name w:val="List Number"/>
    <w:basedOn w:val="List"/>
    <w:rsid w:val="00283A72"/>
    <w:pPr>
      <w:numPr>
        <w:numId w:val="11"/>
      </w:numPr>
    </w:pPr>
  </w:style>
  <w:style w:type="character" w:customStyle="1" w:styleId="WingdingSymbols">
    <w:name w:val="Wingding Symbols"/>
    <w:rsid w:val="00283A72"/>
    <w:rPr>
      <w:rFonts w:ascii="Wingdings" w:hAnsi="Wingdings"/>
    </w:rPr>
  </w:style>
  <w:style w:type="paragraph" w:customStyle="1" w:styleId="TableHeading">
    <w:name w:val="Table Heading"/>
    <w:basedOn w:val="HeadingBase"/>
    <w:rsid w:val="00283A72"/>
    <w:pPr>
      <w:keepLines/>
      <w:pBdr>
        <w:bottom w:val="single" w:sz="6" w:space="1" w:color="918585"/>
      </w:pBdr>
      <w:spacing w:before="240"/>
    </w:pPr>
  </w:style>
  <w:style w:type="character" w:customStyle="1" w:styleId="HotSpot">
    <w:name w:val="HotSpot"/>
    <w:rsid w:val="00283A72"/>
    <w:rPr>
      <w:color w:val="0033CC"/>
      <w:u w:val="none"/>
    </w:rPr>
  </w:style>
  <w:style w:type="paragraph" w:customStyle="1" w:styleId="BodyTextRight">
    <w:name w:val="Body Text Right"/>
    <w:basedOn w:val="BodyText"/>
    <w:rsid w:val="00283A72"/>
    <w:pPr>
      <w:spacing w:before="0" w:after="0"/>
      <w:jc w:val="right"/>
    </w:pPr>
  </w:style>
  <w:style w:type="paragraph" w:styleId="Index3">
    <w:name w:val="index 3"/>
    <w:basedOn w:val="ListNumber2"/>
    <w:next w:val="Normal"/>
    <w:semiHidden/>
    <w:rsid w:val="00283A72"/>
    <w:pPr>
      <w:numPr>
        <w:numId w:val="0"/>
      </w:numPr>
      <w:tabs>
        <w:tab w:val="right" w:leader="dot" w:pos="4176"/>
      </w:tabs>
    </w:pPr>
  </w:style>
  <w:style w:type="paragraph" w:styleId="ListNumber2">
    <w:name w:val="List Number 2"/>
    <w:basedOn w:val="List2"/>
    <w:rsid w:val="00283A72"/>
    <w:pPr>
      <w:numPr>
        <w:numId w:val="10"/>
      </w:numPr>
      <w:tabs>
        <w:tab w:val="clear" w:pos="1060"/>
      </w:tabs>
    </w:pPr>
  </w:style>
  <w:style w:type="paragraph" w:customStyle="1" w:styleId="MarginNote">
    <w:name w:val="Margin Note"/>
    <w:basedOn w:val="BodyText"/>
    <w:rsid w:val="00283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A72"/>
    <w:rPr>
      <w:sz w:val="32"/>
    </w:rPr>
  </w:style>
  <w:style w:type="paragraph" w:customStyle="1" w:styleId="HeadingProcedure">
    <w:name w:val="Heading Procedure"/>
    <w:basedOn w:val="HeadingBase"/>
    <w:next w:val="Normal"/>
    <w:rsid w:val="00283A72"/>
    <w:pPr>
      <w:tabs>
        <w:tab w:val="left" w:pos="0"/>
      </w:tabs>
      <w:spacing w:before="120" w:after="60"/>
    </w:pPr>
    <w:rPr>
      <w:i/>
      <w:color w:val="918585"/>
      <w:sz w:val="22"/>
    </w:rPr>
  </w:style>
  <w:style w:type="paragraph" w:customStyle="1" w:styleId="TableBodyText">
    <w:name w:val="Table Body Text"/>
    <w:basedOn w:val="BodyText"/>
    <w:rsid w:val="00283A72"/>
    <w:pPr>
      <w:spacing w:before="60" w:after="60"/>
    </w:pPr>
  </w:style>
  <w:style w:type="paragraph" w:styleId="ListContinue">
    <w:name w:val="List Continue"/>
    <w:basedOn w:val="List"/>
    <w:rsid w:val="00283A72"/>
    <w:pPr>
      <w:ind w:firstLine="0"/>
    </w:pPr>
  </w:style>
  <w:style w:type="paragraph" w:customStyle="1" w:styleId="ListNote">
    <w:name w:val="List Note"/>
    <w:basedOn w:val="List"/>
    <w:rsid w:val="00283A72"/>
    <w:pPr>
      <w:pBdr>
        <w:top w:val="single" w:sz="6" w:space="2" w:color="918585"/>
        <w:bottom w:val="single" w:sz="6" w:space="2" w:color="918585"/>
      </w:pBdr>
      <w:tabs>
        <w:tab w:val="left" w:pos="1021"/>
      </w:tabs>
      <w:ind w:firstLine="0"/>
    </w:pPr>
  </w:style>
  <w:style w:type="paragraph" w:customStyle="1" w:styleId="Warning">
    <w:name w:val="Warning"/>
    <w:basedOn w:val="BodyText"/>
    <w:rsid w:val="00283A72"/>
    <w:pPr>
      <w:shd w:val="clear" w:color="auto" w:fill="D9D9D9"/>
      <w:tabs>
        <w:tab w:val="left" w:pos="992"/>
      </w:tabs>
      <w:ind w:left="119" w:right="119"/>
    </w:pPr>
    <w:rPr>
      <w:sz w:val="20"/>
    </w:rPr>
  </w:style>
  <w:style w:type="paragraph" w:customStyle="1" w:styleId="MarginIcons">
    <w:name w:val="Margin Icons"/>
    <w:basedOn w:val="BodyText"/>
    <w:rsid w:val="00283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A72"/>
    <w:rPr>
      <w:rFonts w:ascii="Courier New" w:hAnsi="Courier New"/>
    </w:rPr>
  </w:style>
  <w:style w:type="paragraph" w:customStyle="1" w:styleId="NoteBullet">
    <w:name w:val="Note Bullet"/>
    <w:basedOn w:val="Note"/>
    <w:rsid w:val="00283A72"/>
    <w:pPr>
      <w:tabs>
        <w:tab w:val="clear" w:pos="680"/>
      </w:tabs>
      <w:spacing w:before="60" w:after="60"/>
    </w:pPr>
  </w:style>
  <w:style w:type="paragraph" w:customStyle="1" w:styleId="SubHeading2">
    <w:name w:val="SubHeading2"/>
    <w:basedOn w:val="HeadingBase"/>
    <w:rsid w:val="00283A72"/>
    <w:pPr>
      <w:spacing w:before="240" w:after="60"/>
    </w:pPr>
    <w:rPr>
      <w:sz w:val="20"/>
    </w:rPr>
  </w:style>
  <w:style w:type="paragraph" w:customStyle="1" w:styleId="SubHeading1">
    <w:name w:val="SubHeading1"/>
    <w:basedOn w:val="HeadingBase"/>
    <w:rsid w:val="00283A72"/>
    <w:pPr>
      <w:spacing w:before="240" w:after="60"/>
    </w:pPr>
    <w:rPr>
      <w:color w:val="918585"/>
      <w:sz w:val="22"/>
    </w:rPr>
  </w:style>
  <w:style w:type="paragraph" w:customStyle="1" w:styleId="SideHeading">
    <w:name w:val="Side Heading"/>
    <w:basedOn w:val="HeadingBase"/>
    <w:rsid w:val="00283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A72"/>
    <w:pPr>
      <w:numPr>
        <w:numId w:val="12"/>
      </w:numPr>
    </w:pPr>
  </w:style>
  <w:style w:type="paragraph" w:styleId="PlainText">
    <w:name w:val="Plain Text"/>
    <w:basedOn w:val="Normal"/>
    <w:link w:val="PlainTextChar"/>
    <w:rsid w:val="00283A72"/>
    <w:rPr>
      <w:sz w:val="20"/>
    </w:rPr>
  </w:style>
  <w:style w:type="character" w:customStyle="1" w:styleId="PlainTextChar">
    <w:name w:val="Plain Text Char"/>
    <w:basedOn w:val="DefaultParagraphFont"/>
    <w:link w:val="PlainText"/>
    <w:rsid w:val="00283A72"/>
    <w:rPr>
      <w:rFonts w:ascii="Courier New" w:eastAsia="Times New Roman" w:hAnsi="Courier New" w:cs="Times New Roman"/>
      <w:sz w:val="20"/>
      <w:szCs w:val="20"/>
      <w:lang w:eastAsia="en-US"/>
    </w:rPr>
  </w:style>
  <w:style w:type="character" w:customStyle="1" w:styleId="MenuOption">
    <w:name w:val="Menu Option"/>
    <w:basedOn w:val="DefaultParagraphFont"/>
    <w:rsid w:val="00283A72"/>
    <w:rPr>
      <w:b/>
      <w:smallCaps/>
    </w:rPr>
  </w:style>
  <w:style w:type="paragraph" w:customStyle="1" w:styleId="TableListNumber">
    <w:name w:val="Table List Number"/>
    <w:basedOn w:val="ListNumber"/>
    <w:rsid w:val="00283A72"/>
    <w:pPr>
      <w:numPr>
        <w:numId w:val="0"/>
      </w:numPr>
    </w:pPr>
  </w:style>
  <w:style w:type="paragraph" w:styleId="TOC4">
    <w:name w:val="toc 4"/>
    <w:basedOn w:val="TOCBase"/>
    <w:next w:val="Normal"/>
    <w:semiHidden/>
    <w:rsid w:val="00283A72"/>
    <w:pPr>
      <w:tabs>
        <w:tab w:val="right" w:leader="dot" w:pos="9071"/>
      </w:tabs>
      <w:ind w:left="1701"/>
    </w:pPr>
  </w:style>
  <w:style w:type="paragraph" w:customStyle="1" w:styleId="ListAlpha">
    <w:name w:val="List Alpha"/>
    <w:basedOn w:val="List"/>
    <w:rsid w:val="00283A72"/>
    <w:pPr>
      <w:numPr>
        <w:numId w:val="9"/>
      </w:numPr>
    </w:pPr>
  </w:style>
  <w:style w:type="paragraph" w:customStyle="1" w:styleId="ListAlpha2">
    <w:name w:val="List Alpha 2"/>
    <w:basedOn w:val="List2"/>
    <w:rsid w:val="00283A72"/>
    <w:pPr>
      <w:numPr>
        <w:numId w:val="8"/>
      </w:numPr>
    </w:pPr>
  </w:style>
  <w:style w:type="paragraph" w:styleId="List2">
    <w:name w:val="List 2"/>
    <w:basedOn w:val="BodyText"/>
    <w:rsid w:val="00283A72"/>
    <w:pPr>
      <w:tabs>
        <w:tab w:val="left" w:pos="680"/>
      </w:tabs>
      <w:spacing w:before="60" w:after="60"/>
      <w:ind w:left="680" w:hanging="340"/>
    </w:pPr>
  </w:style>
  <w:style w:type="paragraph" w:styleId="List3">
    <w:name w:val="List 3"/>
    <w:basedOn w:val="BodyText"/>
    <w:rsid w:val="00283A72"/>
    <w:pPr>
      <w:tabs>
        <w:tab w:val="left" w:pos="1021"/>
      </w:tabs>
      <w:spacing w:before="60" w:after="60"/>
      <w:ind w:left="1020" w:hanging="340"/>
    </w:pPr>
  </w:style>
  <w:style w:type="paragraph" w:styleId="List4">
    <w:name w:val="List 4"/>
    <w:basedOn w:val="BodyText"/>
    <w:rsid w:val="00283A72"/>
    <w:pPr>
      <w:tabs>
        <w:tab w:val="left" w:pos="1361"/>
      </w:tabs>
      <w:spacing w:before="60" w:after="60"/>
      <w:ind w:left="1361" w:hanging="340"/>
    </w:pPr>
  </w:style>
  <w:style w:type="paragraph" w:styleId="List5">
    <w:name w:val="List 5"/>
    <w:basedOn w:val="BodyText"/>
    <w:rsid w:val="00283A72"/>
    <w:pPr>
      <w:tabs>
        <w:tab w:val="left" w:pos="1701"/>
      </w:tabs>
      <w:spacing w:before="60" w:after="60"/>
      <w:ind w:left="1701" w:hanging="340"/>
    </w:pPr>
  </w:style>
  <w:style w:type="paragraph" w:styleId="ListBullet3">
    <w:name w:val="List Bullet 3"/>
    <w:basedOn w:val="List3"/>
    <w:rsid w:val="00283A72"/>
    <w:pPr>
      <w:numPr>
        <w:numId w:val="15"/>
      </w:numPr>
      <w:tabs>
        <w:tab w:val="clear" w:pos="1021"/>
      </w:tabs>
      <w:ind w:left="1037" w:hanging="357"/>
    </w:pPr>
  </w:style>
  <w:style w:type="paragraph" w:styleId="ListBullet4">
    <w:name w:val="List Bullet 4"/>
    <w:basedOn w:val="List4"/>
    <w:rsid w:val="00283A72"/>
    <w:pPr>
      <w:numPr>
        <w:numId w:val="3"/>
      </w:numPr>
    </w:pPr>
  </w:style>
  <w:style w:type="paragraph" w:styleId="ListBullet5">
    <w:name w:val="List Bullet 5"/>
    <w:basedOn w:val="List5"/>
    <w:rsid w:val="00283A72"/>
    <w:pPr>
      <w:numPr>
        <w:numId w:val="4"/>
      </w:numPr>
    </w:pPr>
  </w:style>
  <w:style w:type="paragraph" w:styleId="ListContinue2">
    <w:name w:val="List Continue 2"/>
    <w:basedOn w:val="List2"/>
    <w:rsid w:val="00283A72"/>
    <w:pPr>
      <w:ind w:firstLine="0"/>
    </w:pPr>
  </w:style>
  <w:style w:type="paragraph" w:styleId="ListContinue3">
    <w:name w:val="List Continue 3"/>
    <w:basedOn w:val="List3"/>
    <w:rsid w:val="00283A72"/>
    <w:pPr>
      <w:ind w:left="1021" w:firstLine="0"/>
    </w:pPr>
  </w:style>
  <w:style w:type="paragraph" w:styleId="ListContinue4">
    <w:name w:val="List Continue 4"/>
    <w:basedOn w:val="List4"/>
    <w:rsid w:val="00283A72"/>
    <w:pPr>
      <w:ind w:firstLine="0"/>
    </w:pPr>
  </w:style>
  <w:style w:type="paragraph" w:styleId="ListContinue5">
    <w:name w:val="List Continue 5"/>
    <w:basedOn w:val="List5"/>
    <w:rsid w:val="00283A72"/>
    <w:pPr>
      <w:ind w:firstLine="0"/>
    </w:pPr>
  </w:style>
  <w:style w:type="paragraph" w:styleId="ListNumber3">
    <w:name w:val="List Number 3"/>
    <w:basedOn w:val="List3"/>
    <w:rsid w:val="00283A72"/>
    <w:pPr>
      <w:numPr>
        <w:numId w:val="5"/>
      </w:numPr>
    </w:pPr>
  </w:style>
  <w:style w:type="paragraph" w:styleId="ListNumber4">
    <w:name w:val="List Number 4"/>
    <w:basedOn w:val="List4"/>
    <w:rsid w:val="00283A72"/>
    <w:pPr>
      <w:numPr>
        <w:numId w:val="6"/>
      </w:numPr>
    </w:pPr>
  </w:style>
  <w:style w:type="paragraph" w:styleId="ListNumber5">
    <w:name w:val="List Number 5"/>
    <w:basedOn w:val="List5"/>
    <w:rsid w:val="00283A72"/>
    <w:pPr>
      <w:numPr>
        <w:numId w:val="7"/>
      </w:numPr>
    </w:pPr>
  </w:style>
  <w:style w:type="paragraph" w:styleId="BlockText">
    <w:name w:val="Block Text"/>
    <w:basedOn w:val="Normal"/>
    <w:rsid w:val="00283A72"/>
    <w:pPr>
      <w:spacing w:after="120"/>
      <w:ind w:left="1440" w:right="1440"/>
    </w:pPr>
  </w:style>
  <w:style w:type="character" w:customStyle="1" w:styleId="Subscript">
    <w:name w:val="Subscript"/>
    <w:basedOn w:val="DefaultParagraphFont"/>
    <w:rsid w:val="00283A72"/>
    <w:rPr>
      <w:sz w:val="16"/>
      <w:vertAlign w:val="subscript"/>
    </w:rPr>
  </w:style>
  <w:style w:type="character" w:customStyle="1" w:styleId="Superscript">
    <w:name w:val="Superscript"/>
    <w:basedOn w:val="DefaultParagraphFont"/>
    <w:rsid w:val="00283A72"/>
    <w:rPr>
      <w:sz w:val="16"/>
      <w:vertAlign w:val="superscript"/>
    </w:rPr>
  </w:style>
  <w:style w:type="character" w:customStyle="1" w:styleId="Symbols">
    <w:name w:val="Symbols"/>
    <w:basedOn w:val="DefaultParagraphFont"/>
    <w:rsid w:val="00283A72"/>
    <w:rPr>
      <w:rFonts w:ascii="Symbol" w:hAnsi="Symbol"/>
    </w:rPr>
  </w:style>
  <w:style w:type="character" w:customStyle="1" w:styleId="MenuOptions">
    <w:name w:val="Menu Options"/>
    <w:basedOn w:val="DefaultParagraphFont"/>
    <w:rsid w:val="00283A72"/>
    <w:rPr>
      <w:rFonts w:ascii="Arial Narrow" w:hAnsi="Arial Narrow"/>
      <w:smallCaps/>
    </w:rPr>
  </w:style>
  <w:style w:type="character" w:customStyle="1" w:styleId="Buttons">
    <w:name w:val="Buttons"/>
    <w:basedOn w:val="DefaultParagraphFont"/>
    <w:rsid w:val="00283A72"/>
    <w:rPr>
      <w:b/>
    </w:rPr>
  </w:style>
  <w:style w:type="character" w:customStyle="1" w:styleId="Underlined">
    <w:name w:val="Underlined"/>
    <w:basedOn w:val="DefaultParagraphFont"/>
    <w:rsid w:val="00283A72"/>
    <w:rPr>
      <w:u w:val="single"/>
    </w:rPr>
  </w:style>
  <w:style w:type="paragraph" w:customStyle="1" w:styleId="TableBodyTextRight">
    <w:name w:val="Table Body Text Right"/>
    <w:basedOn w:val="TableBodyText"/>
    <w:rsid w:val="00283A72"/>
    <w:pPr>
      <w:widowControl w:val="0"/>
      <w:autoSpaceDE w:val="0"/>
      <w:autoSpaceDN w:val="0"/>
      <w:adjustRightInd w:val="0"/>
      <w:jc w:val="right"/>
    </w:pPr>
    <w:rPr>
      <w:rFonts w:cs="Arial"/>
      <w:szCs w:val="18"/>
    </w:rPr>
  </w:style>
  <w:style w:type="paragraph" w:customStyle="1" w:styleId="CopyrightText">
    <w:name w:val="Copyright Text"/>
    <w:basedOn w:val="BodyText"/>
    <w:rsid w:val="00283A72"/>
    <w:rPr>
      <w:sz w:val="18"/>
    </w:rPr>
  </w:style>
  <w:style w:type="paragraph" w:customStyle="1" w:styleId="BodySmallRight">
    <w:name w:val="Body Small Right"/>
    <w:basedOn w:val="BodyTextRight"/>
    <w:rsid w:val="00283A72"/>
    <w:rPr>
      <w:sz w:val="18"/>
      <w:szCs w:val="18"/>
    </w:rPr>
  </w:style>
  <w:style w:type="paragraph" w:customStyle="1" w:styleId="MarginEdition">
    <w:name w:val="Margin Edition"/>
    <w:basedOn w:val="MarginNote"/>
    <w:rsid w:val="00283A72"/>
    <w:pPr>
      <w:spacing w:before="0" w:after="0"/>
    </w:pPr>
    <w:rPr>
      <w:rFonts w:ascii="Times New Roman" w:hAnsi="Times New Roman"/>
      <w:color w:val="999999"/>
    </w:rPr>
  </w:style>
  <w:style w:type="paragraph" w:customStyle="1" w:styleId="Spacer">
    <w:name w:val="Spacer"/>
    <w:basedOn w:val="Normal"/>
    <w:rsid w:val="00283A72"/>
    <w:rPr>
      <w:sz w:val="2"/>
      <w:szCs w:val="2"/>
    </w:rPr>
  </w:style>
  <w:style w:type="character" w:customStyle="1" w:styleId="Small">
    <w:name w:val="Small"/>
    <w:basedOn w:val="DefaultParagraphFont"/>
    <w:rsid w:val="00283A72"/>
    <w:rPr>
      <w:sz w:val="16"/>
    </w:rPr>
  </w:style>
  <w:style w:type="paragraph" w:customStyle="1" w:styleId="WideTable">
    <w:name w:val="Wide Table"/>
    <w:basedOn w:val="Normal"/>
    <w:rsid w:val="00283A72"/>
    <w:pPr>
      <w:ind w:left="-1418"/>
    </w:pPr>
    <w:rPr>
      <w:sz w:val="2"/>
      <w:szCs w:val="2"/>
    </w:rPr>
  </w:style>
  <w:style w:type="character" w:styleId="PageNumber">
    <w:name w:val="page number"/>
    <w:basedOn w:val="DefaultParagraphFont"/>
    <w:rsid w:val="00283A72"/>
  </w:style>
  <w:style w:type="paragraph" w:styleId="Quote">
    <w:name w:val="Quote"/>
    <w:basedOn w:val="Heading1"/>
    <w:link w:val="QuoteChar"/>
    <w:qFormat/>
    <w:rsid w:val="00283A72"/>
    <w:rPr>
      <w:b w:val="0"/>
      <w:sz w:val="72"/>
      <w:szCs w:val="72"/>
      <w:lang w:val="en-NZ"/>
    </w:rPr>
  </w:style>
  <w:style w:type="character" w:customStyle="1" w:styleId="QuoteChar">
    <w:name w:val="Quote Char"/>
    <w:basedOn w:val="DefaultParagraphFont"/>
    <w:link w:val="Quote"/>
    <w:rsid w:val="00283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A72"/>
    <w:pPr>
      <w:pageBreakBefore/>
    </w:pPr>
  </w:style>
  <w:style w:type="paragraph" w:customStyle="1" w:styleId="Border">
    <w:name w:val="Border"/>
    <w:basedOn w:val="Normal"/>
    <w:qFormat/>
    <w:rsid w:val="00283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A72"/>
    <w:rPr>
      <w:b/>
      <w:bCs/>
      <w:i/>
      <w:iCs/>
      <w:color w:val="auto"/>
    </w:rPr>
  </w:style>
  <w:style w:type="paragraph" w:styleId="IntenseQuote">
    <w:name w:val="Intense Quote"/>
    <w:basedOn w:val="Normal"/>
    <w:next w:val="Normal"/>
    <w:link w:val="IntenseQuoteChar"/>
    <w:uiPriority w:val="30"/>
    <w:qFormat/>
    <w:rsid w:val="00283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A72"/>
    <w:rPr>
      <w:smallCaps/>
      <w:color w:val="auto"/>
      <w:u w:val="single"/>
    </w:rPr>
  </w:style>
  <w:style w:type="character" w:styleId="IntenseReference">
    <w:name w:val="Intense Reference"/>
    <w:basedOn w:val="DefaultParagraphFont"/>
    <w:uiPriority w:val="32"/>
    <w:qFormat/>
    <w:rsid w:val="00283A72"/>
    <w:rPr>
      <w:b/>
      <w:bCs/>
      <w:smallCaps/>
      <w:color w:val="auto"/>
      <w:spacing w:val="5"/>
      <w:u w:val="single"/>
    </w:rPr>
  </w:style>
  <w:style w:type="paragraph" w:customStyle="1" w:styleId="2ColumnHeading">
    <w:name w:val="2Column Heading"/>
    <w:basedOn w:val="BodyText"/>
    <w:qFormat/>
    <w:rsid w:val="00283A72"/>
    <w:pPr>
      <w:spacing w:after="60"/>
      <w:ind w:left="-2268"/>
    </w:pPr>
    <w:rPr>
      <w:b/>
    </w:rPr>
  </w:style>
  <w:style w:type="paragraph" w:customStyle="1" w:styleId="Heading1TOC">
    <w:name w:val="Heading1 TOC"/>
    <w:basedOn w:val="Normal"/>
    <w:qFormat/>
    <w:rsid w:val="00283A72"/>
    <w:pPr>
      <w:spacing w:before="240" w:after="120"/>
    </w:pPr>
    <w:rPr>
      <w:rFonts w:ascii="Times New Roman" w:hAnsi="Times New Roman"/>
      <w:b/>
      <w:sz w:val="32"/>
    </w:rPr>
  </w:style>
  <w:style w:type="paragraph" w:customStyle="1" w:styleId="Heading2TOC">
    <w:name w:val="Heading2 TOC"/>
    <w:basedOn w:val="Normal"/>
    <w:qFormat/>
    <w:rsid w:val="00283A72"/>
    <w:pPr>
      <w:spacing w:before="240" w:after="60"/>
    </w:pPr>
    <w:rPr>
      <w:rFonts w:ascii="Times New Roman" w:hAnsi="Times New Roman"/>
      <w:b/>
      <w:sz w:val="28"/>
    </w:rPr>
  </w:style>
  <w:style w:type="character" w:customStyle="1" w:styleId="Underline">
    <w:name w:val="Underline"/>
    <w:basedOn w:val="DefaultParagraphFont"/>
    <w:qFormat/>
    <w:rsid w:val="00283A72"/>
    <w:rPr>
      <w:u w:val="single"/>
    </w:rPr>
  </w:style>
  <w:style w:type="paragraph" w:styleId="BalloonText">
    <w:name w:val="Balloon Text"/>
    <w:basedOn w:val="Normal"/>
    <w:link w:val="BalloonTextChar"/>
    <w:rsid w:val="00283A72"/>
    <w:rPr>
      <w:rFonts w:ascii="Tahoma" w:hAnsi="Tahoma" w:cs="Tahoma"/>
      <w:sz w:val="16"/>
      <w:szCs w:val="16"/>
    </w:rPr>
  </w:style>
  <w:style w:type="character" w:customStyle="1" w:styleId="BalloonTextChar">
    <w:name w:val="Balloon Text Char"/>
    <w:basedOn w:val="DefaultParagraphFont"/>
    <w:link w:val="BalloonText"/>
    <w:rsid w:val="00283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A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3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A72"/>
    <w:rPr>
      <w:b/>
      <w:color w:val="660033"/>
      <w:spacing w:val="0"/>
    </w:rPr>
  </w:style>
  <w:style w:type="paragraph" w:customStyle="1" w:styleId="Nameditemlist">
    <w:name w:val="Named item list"/>
    <w:basedOn w:val="BodyText"/>
    <w:qFormat/>
    <w:rsid w:val="00283A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1557</Words>
  <Characters>10154</Characters>
  <Application>Microsoft Office Word</Application>
  <DocSecurity>0</DocSecurity>
  <Lines>335</Lines>
  <Paragraphs>187</Paragraphs>
  <ScaleCrop>false</ScaleCrop>
  <Company>Author-it Software Corporation Ltd.</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ICTCBL2012B Install functional and protective telecommunications earthing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2014-02-07T09:25:57Z</dcterms:created>
  <dcterms:modified xsi:type="dcterms:W3CDTF">2014-02-06T04:21:00Z</dcterms:modified>
</cp:coreProperties>
</file>