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9A8" w:rsidP="00D819A8">
      <w:pPr>
        <w:pStyle w:val="Title"/>
      </w:pPr>
      <w:bookmarkStart w:id="0" w:name="_GoBack"/>
      <w:bookmarkEnd w:id="0"/>
      <w:r>
        <w:fldChar w:fldCharType="begin"/>
      </w:r>
      <w:r>
        <w:instrText xml:space="preserve"> TITLE   \* MERGEFORMAT </w:instrText>
      </w:r>
      <w:r>
        <w:fldChar w:fldCharType="separate"/>
      </w:r>
      <w:r>
        <w:t>ICTTC137C Install, maintain and modify customer premises communications cabling: ACMA Open Rule</w:t>
      </w:r>
      <w:r>
        <w:fldChar w:fldCharType="end"/>
      </w:r>
    </w:p>
    <w:p w:rsidR="00D819A8" w:rsidP="00D819A8">
      <w:pPr>
        <w:pStyle w:val="Version"/>
        <w:sectPr w:rsidSect="004F3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CA2" w:rsidP="004F3CA2">
      <w:pPr>
        <w:pStyle w:val="SuperHeading"/>
      </w:pPr>
      <w:r w:rsidRPr="004F3CA2">
        <w:t>ICTTC137C Install, maintain and modify customer premises communications cabling: ACMA Open Rule</w:t>
      </w:r>
    </w:p>
    <w:p w:rsidR="00000000" w:rsidRPr="004F3CA2" w:rsidP="004F3CA2">
      <w:pPr>
        <w:pStyle w:val="Heading1"/>
      </w:pPr>
      <w:bookmarkStart w:id="1" w:name="O_320642"/>
      <w:bookmarkEnd w:id="1"/>
      <w:r w:rsidRPr="004F3CA2">
        <w:t>Modification History</w:t>
      </w:r>
    </w:p>
    <w:p w:rsidR="00000000" w:rsidRPr="004F3CA2" w:rsidP="004F3CA2">
      <w:pPr>
        <w:pStyle w:val="BodyText"/>
      </w:pPr>
      <w:r w:rsidRPr="004F3CA2">
        <w:t>Not applicable.</w:t>
      </w:r>
    </w:p>
    <w:p w:rsidR="00000000" w:rsidRPr="004F3CA2" w:rsidP="004F3CA2">
      <w:pPr>
        <w:pStyle w:val="AllowPageBreak"/>
      </w:pPr>
    </w:p>
    <w:p w:rsidR="00000000" w:rsidRPr="004F3CA2" w:rsidP="004F3CA2">
      <w:pPr>
        <w:pStyle w:val="Heading1"/>
      </w:pPr>
      <w:bookmarkStart w:id="2" w:name="O_320641"/>
      <w:bookmarkEnd w:id="2"/>
      <w:r w:rsidRPr="004F3CA2">
        <w:t>Unit Descriptor</w:t>
      </w:r>
    </w:p>
    <w:p w:rsidR="00000000" w:rsidRPr="004F3CA2" w:rsidP="004F3CA2">
      <w:pPr>
        <w:pStyle w:val="BodyText"/>
      </w:pPr>
      <w:r w:rsidRPr="004F3CA2">
        <w:t>This unit defines the level of competence* that is required for the purpose of the Australian Communications Authoritys "</w:t>
      </w:r>
      <w:r w:rsidRPr="004F3CA2">
        <w:rPr>
          <w:rStyle w:val="SpecialBold"/>
        </w:rPr>
        <w:t>Open</w:t>
      </w:r>
      <w:r w:rsidRPr="004F3CA2">
        <w:t>" Cabling Provider Rule. This rule is associated with small installations connected to sockets and larger commercia</w:t>
      </w:r>
      <w:r w:rsidRPr="004F3CA2">
        <w:t>l and industry installations involving many lines, multi-pair cables, backbone cabling, multi-story buildings and more complicated termination modules and distributors.</w:t>
      </w:r>
    </w:p>
    <w:p w:rsidR="00000000" w:rsidRPr="004F3CA2" w:rsidP="004F3CA2">
      <w:pPr>
        <w:pStyle w:val="BodyText"/>
      </w:pPr>
      <w:r w:rsidRPr="004F3CA2">
        <w:t>This unit applies to customer cabling terminated on distributors. It applies to the ins</w:t>
      </w:r>
      <w:r w:rsidRPr="004F3CA2">
        <w:t>tallation, maintenance and modification of indoor, external, underground cabling at the levels stated in the range of variables.</w:t>
      </w:r>
    </w:p>
    <w:p w:rsidR="00000000" w:rsidRPr="004F3CA2" w:rsidP="004F3CA2">
      <w:pPr>
        <w:pStyle w:val="BodyText"/>
      </w:pPr>
      <w:r w:rsidRPr="004F3CA2">
        <w:t>Customer cabling, for the purpose of this standard, may be used to connect devices for a range of applications including for ex</w:t>
      </w:r>
      <w:r w:rsidRPr="004F3CA2">
        <w:t>ample: telecommunications (phones and facsimile), data including video and multimedia, security and alarms, and fire protection.</w:t>
      </w:r>
    </w:p>
    <w:p w:rsidR="00000000" w:rsidRPr="004F3CA2" w:rsidP="004F3CA2">
      <w:pPr>
        <w:pStyle w:val="BodyText"/>
      </w:pPr>
      <w:r w:rsidRPr="004F3CA2">
        <w:t>This unit meets the minimum ACMA "prescribed level of knowledge and skill that safeguards matters of health, safety, network in</w:t>
      </w:r>
      <w:r w:rsidRPr="004F3CA2">
        <w:t>tegrity and addresses matters of interoperability where customer equipment and standard telephone service are involved" only.</w:t>
      </w:r>
    </w:p>
    <w:p w:rsidR="00000000" w:rsidRPr="004F3CA2" w:rsidP="004F3CA2">
      <w:pPr>
        <w:pStyle w:val="BodyText"/>
      </w:pPr>
      <w:r w:rsidRPr="004F3CA2">
        <w:rPr>
          <w:rStyle w:val="SpecialBold"/>
        </w:rPr>
        <w:t>Note 1</w:t>
      </w:r>
      <w:r w:rsidRPr="004F3CA2">
        <w:t>: This does not imply industry competency using specialised cabling such as: Coaxial, Optical Fibre and Structured cabling.</w:t>
      </w:r>
    </w:p>
    <w:p w:rsidR="00000000" w:rsidRPr="004F3CA2" w:rsidP="004F3CA2">
      <w:pPr>
        <w:pStyle w:val="BodyText"/>
      </w:pPr>
      <w:r w:rsidRPr="004F3CA2">
        <w:rPr>
          <w:rStyle w:val="SpecialBold"/>
        </w:rPr>
        <w:t>Note 2</w:t>
      </w:r>
      <w:r w:rsidRPr="004F3CA2">
        <w:t>: Completion of the following 6 cabling units: ICTTC005D, ICTTC006D, ICTTC008D, ICTTC012D, ICTTC017D and ICTTC022D exceeds the requirements of this standard and fulfils the requirements for ACMA Cabling Provider Rules: Open Cabling Category for Cable</w:t>
      </w:r>
      <w:r w:rsidRPr="004F3CA2">
        <w:t>r Registration.</w:t>
      </w:r>
    </w:p>
    <w:p w:rsidR="00000000" w:rsidRPr="004F3CA2" w:rsidP="004F3CA2">
      <w:pPr>
        <w:pStyle w:val="BodyText"/>
      </w:pPr>
      <w:r w:rsidRPr="004F3CA2">
        <w:t>This unit defines the level of competence* that is required for the purpose of the Australian Communications Authoritys "</w:t>
      </w:r>
      <w:r w:rsidRPr="004F3CA2">
        <w:rPr>
          <w:rStyle w:val="SpecialBold"/>
        </w:rPr>
        <w:t>Open</w:t>
      </w:r>
      <w:r w:rsidRPr="004F3CA2">
        <w:t>" Cabling Provider Rule. This rule is associated with small installations connected to sockets and larger commercia</w:t>
      </w:r>
      <w:r w:rsidRPr="004F3CA2">
        <w:t>l and industry installations involving many lines, multi-pair cables, backbone cabling, multi-story buildings and more complicated termination modules and distributors.</w:t>
      </w:r>
    </w:p>
    <w:p w:rsidR="00000000" w:rsidRPr="004F3CA2" w:rsidP="004F3CA2">
      <w:pPr>
        <w:pStyle w:val="BodyText"/>
      </w:pPr>
      <w:r w:rsidRPr="004F3CA2">
        <w:t>This unit applies to customer cabling terminated on distributors. It applies to the ins</w:t>
      </w:r>
      <w:r w:rsidRPr="004F3CA2">
        <w:t>tallation, maintenance and modification of indoor, external, underground cabling at the levels stated in the range of variables.</w:t>
      </w:r>
    </w:p>
    <w:p w:rsidR="00000000" w:rsidRPr="004F3CA2" w:rsidP="004F3CA2">
      <w:pPr>
        <w:pStyle w:val="BodyText"/>
      </w:pPr>
      <w:r w:rsidRPr="004F3CA2">
        <w:t>Customer cabling, for the purpose of this standard, may be used to connect devices for a range of applications including for ex</w:t>
      </w:r>
      <w:r w:rsidRPr="004F3CA2">
        <w:t>ample: telecommunications (phones and facsimile), data including video and multimedia, security and alarms, and fire protection.</w:t>
      </w:r>
    </w:p>
    <w:p w:rsidR="00000000" w:rsidRPr="004F3CA2" w:rsidP="004F3CA2">
      <w:pPr>
        <w:pStyle w:val="BodyText"/>
      </w:pPr>
      <w:r w:rsidRPr="004F3CA2">
        <w:t>This unit meets the minimum ACMA "prescribed level of knowledge and skill that safeguards matters of health, safety, network in</w:t>
      </w:r>
      <w:r w:rsidRPr="004F3CA2">
        <w:t>tegrity and addresses matters of interoperability where customer equipment and standard telephone service are involved" only.</w:t>
      </w:r>
    </w:p>
    <w:p w:rsidR="00000000" w:rsidRPr="004F3CA2" w:rsidP="004F3CA2">
      <w:pPr>
        <w:pStyle w:val="BodyText"/>
      </w:pPr>
      <w:r w:rsidRPr="004F3CA2">
        <w:rPr>
          <w:rStyle w:val="SpecialBold"/>
        </w:rPr>
        <w:t>Note 1</w:t>
      </w:r>
      <w:r w:rsidRPr="004F3CA2">
        <w:t>: This does not imply industry competency using specialised cabling such as: Coaxial, Optical Fibre and Structured cabling.</w:t>
      </w:r>
    </w:p>
    <w:p w:rsidR="00000000" w:rsidRPr="004F3CA2" w:rsidP="004F3CA2">
      <w:pPr>
        <w:pStyle w:val="BodyText"/>
      </w:pPr>
      <w:r w:rsidRPr="004F3CA2">
        <w:rPr>
          <w:rStyle w:val="SpecialBold"/>
        </w:rPr>
        <w:t>Note 2</w:t>
      </w:r>
      <w:r w:rsidRPr="004F3CA2">
        <w:t>: Completion of the following 6 cabling units: ICTTC005D, ICTTC006D, ICTTC008D, ICTTC012D, ICTTC017D and ICTTC022D exceeds the requirements of this standard and fulfils the requirements for ACMA Cabling Provider Rules: Open Cabling Category for Cable</w:t>
      </w:r>
      <w:r w:rsidRPr="004F3CA2">
        <w:t>r Registration.</w:t>
      </w:r>
    </w:p>
    <w:p w:rsidR="00000000" w:rsidRPr="004F3CA2" w:rsidP="004F3CA2">
      <w:pPr>
        <w:pStyle w:val="AllowPageBreak"/>
      </w:pPr>
    </w:p>
    <w:p w:rsidR="00000000" w:rsidRPr="004F3CA2" w:rsidP="004F3CA2">
      <w:pPr>
        <w:pStyle w:val="Heading1"/>
      </w:pPr>
      <w:bookmarkStart w:id="3" w:name="O_320640"/>
      <w:bookmarkEnd w:id="3"/>
      <w:r w:rsidRPr="004F3CA2">
        <w:t>Application of the Unit</w:t>
      </w:r>
    </w:p>
    <w:p w:rsidR="00000000" w:rsidRPr="004F3CA2" w:rsidP="004F3CA2">
      <w:pPr>
        <w:pStyle w:val="BodyText"/>
      </w:pPr>
      <w:r w:rsidRPr="004F3CA2">
        <w:t>Not applicable.</w:t>
      </w:r>
    </w:p>
    <w:p w:rsidR="00000000" w:rsidRPr="004F3CA2" w:rsidP="004F3CA2">
      <w:pPr>
        <w:pStyle w:val="AllowPageBreak"/>
      </w:pPr>
    </w:p>
    <w:p w:rsidR="00000000" w:rsidRPr="004F3CA2" w:rsidP="004F3CA2">
      <w:pPr>
        <w:pStyle w:val="Heading1"/>
      </w:pPr>
      <w:bookmarkStart w:id="4" w:name="O_320639"/>
      <w:bookmarkEnd w:id="4"/>
      <w:r w:rsidRPr="004F3CA2">
        <w:t>Licensing/Regulatory Information</w:t>
      </w:r>
    </w:p>
    <w:p w:rsidR="00000000" w:rsidRPr="004F3CA2" w:rsidP="004F3CA2">
      <w:pPr>
        <w:pStyle w:val="BodyText"/>
      </w:pPr>
      <w:r w:rsidRPr="004F3CA2">
        <w:t>Not applicable.</w:t>
      </w:r>
    </w:p>
    <w:p w:rsidR="00000000" w:rsidRPr="004F3CA2" w:rsidP="004F3CA2">
      <w:pPr>
        <w:pStyle w:val="AllowPageBreak"/>
      </w:pPr>
    </w:p>
    <w:p w:rsidR="00000000" w:rsidRPr="004F3CA2" w:rsidP="004F3CA2">
      <w:pPr>
        <w:pStyle w:val="Heading1"/>
      </w:pPr>
      <w:bookmarkStart w:id="5" w:name="O_320632"/>
      <w:bookmarkEnd w:id="5"/>
      <w:r w:rsidRPr="004F3CA2">
        <w:t>Pre-Requisites</w:t>
      </w:r>
    </w:p>
    <w:p w:rsidR="00000000" w:rsidRPr="004F3CA2" w:rsidP="004F3CA2">
      <w:pPr>
        <w:pStyle w:val="BodyText"/>
      </w:pPr>
      <w:r w:rsidRPr="004F3CA2">
        <w:t>ICTTC136C  Install, maintain and modify customer premises communications cabling: ACM</w:t>
      </w:r>
      <w:r w:rsidRPr="004F3CA2">
        <w:t>A Restricted Rule</w:t>
      </w:r>
    </w:p>
    <w:p w:rsidR="00000000" w:rsidRPr="004F3CA2" w:rsidP="004F3CA2">
      <w:pPr>
        <w:pStyle w:val="BodyText"/>
      </w:pPr>
      <w:r w:rsidRPr="004F3CA2">
        <w:t>ICTTC136C  Install, maintain and modify customer premises communications cabling: ACMA Restricted Rule</w:t>
      </w:r>
    </w:p>
    <w:p w:rsidR="00000000" w:rsidRPr="004F3CA2" w:rsidP="004F3CA2">
      <w:pPr>
        <w:pStyle w:val="AllowPageBreak"/>
      </w:pPr>
    </w:p>
    <w:p w:rsidR="00000000" w:rsidRPr="004F3CA2" w:rsidP="004F3CA2">
      <w:pPr>
        <w:pStyle w:val="Heading1"/>
      </w:pPr>
      <w:bookmarkStart w:id="6" w:name="O_320638"/>
      <w:bookmarkEnd w:id="6"/>
      <w:r w:rsidRPr="004F3CA2">
        <w:t>Employability Skills Information</w:t>
      </w:r>
    </w:p>
    <w:p w:rsidR="00000000" w:rsidRPr="004F3CA2" w:rsidP="004F3CA2">
      <w:pPr>
        <w:pStyle w:val="BodyText"/>
      </w:pPr>
      <w:r w:rsidRPr="004F3CA2">
        <w:t>This unit contains employability skills.</w:t>
      </w:r>
    </w:p>
    <w:p w:rsidR="00000000" w:rsidRPr="004F3CA2" w:rsidP="004F3CA2">
      <w:pPr>
        <w:pStyle w:val="BodyText"/>
      </w:pPr>
      <w:r w:rsidRPr="004F3CA2">
        <w:t>This unit contains employability skills.</w:t>
      </w:r>
    </w:p>
    <w:p w:rsidR="00000000" w:rsidRPr="004F3CA2" w:rsidP="004F3CA2">
      <w:pPr>
        <w:pStyle w:val="AllowPageBreak"/>
      </w:pPr>
    </w:p>
    <w:p w:rsidR="00000000" w:rsidRPr="004F3CA2" w:rsidP="004F3CA2">
      <w:pPr>
        <w:pStyle w:val="Heading1"/>
      </w:pPr>
      <w:bookmarkStart w:id="7" w:name="O_320643"/>
      <w:bookmarkEnd w:id="7"/>
      <w:r w:rsidRPr="004F3CA2">
        <w:t>Elements and Performance Criteria Pre-Content</w:t>
      </w:r>
    </w:p>
    <w:p w:rsidR="00000000" w:rsidRPr="004F3CA2" w:rsidP="004F3CA2">
      <w:pPr>
        <w:pStyle w:val="BodyText"/>
      </w:pPr>
      <w:r w:rsidRPr="004F3CA2">
        <w:t>Elements describe the essential outcomes of a unit of competency.</w:t>
      </w:r>
    </w:p>
    <w:p w:rsidR="00000000" w:rsidRPr="004F3CA2" w:rsidP="004F3CA2">
      <w:pPr>
        <w:pStyle w:val="BodyText"/>
      </w:pPr>
      <w:r w:rsidRPr="004F3CA2">
        <w:t xml:space="preserve">Performance criteria describe the performance needed to demonstrate achievement of the element. Where </w:t>
      </w:r>
      <w:r w:rsidRPr="004F3CA2">
        <w:rPr>
          <w:rStyle w:val="SpecialBold"/>
        </w:rPr>
        <w:t xml:space="preserve">bold italicised </w:t>
      </w:r>
      <w:r w:rsidRPr="004F3CA2">
        <w:t>text is us</w:t>
      </w:r>
      <w:r w:rsidRPr="004F3CA2">
        <w:t>ed, further information is detailed in the required skills and knowledge section and the range statement. Assessment of performance is to be consistent with the evidence guide.</w:t>
      </w:r>
    </w:p>
    <w:p w:rsidR="00000000" w:rsidRPr="004F3CA2" w:rsidP="004F3CA2">
      <w:pPr>
        <w:pStyle w:val="BodyText"/>
      </w:pPr>
      <w:r w:rsidRPr="004F3CA2">
        <w:t>Elements describe the essential outcomes of a unit of competency.</w:t>
      </w:r>
    </w:p>
    <w:p w:rsidR="00000000" w:rsidRPr="004F3CA2" w:rsidP="004F3CA2">
      <w:pPr>
        <w:pStyle w:val="BodyText"/>
      </w:pPr>
      <w:r w:rsidRPr="004F3CA2">
        <w:t>Performance c</w:t>
      </w:r>
      <w:r w:rsidRPr="004F3CA2">
        <w:t xml:space="preserve">riteria describe the performance needed to demonstrate achievement of the element. Where </w:t>
      </w:r>
      <w:r w:rsidRPr="004F3CA2">
        <w:rPr>
          <w:rStyle w:val="SpecialBold"/>
        </w:rPr>
        <w:t xml:space="preserve">bold italicised </w:t>
      </w:r>
      <w:r w:rsidRPr="004F3CA2">
        <w:t xml:space="preserve">text is used, further information is detailed in the required skills and knowledge section and the range statement. Assessment of performance is to be </w:t>
      </w:r>
      <w:r w:rsidRPr="004F3CA2">
        <w:t>consistent with the evidence guide.</w:t>
      </w:r>
    </w:p>
    <w:p w:rsidR="00000000" w:rsidRPr="004F3CA2" w:rsidP="004F3CA2">
      <w:pPr>
        <w:pStyle w:val="AllowPageBreak"/>
      </w:pPr>
    </w:p>
    <w:p w:rsidR="00000000" w:rsidRPr="004F3CA2" w:rsidP="004F3CA2">
      <w:pPr>
        <w:pStyle w:val="Heading1"/>
      </w:pPr>
      <w:bookmarkStart w:id="8" w:name="O_320637"/>
      <w:bookmarkEnd w:id="8"/>
      <w:r w:rsidRPr="004F3CA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819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Elements and Performance Criteria</w:t>
            </w:r>
          </w:p>
        </w:tc>
      </w:tr>
      <w:tr w:rsidTr="00D819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Performance Criteria</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1</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Work within the constraints imposed by customer premises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1.1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building infra</w:t>
            </w:r>
            <w:r w:rsidRPr="004F3CA2">
              <w:t>structure which places critical constraints on cabling</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1.2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Develop strategies to manage other infrastructure in relation to cabling</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2</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Manage Remote Power Feed</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2.1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the risks posed by contact with Remote Power Feeding services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2.2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Remote Power Feeding services in a range of commonly encountered circumstances inside customer premises</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3</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Install/modify cable support, earthing and termination infrastructure</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Ensure site is free of telecommunication hazards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Fixings and cable support structures of adequate strength are installed safely, aligned with the environment and in accordance with manufacturer's and customer's specifications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Catenary supports are secured to building s</w:t>
            </w:r>
            <w:r w:rsidRPr="004F3CA2">
              <w:t>tructure and tensioned where necessary to ensure cable weight can be carried in operating conditions with interference and safety segregation maintained including adherence to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3.4</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Protective earthing of metal work is installed to indust</w:t>
            </w:r>
            <w:r w:rsidRPr="004F3CA2">
              <w:t>ry standards where required</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3.5</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Installed support structure is checked to ensure cable will not be exposed to damage during installation and general operation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3.6</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Terminating equipment positioning and fixing follows accepted industry codes of practic</w:t>
            </w:r>
            <w:r w:rsidRPr="004F3CA2">
              <w:t>e, standards and customer requirements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3.7</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Back-mount and outlet layout conforms to manufacturer's specifications and allows adequate work space for ease of access and avoid overlaying</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3.8</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Incoming and outgoing cables are segregated to ensure ease of access and avoid overlaying</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4</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Install/alter cables and earth wires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Cables/wires handled in accordance with manufacturer's application specifications including tension and bending stress req</w:t>
            </w:r>
            <w:r w:rsidRPr="004F3CA2">
              <w:t>uirements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Sources of possible damage to cable/wires are identified and avoided including hot pipes, sharp edges and cable burn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Sufficient excess is allowed at cable ends to facilitate termination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4.4</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Telecommunication outlet ends of cable is uniquely labelled to match identifier at originating location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4.5</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is placed and secured to maintain safety and interference segregation in accordance with legislative and industry standards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4.6</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ti</w:t>
            </w:r>
            <w:r w:rsidRPr="004F3CA2">
              <w:t>es not tightened to the point of causing cable sheath damage or transmission impairment and trimmed flush to prevent risk of personal damage</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4.7</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Cables installed as catenaries or supported by catenaries in external environment shall meet minimum above ground clearances and clearances from hazardous electrical services as per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4.8</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Cables installed underground shall meet minimum de</w:t>
            </w:r>
            <w:r w:rsidRPr="004F3CA2">
              <w:t>pth of cover and segregation from hazardous electrical and other services as per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4.9</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In accordance with AS/ACIFS009:2006, over-voltage protection devices are fitted to all cable pairs, where required, to suppress voltage surges with the</w:t>
            </w:r>
            <w:r w:rsidRPr="004F3CA2">
              <w:t xml:space="preserve"> devices protectively earthed</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4.10</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TRC/CES/Earth wire insulation is protected against damage and TRC/CES and protective earths segregated in accordance with relevant industry and legislative standards AS/ACIFS009:2006</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5</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Terminate and test cables and earth wires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sheath removed to allow for correct termination length and without damage to underlying conductors and their insulation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Terminating modules are installed in accordance to manufacturer's specificati</w:t>
            </w:r>
            <w:r w:rsidRPr="004F3CA2">
              <w:t>ons and cable pairs neatly and sequentially fanned for termination</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Conductors are terminated in accordance with recommended colour code sequence using appropriate termination tools in the manufacturer's specified manner</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5.4</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shield (if applicable) is earthed to manufacturer's specifications and relevant industry codes of practice including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5.5</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Visual inspection is undertaken to confirm termination colour code sequence has been followed prior to end to</w:t>
            </w:r>
            <w:r w:rsidRPr="004F3CA2">
              <w:t xml:space="preserve"> end testing of wire and pair termination integrity</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5.6</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TRC/CES /Earth wires are terminated with connectors recommended by manufacturers in accordance with relevant industry codes of practice including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5.7</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TRC/CES /Earth wire continu</w:t>
            </w:r>
            <w:r w:rsidRPr="004F3CA2">
              <w:t>ity is maintained through out and interface requirements with electrical systems are observed</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5.8</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TRC/CES /Earthing installation shall be tested for continuity, insulation resistance and conductive resistance as per relevant industry standards </w:t>
            </w:r>
            <w:r w:rsidRPr="004F3CA2">
              <w:t>including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5.9</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Compatibility of alterations with existing systems is confirmed and new work tested both in isolation and when integrated with existing systems</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6</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Inspect cable route to ensure correct separations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6.1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Check separations alo</w:t>
            </w:r>
            <w:r w:rsidRPr="004F3CA2">
              <w:t>ng the entirety of the cable route</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6.2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Rectify separations which do not comply with regulations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6.3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Install barriers to achieve separations where spatial separation can't be met</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7</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Evaluate earthing needs for cable systems on customer premises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7.1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the role of functional, protective and CES earthing systems in customer premises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7.2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Recognise existing earthing systems in customer premises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7.3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Analyse the earthing needs of cable systems in a range of building types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7.4</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cable characteristics relevant to the calculation of earthing requirements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7.5</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Calculate the upper and lower limits of resistance for a variety of cable system earths</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8</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Label earthing systems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8.1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Identify label requirements for all types of ea</w:t>
            </w:r>
            <w:r w:rsidRPr="004F3CA2">
              <w:t>rthing systems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8.2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Label earthing systems in accordance with industry regulations</w:t>
            </w:r>
          </w:p>
        </w:tc>
      </w:tr>
      <w:tr w:rsidTr="00D81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9</w:t>
            </w:r>
          </w:p>
        </w:tc>
        <w:tc>
          <w:tcPr>
            <w:tcW w:w="3000" w:type="dxa"/>
            <w:vMerge w:val="restart"/>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Create/update cable plans and records</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9.1</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Record sheets and plans of cable location, type and infrastructure are accurately created or updated and stored in accordance with customer requirements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9.2</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pairs are clearly labelled to provide an accurate identification in accordance with manufa</w:t>
            </w:r>
            <w:r w:rsidRPr="004F3CA2">
              <w:t>cturer's, industry and client standards</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9.3</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Cable pair record books are created or updated to provide an accurate record of pair locations, inter-connections and usage in accordance with industry codes of practice and AS/ACIFS009:2006</w:t>
            </w:r>
          </w:p>
        </w:tc>
      </w:tr>
      <w:tr w:rsidTr="00D81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9.4</w:t>
            </w:r>
          </w:p>
        </w:tc>
        <w:tc>
          <w:tcPr>
            <w:tcW w:w="51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Complete Cabling Completion Advice/TCA form</w:t>
            </w:r>
          </w:p>
        </w:tc>
      </w:tr>
      <w:tr w:rsidTr="00D819A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10</w:t>
            </w:r>
          </w:p>
        </w:tc>
        <w:tc>
          <w:tcPr>
            <w:tcW w:w="30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Monitor work activity</w:t>
            </w:r>
          </w:p>
        </w:tc>
        <w:tc>
          <w:tcPr>
            <w:tcW w:w="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10.1</w:t>
            </w:r>
          </w:p>
        </w:tc>
        <w:tc>
          <w:tcPr>
            <w:tcW w:w="51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Close supervision of cablers not holding appropriate registration for the task is maintained to ensure installation/maintenance activity is strictly in accordance with legislative r</w:t>
            </w:r>
            <w:r w:rsidRPr="004F3CA2">
              <w:t>equirements and industry standards for safety and network integrity including AS/ACIFS008:2006 and AS/ACIFS009:2006</w:t>
            </w:r>
          </w:p>
        </w:tc>
      </w:tr>
    </w:tbl>
    <w:p w:rsidR="00000000" w:rsidRPr="004F3CA2" w:rsidP="004F3CA2">
      <w:pPr>
        <w:pStyle w:val="BodyText"/>
      </w:pPr>
    </w:p>
    <w:p w:rsidR="00000000" w:rsidRPr="004F3CA2" w:rsidP="004F3CA2">
      <w:pPr>
        <w:pStyle w:val="AllowPageBreak"/>
      </w:pPr>
    </w:p>
    <w:p w:rsidR="00000000" w:rsidRPr="004F3CA2" w:rsidP="004F3CA2">
      <w:pPr>
        <w:pStyle w:val="Heading1"/>
      </w:pPr>
      <w:bookmarkStart w:id="9" w:name="O_320636"/>
      <w:bookmarkEnd w:id="9"/>
      <w:r w:rsidRPr="004F3CA2">
        <w:t>Required Skills and Knowledge</w:t>
      </w:r>
    </w:p>
    <w:tbl>
      <w:tblPr>
        <w:tblW w:w="0" w:type="auto"/>
        <w:tblLayout w:type="fixed"/>
        <w:tblCellMar>
          <w:left w:w="62" w:type="dxa"/>
          <w:right w:w="62" w:type="dxa"/>
        </w:tblCellMar>
        <w:tblLook w:val="0000"/>
      </w:tblPr>
      <w:tblGrid>
        <w:gridCol w:w="4500"/>
        <w:gridCol w:w="4500"/>
      </w:tblGrid>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This section describes the skills and knowledge required for this unit. </w:t>
            </w: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Required skills</w:t>
            </w: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Select from the following list to suit the learning and assessment context</w:t>
            </w:r>
          </w:p>
          <w:p w:rsidR="00000000" w:rsidRPr="004F3CA2" w:rsidP="004F3CA2">
            <w:pPr>
              <w:pStyle w:val="BodyText"/>
            </w:pPr>
            <w:r w:rsidRPr="004F3CA2">
              <w:t>Codes refer to the Skills and Knowledge Register in Volume 3 of this Training Package that has detailed content guidelines for each code outlined.</w:t>
            </w:r>
          </w:p>
          <w:p w:rsidR="00000000" w:rsidRPr="004F3CA2" w:rsidP="004F3CA2">
            <w:pPr>
              <w:pStyle w:val="BodyText"/>
            </w:pPr>
            <w:r w:rsidRPr="004F3CA2">
              <w:t>CA200 Cable Inst</w:t>
            </w:r>
            <w:r w:rsidRPr="004F3CA2">
              <w:t>allation: Open</w:t>
            </w:r>
          </w:p>
          <w:p w:rsidR="00000000" w:rsidRPr="004F3CA2" w:rsidP="004F3CA2">
            <w:pPr>
              <w:pStyle w:val="BodyText"/>
            </w:pPr>
            <w:r w:rsidRPr="004F3CA2">
              <w:t>CA201 Cable Termination Products</w:t>
            </w:r>
          </w:p>
          <w:p w:rsidR="00000000" w:rsidRPr="004F3CA2" w:rsidP="004F3CA2">
            <w:pPr>
              <w:pStyle w:val="BodyText"/>
            </w:pPr>
            <w:r w:rsidRPr="004F3CA2">
              <w:t>CA202 Cable Conductor Identification Codes</w:t>
            </w:r>
          </w:p>
          <w:p w:rsidR="00000000" w:rsidRPr="004F3CA2" w:rsidP="004F3CA2">
            <w:pPr>
              <w:pStyle w:val="BodyText"/>
            </w:pPr>
            <w:r w:rsidRPr="004F3CA2">
              <w:t>CA210 Cable Support Systems</w:t>
            </w:r>
          </w:p>
          <w:p w:rsidR="00000000" w:rsidRPr="004F3CA2" w:rsidP="004F3CA2">
            <w:pPr>
              <w:pStyle w:val="BodyText"/>
            </w:pPr>
            <w:r w:rsidRPr="004F3CA2">
              <w:t>CA220 Cable Types</w:t>
            </w:r>
          </w:p>
          <w:p w:rsidR="00000000" w:rsidRPr="004F3CA2" w:rsidP="004F3CA2">
            <w:pPr>
              <w:pStyle w:val="BodyText"/>
            </w:pPr>
            <w:r w:rsidRPr="004F3CA2">
              <w:t>PS212 Read Plans and Specifications: General</w:t>
            </w:r>
          </w:p>
          <w:p w:rsidR="00000000" w:rsidRPr="004F3CA2" w:rsidP="004F3CA2">
            <w:pPr>
              <w:pStyle w:val="BodyText"/>
            </w:pPr>
            <w:r w:rsidRPr="004F3CA2">
              <w:t>PS213 Cable Record Systems: General</w:t>
            </w:r>
          </w:p>
          <w:p w:rsidR="00000000" w:rsidRPr="004F3CA2" w:rsidP="004F3CA2">
            <w:pPr>
              <w:pStyle w:val="BodyText"/>
            </w:pPr>
            <w:r w:rsidRPr="004F3CA2">
              <w:t>RE210 ACMA Cabling Provider Rules, Cab</w:t>
            </w:r>
            <w:r w:rsidRPr="004F3CA2">
              <w:t>ler Registration, Rules and Regulations</w:t>
            </w:r>
          </w:p>
          <w:p w:rsidR="00000000" w:rsidRPr="004F3CA2" w:rsidP="004F3CA2">
            <w:pPr>
              <w:pStyle w:val="BodyText"/>
            </w:pPr>
            <w:r w:rsidRPr="004F3CA2">
              <w:t>SW210 Basic Switching Systems</w:t>
            </w:r>
          </w:p>
          <w:p w:rsidR="00000000" w:rsidRPr="004F3CA2" w:rsidP="004F3CA2">
            <w:pPr>
              <w:pStyle w:val="BodyText"/>
            </w:pPr>
            <w:r w:rsidRPr="004F3CA2">
              <w:t>TE210 Basic Telephony</w:t>
            </w:r>
          </w:p>
          <w:p w:rsidR="00000000" w:rsidRPr="004F3CA2" w:rsidP="004F3CA2">
            <w:pPr>
              <w:pStyle w:val="BodyText"/>
            </w:pPr>
            <w:r w:rsidRPr="004F3CA2">
              <w:t>Topics not covered in Skill and Knowledge Register</w:t>
            </w:r>
          </w:p>
          <w:p w:rsidR="00000000" w:rsidP="004F3CA2">
            <w:pPr>
              <w:pStyle w:val="BodyText"/>
              <w:rPr>
                <w:lang w:val="en-NZ"/>
              </w:rPr>
            </w:pPr>
            <w:r w:rsidRPr="004F3CA2">
              <w:t xml:space="preserve">Telecommunication hazard awareness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Required knowledge</w:t>
            </w: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The relevant required knowledge is articulated in the above guidelines contained in the Skills and Knowledge Register included in this Training Package.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p>
        </w:tc>
      </w:tr>
    </w:tbl>
    <w:p w:rsidR="00000000" w:rsidRPr="004F3CA2" w:rsidP="004F3CA2">
      <w:pPr>
        <w:pStyle w:val="BodyText"/>
      </w:pPr>
    </w:p>
    <w:p w:rsidR="00000000" w:rsidRPr="004F3CA2" w:rsidP="004F3CA2">
      <w:pPr>
        <w:pStyle w:val="AllowPageBreak"/>
      </w:pPr>
    </w:p>
    <w:p w:rsidR="00000000" w:rsidRPr="004F3CA2" w:rsidP="004F3CA2">
      <w:pPr>
        <w:pStyle w:val="Heading1"/>
      </w:pPr>
      <w:bookmarkStart w:id="10" w:name="O_320635"/>
      <w:bookmarkEnd w:id="10"/>
      <w:r w:rsidRPr="004F3CA2">
        <w:t>Evidence Guide</w:t>
      </w:r>
    </w:p>
    <w:tbl>
      <w:tblPr>
        <w:tblW w:w="0" w:type="auto"/>
        <w:tblLayout w:type="fixed"/>
        <w:tblCellMar>
          <w:left w:w="62" w:type="dxa"/>
          <w:right w:w="62" w:type="dxa"/>
        </w:tblCellMar>
        <w:tblLook w:val="0000"/>
      </w:tblPr>
      <w:tblGrid>
        <w:gridCol w:w="4500"/>
        <w:gridCol w:w="4500"/>
      </w:tblGrid>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The evidence guide provides advice on assessment and must be read in conjunction with the performance criteria, required skills and knowledge, range statement and the Assessment Guidelines for the Training Package.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Critical aspects for assessment and ev</w:t>
            </w:r>
            <w:r w:rsidRPr="004F3CA2">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Evidence of the following is essential:    </w:t>
            </w:r>
          </w:p>
          <w:p w:rsidR="00000000" w:rsidRPr="004F3CA2" w:rsidP="004F3CA2">
            <w:pPr>
              <w:pStyle w:val="BodyText"/>
            </w:pPr>
            <w:r w:rsidRPr="004F3CA2">
              <w:t>Demonstration of termination systems at both distributor and outlet locations and at least one 50 pair copper cable, including accurate completion of install</w:t>
            </w:r>
            <w:r w:rsidRPr="004F3CA2">
              <w:t>ation records, drawing alterations and compliance forms</w:t>
            </w:r>
          </w:p>
          <w:p w:rsidR="00000000" w:rsidRPr="004F3CA2" w:rsidP="004F3CA2">
            <w:pPr>
              <w:pStyle w:val="BodyText"/>
            </w:pPr>
            <w:r w:rsidRPr="004F3CA2">
              <w:t>Placement of cables on support structures and building faces for both internal and external locations</w:t>
            </w:r>
          </w:p>
          <w:p w:rsidR="00000000" w:rsidRPr="004F3CA2" w:rsidP="004F3CA2">
            <w:pPr>
              <w:pStyle w:val="BodyText"/>
            </w:pPr>
            <w:r w:rsidRPr="004F3CA2">
              <w:t>Securing methods for above locations</w:t>
            </w:r>
          </w:p>
          <w:p w:rsidR="00000000" w:rsidRPr="004F3CA2" w:rsidP="004F3CA2">
            <w:pPr>
              <w:pStyle w:val="BodyText"/>
            </w:pPr>
            <w:r w:rsidRPr="004F3CA2">
              <w:t>Work practices which avoid cable damage such as crushing, bur</w:t>
            </w:r>
            <w:r w:rsidRPr="004F3CA2">
              <w:t>ning, kinking, sheath twist, cutting and nicking, bending radius</w:t>
            </w:r>
          </w:p>
          <w:p w:rsidR="00000000" w:rsidRPr="004F3CA2" w:rsidP="004F3CA2">
            <w:pPr>
              <w:pStyle w:val="BodyText"/>
            </w:pPr>
            <w:r w:rsidRPr="004F3CA2">
              <w:t>Ability to read and interpret drawings related to cable layouts, outlet location, cable coding system and identifiers, distributor locations</w:t>
            </w:r>
          </w:p>
          <w:p w:rsidR="00000000" w:rsidRPr="004F3CA2" w:rsidP="004F3CA2">
            <w:pPr>
              <w:pStyle w:val="BodyText"/>
            </w:pPr>
            <w:r w:rsidRPr="004F3CA2">
              <w:t>Conduct and interpret cable test results</w:t>
            </w:r>
          </w:p>
          <w:p w:rsidR="00000000" w:rsidP="004F3CA2">
            <w:pPr>
              <w:pStyle w:val="BodyText"/>
              <w:rPr>
                <w:lang w:val="en-NZ"/>
              </w:rPr>
            </w:pPr>
            <w:r w:rsidRPr="004F3CA2">
              <w:t xml:space="preserve">Correct interpretation and application of standards and regulations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Assessment must ensure:    </w:t>
            </w:r>
          </w:p>
          <w:p w:rsidR="00000000" w:rsidRPr="004F3CA2" w:rsidP="004F3CA2">
            <w:pPr>
              <w:pStyle w:val="BodyText"/>
            </w:pPr>
            <w:r w:rsidRPr="004F3CA2">
              <w:t>A workplace conducting the operations covered by this competency unit, equipment and resources relevant to</w:t>
            </w:r>
            <w:r w:rsidRPr="004F3CA2">
              <w:t xml:space="preserve"> the context of the work (See Range Statement) and support from a competent supervisor or mentor.</w:t>
            </w:r>
          </w:p>
          <w:p w:rsidR="00000000" w:rsidRPr="004F3CA2" w:rsidP="004F3CA2">
            <w:pPr>
              <w:pStyle w:val="BodyText"/>
            </w:pPr>
            <w:r w:rsidRPr="004F3CA2">
              <w:t>OR</w:t>
            </w:r>
          </w:p>
          <w:p w:rsidR="00000000" w:rsidP="004F3CA2">
            <w:pPr>
              <w:pStyle w:val="BodyText"/>
              <w:rPr>
                <w:lang w:val="en-NZ"/>
              </w:rPr>
            </w:pPr>
            <w:r w:rsidRPr="004F3CA2">
              <w:t xml:space="preserve">A simulated environment with similar provisions which conforms to the Assessment Guidelines.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Access must be prov</w:t>
            </w:r>
            <w:r w:rsidRPr="004F3CA2">
              <w:t xml:space="preserve">ided to appropriate learning and assessment support when required. </w:t>
            </w:r>
          </w:p>
          <w:p w:rsidR="00000000" w:rsidRPr="004F3CA2" w:rsidP="004F3CA2">
            <w:pPr>
              <w:pStyle w:val="BodyText"/>
            </w:pPr>
            <w:r w:rsidRPr="004F3CA2">
              <w:t xml:space="preserve">Assessment processes and techniques must be culturally appropriate, and appropriate to the oral communication skill level, and language and literacy capacity of the candidate and the work </w:t>
            </w:r>
            <w:r w:rsidRPr="004F3CA2">
              <w:t>being performed.</w:t>
            </w:r>
          </w:p>
          <w:p w:rsidR="00000000" w:rsidRPr="004F3CA2" w:rsidP="004F3CA2">
            <w:pPr>
              <w:pStyle w:val="BodyText"/>
            </w:pPr>
            <w:r w:rsidRPr="004F3CA2">
              <w:t xml:space="preserve">In all cases where practical assessment is used it will be combined with targeted questioning to assess underpinning knowledge. </w:t>
            </w:r>
          </w:p>
        </w:tc>
      </w:tr>
    </w:tbl>
    <w:p w:rsidR="00000000" w:rsidRPr="004F3CA2" w:rsidP="004F3CA2">
      <w:pPr>
        <w:pStyle w:val="BodyText"/>
      </w:pPr>
    </w:p>
    <w:p w:rsidR="00000000" w:rsidRPr="004F3CA2" w:rsidP="004F3CA2">
      <w:pPr>
        <w:pStyle w:val="AllowPageBreak"/>
      </w:pPr>
    </w:p>
    <w:p w:rsidR="00000000" w:rsidRPr="004F3CA2" w:rsidP="004F3CA2">
      <w:pPr>
        <w:pStyle w:val="Heading1"/>
      </w:pPr>
      <w:bookmarkStart w:id="11" w:name="O_320634"/>
      <w:bookmarkEnd w:id="11"/>
      <w:r w:rsidRPr="004F3CA2">
        <w:t>Range Statement</w:t>
      </w:r>
    </w:p>
    <w:tbl>
      <w:tblPr>
        <w:tblW w:w="0" w:type="auto"/>
        <w:tblLayout w:type="fixed"/>
        <w:tblCellMar>
          <w:left w:w="62" w:type="dxa"/>
          <w:right w:w="62" w:type="dxa"/>
        </w:tblCellMar>
        <w:tblLook w:val="0000"/>
      </w:tblPr>
      <w:tblGrid>
        <w:gridCol w:w="4500"/>
        <w:gridCol w:w="4500"/>
      </w:tblGrid>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The range statement relates to the unit of competency as a whole. It allows for different work environments and situations that may affect performance. </w:t>
            </w:r>
            <w:r w:rsidRPr="004F3CA2">
              <w:rPr>
                <w:rStyle w:val="SpecialBold"/>
              </w:rPr>
              <w:t>Bold italicised</w:t>
            </w:r>
            <w:r w:rsidRPr="004F3CA2">
              <w:t xml:space="preserve"> wording, if used in the performance criteria, is detailed below. Essential operating con</w:t>
            </w:r>
            <w:r w:rsidRPr="004F3CA2">
              <w:t xml:space="preserve">ditions that may be present with training and assessment (depending on the work situation, needs of the candidate, accessibility of the item, and local industry and regional contexts) may also be included. </w:t>
            </w:r>
          </w:p>
        </w:tc>
      </w:tr>
      <w:tr w:rsidTr="00D819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This unit applies to the ACMA Open Cabling Rule</w:t>
            </w:r>
            <w:r w:rsidRPr="004F3CA2">
              <w:t xml:space="preserve"> coverage for communications cabling installations applications to include larger commercial and industry installations involving many lines, multi-pair cables, backbone cabling, multi-story buildings and more complicated termination modules and distributo</w:t>
            </w:r>
            <w:r w:rsidRPr="004F3CA2">
              <w:t xml:space="preserve">rs.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Building infrastructure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Includes but not limited to High Voltage power, other services, availability and suitability of existing cabling trays and fixing systems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Strategies to manage infrastructure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Include appropriate separations, fastening techniques, correct use of cable trays and support systems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Remote Power Feed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Applies to telecommunications services which operate at above TNV (Telecommunications Network Voltage)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Regulatory environment</w:t>
            </w:r>
            <w:r w:rsidRPr="004F3CA2">
              <w:t xml:space="preserve">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Is defined by the Overview </w:t>
            </w:r>
            <w:r w:rsidRPr="004F3CA2">
              <w:rPr>
                <w:rStyle w:val="SpecialBold"/>
              </w:rPr>
              <w:t>Telecommunications Act 1997</w:t>
            </w:r>
            <w:r w:rsidRPr="004F3CA2">
              <w:t xml:space="preserve">, and includes, ACMA, ACIF/CA, Labelling, Certified Components List (CCL) accredited registrars and registration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Cabling environment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May include:    </w:t>
            </w:r>
          </w:p>
          <w:p w:rsidR="00000000" w:rsidRPr="004F3CA2" w:rsidP="004F3CA2">
            <w:pPr>
              <w:pStyle w:val="BodyText"/>
            </w:pPr>
            <w:r w:rsidRPr="004F3CA2">
              <w:t>Indoor environments include locations such a</w:t>
            </w:r>
            <w:r w:rsidRPr="004F3CA2">
              <w:t>s: ceilings, false ceilings, riser shafts, internal wall space, under floor, damp situations and within workstations.</w:t>
            </w:r>
          </w:p>
          <w:p w:rsidR="00000000" w:rsidRPr="004F3CA2" w:rsidP="004F3CA2">
            <w:pPr>
              <w:pStyle w:val="BodyText"/>
            </w:pPr>
            <w:r w:rsidRPr="004F3CA2">
              <w:t>Outdoor environments include cable installations on external walls and underground and/or aerial cabling on private and public property.</w:t>
            </w:r>
          </w:p>
          <w:p w:rsidR="00000000" w:rsidRPr="004F3CA2" w:rsidP="004F3CA2">
            <w:pPr>
              <w:pStyle w:val="BodyText"/>
            </w:pPr>
            <w:r w:rsidRPr="004F3CA2">
              <w:t>Underground cabling including shared trenches with electrical LV cables and/or other utilities.</w:t>
            </w:r>
          </w:p>
          <w:p w:rsidR="00000000" w:rsidP="004F3CA2">
            <w:pPr>
              <w:pStyle w:val="BodyText"/>
              <w:rPr>
                <w:lang w:val="en-NZ"/>
              </w:rPr>
            </w:pPr>
            <w:r w:rsidRPr="004F3CA2">
              <w:t xml:space="preserve">Aerial cabling installations which may include the sharing of poles with LV/HV electrical power cables/terminations.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Cable support systems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May be: suspens</w:t>
            </w:r>
            <w:r w:rsidRPr="004F3CA2">
              <w:t>ion catenary wire, ducts, cable tray, line poles, pipes, pits, wall and island mounted patched and jumperable distributors including CDs, BDs, FDs, LDs.</w:t>
            </w:r>
          </w:p>
          <w:p w:rsidR="00000000" w:rsidRPr="004F3CA2" w:rsidP="004F3CA2">
            <w:pPr>
              <w:pStyle w:val="BodyText"/>
            </w:pPr>
            <w:r w:rsidRPr="004F3CA2">
              <w:t>NB: Cable trays may be galvanised steel or PVC: perforated low or high sided, single or multi channel</w:t>
            </w:r>
          </w:p>
          <w:p w:rsidR="00000000" w:rsidP="004F3CA2">
            <w:pPr>
              <w:pStyle w:val="BodyText"/>
              <w:rPr>
                <w:lang w:val="en-NZ"/>
              </w:rPr>
            </w:pPr>
            <w:r w:rsidRPr="004F3CA2">
              <w:t xml:space="preserve"> </w:t>
            </w:r>
            <w:r w:rsidRPr="004F3CA2">
              <w:t xml:space="preserve">Cable ducts may be closed, open, PVC, metal, single or multiple channel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Cable types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Includes: copper twisted pair from 2 pair upwards but must include 2 and 4 pair and at least one larger cable (50 pair or greater).</w:t>
            </w:r>
          </w:p>
          <w:p w:rsidR="00000000" w:rsidP="004F3CA2">
            <w:pPr>
              <w:pStyle w:val="BodyText"/>
              <w:rPr>
                <w:lang w:val="en-NZ"/>
              </w:rPr>
            </w:pPr>
            <w:r w:rsidRPr="004F3CA2">
              <w:t>NB: Cable and topology may be chos</w:t>
            </w:r>
            <w:r w:rsidRPr="004F3CA2">
              <w:t xml:space="preserve">en to suit a range of applications including analogue voice (3.4 kHz bandwidth), digital voice (64 kB/s) and digital (2 MB/s ISDN).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Cable identification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Refers to cable conductor identification codes and may be:    </w:t>
            </w:r>
          </w:p>
          <w:p w:rsidR="00000000" w:rsidP="004F3CA2">
            <w:pPr>
              <w:pStyle w:val="BodyText"/>
              <w:rPr>
                <w:lang w:val="en-NZ"/>
              </w:rPr>
            </w:pPr>
            <w:r w:rsidRPr="004F3CA2">
              <w:t xml:space="preserve">Colour coded, banded, numbered, lettered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Cable Termination systems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Includes termination of at least one jumperable distributor (CD/BD) with a capacity of 100 pairs or greater. Termination of a non-jumperable distributor (LD). Termination of a patch p</w:t>
            </w:r>
            <w:r w:rsidRPr="004F3CA2">
              <w:t xml:space="preserve">anel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Earthing and protection systems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Includes:    </w:t>
            </w:r>
          </w:p>
          <w:p w:rsidR="00000000" w:rsidRPr="004F3CA2" w:rsidP="004F3CA2">
            <w:pPr>
              <w:pStyle w:val="BodyText"/>
            </w:pPr>
            <w:r w:rsidRPr="004F3CA2">
              <w:t>Installation of protective earth(s) for over voltage and surge/spike suppression.</w:t>
            </w:r>
          </w:p>
          <w:p w:rsidR="00000000" w:rsidRPr="004F3CA2" w:rsidP="004F3CA2">
            <w:pPr>
              <w:pStyle w:val="BodyText"/>
            </w:pPr>
            <w:r w:rsidRPr="004F3CA2">
              <w:t>Installation of protective earth barriers for segregation, cable tray, duct and metal equipment enclosures.</w:t>
            </w:r>
          </w:p>
          <w:p w:rsidR="00000000" w:rsidRPr="004F3CA2" w:rsidP="004F3CA2">
            <w:pPr>
              <w:pStyle w:val="BodyText"/>
            </w:pPr>
            <w:r w:rsidRPr="004F3CA2">
              <w:t>Running o</w:t>
            </w:r>
            <w:r w:rsidRPr="004F3CA2">
              <w:t>f equi-potential bonding conductors to MEN (Multiple Earth Neutral) and use of earth stakes.</w:t>
            </w:r>
          </w:p>
          <w:p w:rsidR="00000000" w:rsidRPr="004F3CA2" w:rsidP="004F3CA2">
            <w:pPr>
              <w:pStyle w:val="BodyText"/>
            </w:pPr>
            <w:r w:rsidRPr="004F3CA2">
              <w:t>Installation of functional earth(s) including TRC and CES types to provide customer switching system facilities.</w:t>
            </w:r>
          </w:p>
          <w:p w:rsidR="00000000" w:rsidP="004F3CA2">
            <w:pPr>
              <w:pStyle w:val="BodyText"/>
              <w:rPr>
                <w:lang w:val="en-NZ"/>
              </w:rPr>
            </w:pPr>
            <w:r w:rsidRPr="004F3CA2">
              <w:t>Earthing of screened cable, barriers and cable tra</w:t>
            </w:r>
            <w:r w:rsidRPr="004F3CA2">
              <w:t xml:space="preserve">ys for the reduction/elimination of interference from electromagnetic, radio frequency and power sources.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Records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Include:    </w:t>
            </w:r>
          </w:p>
          <w:p w:rsidR="00000000" w:rsidRPr="004F3CA2" w:rsidP="004F3CA2">
            <w:pPr>
              <w:pStyle w:val="BodyText"/>
            </w:pPr>
            <w:r w:rsidRPr="004F3CA2">
              <w:t>Cabling Completion Advice/TCA (sign off form)</w:t>
            </w:r>
          </w:p>
          <w:p w:rsidR="00000000" w:rsidRPr="004F3CA2" w:rsidP="004F3CA2">
            <w:pPr>
              <w:pStyle w:val="BodyText"/>
            </w:pPr>
            <w:r w:rsidRPr="004F3CA2">
              <w:t>Building, cabling and equipment location plans</w:t>
            </w:r>
          </w:p>
          <w:p w:rsidR="00000000" w:rsidRPr="004F3CA2" w:rsidP="004F3CA2">
            <w:pPr>
              <w:pStyle w:val="BodyText"/>
            </w:pPr>
            <w:r w:rsidRPr="004F3CA2">
              <w:t xml:space="preserve">BD/CD and FD record books, LD record cards </w:t>
            </w:r>
          </w:p>
          <w:p w:rsidR="00000000" w:rsidRPr="004F3CA2" w:rsidP="004F3CA2">
            <w:pPr>
              <w:pStyle w:val="BodyText"/>
            </w:pPr>
            <w:r w:rsidRPr="004F3CA2">
              <w:t>Labelling of patch panels, distributor verticals, distributor pairs, equipment closets and rooms</w:t>
            </w:r>
          </w:p>
          <w:p w:rsidR="00000000" w:rsidRPr="004F3CA2" w:rsidP="004F3CA2">
            <w:pPr>
              <w:pStyle w:val="BodyText"/>
            </w:pPr>
            <w:r w:rsidRPr="004F3CA2">
              <w:t>Labelling of telecommunication outlets</w:t>
            </w:r>
          </w:p>
          <w:p w:rsidR="00000000" w:rsidRPr="004F3CA2" w:rsidP="004F3CA2">
            <w:pPr>
              <w:pStyle w:val="BodyText"/>
            </w:pPr>
            <w:r w:rsidRPr="004F3CA2">
              <w:t>And in the future possibly NTD record cards</w:t>
            </w:r>
          </w:p>
          <w:p w:rsidR="00000000" w:rsidP="004F3CA2">
            <w:pPr>
              <w:pStyle w:val="BodyText"/>
              <w:rPr>
                <w:lang w:val="en-NZ"/>
              </w:rPr>
            </w:pPr>
            <w:r w:rsidRPr="004F3CA2">
              <w:t>NB: Record books and cards may b</w:t>
            </w:r>
            <w:r w:rsidRPr="004F3CA2">
              <w:t xml:space="preserve">e hard copy or software versions but must conform with AS/ACIFS009:2006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Functional, protective and CES earthing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Refers to the three common types of earthing system used in customer premises for cabling systems. Cablers must understand the features an</w:t>
            </w:r>
            <w:r w:rsidRPr="004F3CA2">
              <w:t xml:space="preserve">d application of each type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Cable characteristics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Includes the electrical performance of the cable and its' physical characteristics. Cabers must be able to identify the critical characteristics for each type of cable they use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Label requirements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Are defined in detail by the Industry regulations. Cablers must meet these requirements whenever installing earthing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Clearances and segregation: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Refers to clearances and segregation requirements as defined in AS/ACIFS009:2006 (or its replacement)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Separations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Is the distance between communications cable and other services. This includes Low Voltage (LV), High Voltage (HV) - Single core and HV Multi-core, Open terminations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Spatial separations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Is the distance between communications cable and</w:t>
            </w:r>
            <w:r w:rsidRPr="004F3CA2">
              <w:t xml:space="preserve"> other required by regulations where no barrier is installed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Barriers </w:t>
            </w: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Are physical barriers installed when there is not enough space to achieve spatial separations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3CA2">
            <w:pPr>
              <w:pStyle w:val="BodyText"/>
              <w:rPr>
                <w:lang w:val="en-NZ"/>
              </w:rPr>
            </w:pPr>
            <w:r w:rsidRPr="004F3CA2">
              <w:t xml:space="preserve">Relevant legislation, codes, regulations and standards (or their replacements)  </w:t>
            </w: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r w:rsidRPr="004F3CA2">
              <w:t xml:space="preserve">Include relevant components of:    </w:t>
            </w:r>
          </w:p>
          <w:p w:rsidR="00000000" w:rsidRPr="004F3CA2" w:rsidP="004F3CA2">
            <w:pPr>
              <w:pStyle w:val="BodyText"/>
            </w:pPr>
            <w:r w:rsidRPr="004F3CA2">
              <w:t xml:space="preserve">ACMA Technical Standards </w:t>
            </w:r>
          </w:p>
          <w:p w:rsidR="00000000" w:rsidRPr="004F3CA2" w:rsidP="004F3CA2">
            <w:pPr>
              <w:pStyle w:val="BodyText"/>
            </w:pPr>
            <w:r w:rsidRPr="004F3CA2">
              <w:t xml:space="preserve">AS/ACIFS008:2006, AS/ACIFS009:2006 </w:t>
            </w:r>
          </w:p>
          <w:p w:rsidR="00000000" w:rsidRPr="004F3CA2" w:rsidP="004F3CA2">
            <w:pPr>
              <w:pStyle w:val="BodyText"/>
            </w:pPr>
            <w:r w:rsidRPr="004F3CA2">
              <w:t>SAA Communications Cabling Manual (Open)</w:t>
            </w:r>
          </w:p>
          <w:p w:rsidR="00000000" w:rsidRPr="004F3CA2" w:rsidP="004F3CA2">
            <w:pPr>
              <w:pStyle w:val="BodyText"/>
            </w:pPr>
            <w:r w:rsidRPr="004F3CA2">
              <w:t>AS/NZS 3000</w:t>
            </w:r>
          </w:p>
          <w:p w:rsidR="00000000" w:rsidP="004F3CA2">
            <w:pPr>
              <w:pStyle w:val="BodyText"/>
              <w:rPr>
                <w:lang w:val="en-NZ"/>
              </w:rPr>
            </w:pPr>
            <w:r w:rsidRPr="004F3CA2">
              <w:t xml:space="preserve">Building Codes </w:t>
            </w:r>
          </w:p>
        </w:tc>
      </w:tr>
      <w:tr w:rsidTr="00D819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F3CA2" w:rsidP="004F3CA2">
            <w:pPr>
              <w:pStyle w:val="BodyText"/>
            </w:pPr>
          </w:p>
        </w:tc>
      </w:tr>
    </w:tbl>
    <w:p w:rsidR="00000000" w:rsidRPr="004F3CA2" w:rsidP="004F3CA2">
      <w:pPr>
        <w:pStyle w:val="BodyText"/>
      </w:pPr>
    </w:p>
    <w:p w:rsidR="00000000" w:rsidRPr="004F3CA2" w:rsidP="004F3CA2">
      <w:pPr>
        <w:pStyle w:val="AllowPageBreak"/>
      </w:pPr>
    </w:p>
    <w:p w:rsidR="00000000" w:rsidRPr="004F3CA2" w:rsidP="004F3CA2">
      <w:pPr>
        <w:pStyle w:val="Heading1"/>
      </w:pPr>
      <w:bookmarkStart w:id="12" w:name="O_320633"/>
      <w:bookmarkEnd w:id="12"/>
      <w:r w:rsidRPr="004F3CA2">
        <w:t>Unit Sector(s)</w:t>
      </w:r>
    </w:p>
    <w:p w:rsidR="00000000" w:rsidRPr="004F3CA2" w:rsidP="004F3CA2">
      <w:pPr>
        <w:pStyle w:val="BodyText"/>
      </w:pPr>
      <w:r w:rsidRPr="004F3CA2">
        <w:t>Not applicable.</w:t>
      </w:r>
    </w:p>
    <w:p w:rsidR="00000000" w:rsidRPr="004F3CA2" w:rsidP="004F3CA2"/>
    <w:sectPr w:rsidSect="004F3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9A8" w:rsidP="00D819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A8" w:rsidP="004F3C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819A8" w:rsidP="004F3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19A8" w:rsidP="004F3C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A2" w:rsidRPr="00D819A8" w:rsidP="00D819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A8" w:rsidRPr="002D2AF8" w:rsidP="004F3CA2">
    <w:pPr>
      <w:pStyle w:val="Header"/>
      <w:framePr w:wrap="around"/>
    </w:pPr>
    <w:r>
      <w:fldChar w:fldCharType="begin"/>
    </w:r>
    <w:r>
      <w:instrText xml:space="preserve"> TITLE   \* MERGEFORMAT </w:instrText>
    </w:r>
    <w:r>
      <w:fldChar w:fldCharType="separate"/>
    </w:r>
    <w:r>
      <w:t>ICTTC137C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819A8" w:rsidP="004F3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CA2"/>
    <w:pPr>
      <w:spacing w:before="360" w:after="60"/>
      <w:outlineLvl w:val="0"/>
    </w:pPr>
    <w:rPr>
      <w:sz w:val="32"/>
    </w:rPr>
  </w:style>
  <w:style w:type="paragraph" w:styleId="Heading2">
    <w:name w:val="heading 2"/>
    <w:basedOn w:val="HeadingBase"/>
    <w:next w:val="BodyText"/>
    <w:link w:val="Heading2Char"/>
    <w:qFormat/>
    <w:rsid w:val="004F3CA2"/>
    <w:pPr>
      <w:keepLines/>
      <w:spacing w:before="240" w:after="120"/>
      <w:outlineLvl w:val="1"/>
    </w:pPr>
    <w:rPr>
      <w:sz w:val="28"/>
      <w:szCs w:val="40"/>
    </w:rPr>
  </w:style>
  <w:style w:type="paragraph" w:styleId="Heading3">
    <w:name w:val="heading 3"/>
    <w:basedOn w:val="HeadingBase"/>
    <w:next w:val="BodyText"/>
    <w:link w:val="Heading3Char"/>
    <w:qFormat/>
    <w:rsid w:val="004F3CA2"/>
    <w:pPr>
      <w:spacing w:before="180" w:after="120"/>
      <w:outlineLvl w:val="2"/>
    </w:pPr>
    <w:rPr>
      <w:spacing w:val="-10"/>
      <w:kern w:val="32"/>
    </w:rPr>
  </w:style>
  <w:style w:type="paragraph" w:styleId="Heading4">
    <w:name w:val="heading 4"/>
    <w:basedOn w:val="HeadingBase"/>
    <w:next w:val="BodyText"/>
    <w:link w:val="Heading4Char"/>
    <w:qFormat/>
    <w:rsid w:val="004F3CA2"/>
    <w:pPr>
      <w:spacing w:before="160" w:after="120"/>
      <w:outlineLvl w:val="3"/>
    </w:pPr>
    <w:rPr>
      <w:sz w:val="22"/>
    </w:rPr>
  </w:style>
  <w:style w:type="paragraph" w:styleId="Heading5">
    <w:name w:val="heading 5"/>
    <w:basedOn w:val="HeadingBase"/>
    <w:next w:val="Normal"/>
    <w:link w:val="Heading5Char"/>
    <w:qFormat/>
    <w:rsid w:val="004F3CA2"/>
    <w:pPr>
      <w:spacing w:before="80"/>
      <w:outlineLvl w:val="4"/>
    </w:pPr>
    <w:rPr>
      <w:color w:val="918585"/>
      <w:sz w:val="20"/>
    </w:rPr>
  </w:style>
  <w:style w:type="paragraph" w:styleId="Heading6">
    <w:name w:val="heading 6"/>
    <w:basedOn w:val="HeadingBase"/>
    <w:next w:val="Normal"/>
    <w:link w:val="Heading6Char"/>
    <w:qFormat/>
    <w:rsid w:val="004F3CA2"/>
    <w:pPr>
      <w:spacing w:before="60"/>
      <w:outlineLvl w:val="5"/>
    </w:pPr>
    <w:rPr>
      <w:color w:val="918585"/>
      <w:sz w:val="20"/>
    </w:rPr>
  </w:style>
  <w:style w:type="paragraph" w:styleId="Heading7">
    <w:name w:val="heading 7"/>
    <w:basedOn w:val="Normal"/>
    <w:next w:val="Normal"/>
    <w:link w:val="Heading7Char"/>
    <w:qFormat/>
    <w:rsid w:val="004F3CA2"/>
    <w:pPr>
      <w:ind w:left="720"/>
      <w:outlineLvl w:val="6"/>
    </w:pPr>
    <w:rPr>
      <w:i/>
    </w:rPr>
  </w:style>
  <w:style w:type="paragraph" w:styleId="Heading8">
    <w:name w:val="heading 8"/>
    <w:basedOn w:val="Normal"/>
    <w:next w:val="Normal"/>
    <w:link w:val="Heading8Char"/>
    <w:qFormat/>
    <w:rsid w:val="004F3CA2"/>
    <w:pPr>
      <w:ind w:left="720"/>
      <w:outlineLvl w:val="7"/>
    </w:pPr>
    <w:rPr>
      <w:i/>
    </w:rPr>
  </w:style>
  <w:style w:type="paragraph" w:styleId="Heading9">
    <w:name w:val="heading 9"/>
    <w:basedOn w:val="Normal"/>
    <w:next w:val="Normal"/>
    <w:link w:val="Heading9Char"/>
    <w:qFormat/>
    <w:rsid w:val="004F3CA2"/>
    <w:pPr>
      <w:ind w:left="720"/>
      <w:outlineLvl w:val="8"/>
    </w:pPr>
    <w:rPr>
      <w:i/>
    </w:rPr>
  </w:style>
  <w:style w:type="character" w:default="1" w:styleId="DefaultParagraphFont">
    <w:name w:val="Default Paragraph Font"/>
    <w:uiPriority w:val="1"/>
    <w:unhideWhenUsed/>
    <w:rsid w:val="004F3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CA2"/>
  </w:style>
  <w:style w:type="character" w:customStyle="1" w:styleId="Heading1Char">
    <w:name w:val="Heading 1 Char"/>
    <w:basedOn w:val="DefaultParagraphFont"/>
    <w:link w:val="Heading1"/>
    <w:rsid w:val="004F3CA2"/>
    <w:rPr>
      <w:rFonts w:ascii="Times New Roman" w:eastAsia="Times New Roman" w:hAnsi="Times New Roman" w:cs="Times New Roman"/>
      <w:b/>
      <w:sz w:val="32"/>
      <w:szCs w:val="20"/>
      <w:lang w:eastAsia="en-US"/>
    </w:rPr>
  </w:style>
  <w:style w:type="paragraph" w:styleId="BodyText">
    <w:name w:val="Body Text"/>
    <w:basedOn w:val="Normal"/>
    <w:link w:val="BodyTextChar"/>
    <w:rsid w:val="004F3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CA2"/>
    <w:rPr>
      <w:rFonts w:ascii="Times New Roman" w:eastAsia="Times New Roman" w:hAnsi="Times New Roman" w:cs="Times New Roman"/>
      <w:sz w:val="24"/>
      <w:lang w:eastAsia="en-US"/>
    </w:rPr>
  </w:style>
  <w:style w:type="paragraph" w:styleId="Footer">
    <w:name w:val="footer"/>
    <w:basedOn w:val="Normal"/>
    <w:link w:val="FooterChar"/>
    <w:rsid w:val="004F3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CA2"/>
    <w:rPr>
      <w:rFonts w:ascii="Times New Roman" w:eastAsia="Times New Roman" w:hAnsi="Times New Roman" w:cs="Times New Roman"/>
      <w:sz w:val="16"/>
      <w:lang w:eastAsia="en-US"/>
    </w:rPr>
  </w:style>
  <w:style w:type="character" w:customStyle="1" w:styleId="SpecialBold">
    <w:name w:val="Special Bold"/>
    <w:basedOn w:val="DefaultParagraphFont"/>
    <w:rsid w:val="004F3CA2"/>
    <w:rPr>
      <w:b/>
      <w:spacing w:val="0"/>
    </w:rPr>
  </w:style>
  <w:style w:type="paragraph" w:customStyle="1" w:styleId="SuperHeading">
    <w:name w:val="SuperHeading"/>
    <w:basedOn w:val="Normal"/>
    <w:rsid w:val="004F3CA2"/>
    <w:pPr>
      <w:spacing w:before="240" w:after="120"/>
      <w:outlineLvl w:val="0"/>
    </w:pPr>
    <w:rPr>
      <w:rFonts w:ascii="Times New Roman" w:hAnsi="Times New Roman"/>
      <w:b/>
      <w:sz w:val="28"/>
    </w:rPr>
  </w:style>
  <w:style w:type="paragraph" w:customStyle="1" w:styleId="AllowPageBreak">
    <w:name w:val="AllowPageBreak"/>
    <w:rsid w:val="004F3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CA2"/>
    <w:rPr>
      <w:rFonts w:ascii="Courier New" w:eastAsia="Times New Roman" w:hAnsi="Courier New" w:cs="Times New Roman"/>
      <w:i/>
      <w:szCs w:val="20"/>
      <w:lang w:eastAsia="en-US"/>
    </w:rPr>
  </w:style>
  <w:style w:type="paragraph" w:customStyle="1" w:styleId="HeadingBase">
    <w:name w:val="Heading Base"/>
    <w:rsid w:val="004F3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CA2"/>
    <w:pPr>
      <w:tabs>
        <w:tab w:val="right" w:leader="dot" w:pos="9072"/>
      </w:tabs>
      <w:ind w:left="567"/>
    </w:pPr>
    <w:rPr>
      <w:szCs w:val="22"/>
    </w:rPr>
  </w:style>
  <w:style w:type="paragraph" w:customStyle="1" w:styleId="TOCBase">
    <w:name w:val="TOC Base"/>
    <w:rsid w:val="004F3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CA2"/>
    <w:pPr>
      <w:tabs>
        <w:tab w:val="right" w:leader="dot" w:pos="9072"/>
      </w:tabs>
      <w:spacing w:before="40" w:after="40"/>
      <w:ind w:left="284"/>
    </w:pPr>
    <w:rPr>
      <w:rFonts w:ascii="Times New Roman" w:hAnsi="Times New Roman"/>
    </w:rPr>
  </w:style>
  <w:style w:type="paragraph" w:styleId="TOC1">
    <w:name w:val="toc 1"/>
    <w:basedOn w:val="TOCBase"/>
    <w:next w:val="Normal"/>
    <w:rsid w:val="004F3C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CA2"/>
    <w:pPr>
      <w:spacing w:before="5040"/>
      <w:jc w:val="center"/>
    </w:pPr>
    <w:rPr>
      <w:sz w:val="48"/>
      <w:szCs w:val="72"/>
      <w:lang w:val="en-US"/>
    </w:rPr>
  </w:style>
  <w:style w:type="character" w:customStyle="1" w:styleId="TitleChar">
    <w:name w:val="Title Char"/>
    <w:basedOn w:val="DefaultParagraphFont"/>
    <w:link w:val="Title"/>
    <w:rsid w:val="004F3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CA2"/>
    <w:pPr>
      <w:tabs>
        <w:tab w:val="left" w:pos="3600"/>
        <w:tab w:val="left" w:pos="3958"/>
      </w:tabs>
    </w:pPr>
  </w:style>
  <w:style w:type="paragraph" w:styleId="List">
    <w:name w:val="List"/>
    <w:basedOn w:val="BodyText"/>
    <w:next w:val="BodyText"/>
    <w:rsid w:val="004F3CA2"/>
    <w:pPr>
      <w:tabs>
        <w:tab w:val="left" w:pos="340"/>
      </w:tabs>
      <w:spacing w:before="60" w:after="60"/>
      <w:ind w:left="340" w:hanging="340"/>
    </w:pPr>
  </w:style>
  <w:style w:type="paragraph" w:styleId="ListBullet">
    <w:name w:val="List Bullet"/>
    <w:basedOn w:val="List"/>
    <w:rsid w:val="004F3CA2"/>
    <w:pPr>
      <w:numPr>
        <w:numId w:val="11"/>
      </w:numPr>
      <w:tabs>
        <w:tab w:val="clear" w:pos="340"/>
      </w:tabs>
      <w:spacing w:before="40" w:after="40"/>
    </w:pPr>
  </w:style>
  <w:style w:type="paragraph" w:customStyle="1" w:styleId="Note">
    <w:name w:val="Note"/>
    <w:basedOn w:val="BodyText"/>
    <w:rsid w:val="004F3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CA2"/>
    <w:pPr>
      <w:framePr w:wrap="auto" w:hAnchor="text" w:y="6049"/>
    </w:pPr>
    <w:rPr>
      <w:color w:val="000000"/>
      <w:sz w:val="40"/>
    </w:rPr>
  </w:style>
  <w:style w:type="paragraph" w:customStyle="1" w:styleId="TOCTitle">
    <w:name w:val="TOCTitle"/>
    <w:basedOn w:val="Heading1"/>
    <w:rsid w:val="004F3CA2"/>
    <w:pPr>
      <w:spacing w:after="240"/>
      <w:jc w:val="center"/>
      <w:outlineLvl w:val="9"/>
    </w:pPr>
    <w:rPr>
      <w:caps/>
    </w:rPr>
  </w:style>
  <w:style w:type="paragraph" w:customStyle="1" w:styleId="Version">
    <w:name w:val="Version"/>
    <w:rsid w:val="004F3C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CA2"/>
    <w:pPr>
      <w:numPr>
        <w:numId w:val="12"/>
      </w:numPr>
      <w:tabs>
        <w:tab w:val="clear" w:pos="680"/>
      </w:tabs>
    </w:pPr>
  </w:style>
  <w:style w:type="paragraph" w:styleId="Index1">
    <w:name w:val="index 1"/>
    <w:basedOn w:val="Normal"/>
    <w:next w:val="Normal"/>
    <w:semiHidden/>
    <w:rsid w:val="004F3CA2"/>
    <w:pPr>
      <w:keepNext w:val="0"/>
      <w:tabs>
        <w:tab w:val="right" w:pos="4176"/>
      </w:tabs>
      <w:ind w:left="198" w:hanging="198"/>
    </w:pPr>
    <w:rPr>
      <w:rFonts w:ascii="Garamond" w:hAnsi="Garamond"/>
    </w:rPr>
  </w:style>
  <w:style w:type="paragraph" w:styleId="IndexHeading">
    <w:name w:val="index heading"/>
    <w:basedOn w:val="Normal"/>
    <w:next w:val="Index1"/>
    <w:semiHidden/>
    <w:rsid w:val="004F3CA2"/>
    <w:pPr>
      <w:spacing w:before="120" w:after="120"/>
    </w:pPr>
    <w:rPr>
      <w:rFonts w:ascii="Arial" w:hAnsi="Arial"/>
      <w:b/>
      <w:color w:val="918585"/>
      <w:sz w:val="24"/>
    </w:rPr>
  </w:style>
  <w:style w:type="paragraph" w:styleId="Header">
    <w:name w:val="header"/>
    <w:basedOn w:val="Normal"/>
    <w:link w:val="HeaderChar"/>
    <w:rsid w:val="004F3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CA2"/>
    <w:rPr>
      <w:rFonts w:ascii="Times New Roman" w:eastAsia="Times New Roman" w:hAnsi="Times New Roman" w:cs="Times New Roman"/>
      <w:sz w:val="16"/>
      <w:szCs w:val="20"/>
      <w:lang w:val="en-GB" w:eastAsia="en-US"/>
    </w:rPr>
  </w:style>
  <w:style w:type="paragraph" w:customStyle="1" w:styleId="Chapter">
    <w:name w:val="Chapter"/>
    <w:basedOn w:val="Normal"/>
    <w:rsid w:val="004F3CA2"/>
    <w:pPr>
      <w:spacing w:before="240"/>
    </w:pPr>
    <w:rPr>
      <w:rFonts w:ascii="Times New Roman" w:hAnsi="Times New Roman"/>
      <w:smallCaps/>
      <w:spacing w:val="80"/>
      <w:sz w:val="28"/>
    </w:rPr>
  </w:style>
  <w:style w:type="paragraph" w:customStyle="1" w:styleId="InChapter">
    <w:name w:val="InChapter"/>
    <w:basedOn w:val="Heading3"/>
    <w:rsid w:val="004F3CA2"/>
    <w:pPr>
      <w:spacing w:after="240"/>
      <w:outlineLvl w:val="9"/>
    </w:pPr>
    <w:rPr>
      <w:noProof/>
    </w:rPr>
  </w:style>
  <w:style w:type="paragraph" w:styleId="Index2">
    <w:name w:val="index 2"/>
    <w:basedOn w:val="Normal"/>
    <w:next w:val="Normal"/>
    <w:semiHidden/>
    <w:rsid w:val="004F3CA2"/>
    <w:pPr>
      <w:tabs>
        <w:tab w:val="right" w:pos="4176"/>
      </w:tabs>
      <w:ind w:left="568" w:hanging="284"/>
    </w:pPr>
    <w:rPr>
      <w:rFonts w:ascii="Garamond" w:hAnsi="Garamond"/>
    </w:rPr>
  </w:style>
  <w:style w:type="paragraph" w:customStyle="1" w:styleId="Byline">
    <w:name w:val="Byline"/>
    <w:rsid w:val="004F3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CA2"/>
    <w:pPr>
      <w:tabs>
        <w:tab w:val="clear" w:pos="3600"/>
        <w:tab w:val="clear" w:pos="3958"/>
      </w:tabs>
      <w:jc w:val="right"/>
    </w:pPr>
  </w:style>
  <w:style w:type="character" w:styleId="Emphasis">
    <w:name w:val="Emphasis"/>
    <w:basedOn w:val="DefaultParagraphFont"/>
    <w:qFormat/>
    <w:rsid w:val="004F3CA2"/>
    <w:rPr>
      <w:i/>
    </w:rPr>
  </w:style>
  <w:style w:type="paragraph" w:styleId="Caption">
    <w:name w:val="caption"/>
    <w:basedOn w:val="BodyText"/>
    <w:next w:val="Normal"/>
    <w:qFormat/>
    <w:rsid w:val="004F3CA2"/>
    <w:pPr>
      <w:framePr w:w="2268" w:hSpace="181" w:vSpace="181" w:wrap="around" w:vAnchor="text" w:hAnchor="page" w:x="1135" w:y="285" w:anchorLock="1"/>
    </w:pPr>
    <w:rPr>
      <w:i/>
    </w:rPr>
  </w:style>
  <w:style w:type="paragraph" w:customStyle="1" w:styleId="MiniTOCTitle">
    <w:name w:val="MiniTOCTitle"/>
    <w:basedOn w:val="Heading4"/>
    <w:rsid w:val="004F3CA2"/>
    <w:pPr>
      <w:spacing w:before="240"/>
      <w:outlineLvl w:val="9"/>
    </w:pPr>
    <w:rPr>
      <w:noProof/>
      <w:sz w:val="24"/>
    </w:rPr>
  </w:style>
  <w:style w:type="paragraph" w:customStyle="1" w:styleId="MiniTOCItem">
    <w:name w:val="MiniTOCItem"/>
    <w:basedOn w:val="ListBullet"/>
    <w:rsid w:val="004F3CA2"/>
    <w:pPr>
      <w:numPr>
        <w:numId w:val="0"/>
      </w:numPr>
      <w:tabs>
        <w:tab w:val="right" w:leader="dot" w:pos="6521"/>
      </w:tabs>
      <w:spacing w:before="0" w:after="0"/>
    </w:pPr>
  </w:style>
  <w:style w:type="paragraph" w:customStyle="1" w:styleId="TOFTitle">
    <w:name w:val="TOFTitle"/>
    <w:basedOn w:val="TOCTitle"/>
    <w:rsid w:val="004F3CA2"/>
  </w:style>
  <w:style w:type="paragraph" w:styleId="TableofFigures">
    <w:name w:val="table of figures"/>
    <w:basedOn w:val="Normal"/>
    <w:next w:val="Normal"/>
    <w:semiHidden/>
    <w:rsid w:val="004F3CA2"/>
    <w:pPr>
      <w:tabs>
        <w:tab w:val="right" w:leader="dot" w:pos="9072"/>
      </w:tabs>
      <w:ind w:left="970" w:hanging="403"/>
    </w:pPr>
    <w:rPr>
      <w:rFonts w:ascii="Times New Roman" w:hAnsi="Times New Roman"/>
      <w:b/>
    </w:rPr>
  </w:style>
  <w:style w:type="paragraph" w:styleId="ListNumber">
    <w:name w:val="List Number"/>
    <w:basedOn w:val="List"/>
    <w:rsid w:val="004F3CA2"/>
    <w:pPr>
      <w:numPr>
        <w:numId w:val="9"/>
      </w:numPr>
    </w:pPr>
  </w:style>
  <w:style w:type="character" w:customStyle="1" w:styleId="WingdingSymbols">
    <w:name w:val="Wingding Symbols"/>
    <w:rsid w:val="004F3CA2"/>
    <w:rPr>
      <w:rFonts w:ascii="Wingdings" w:hAnsi="Wingdings"/>
    </w:rPr>
  </w:style>
  <w:style w:type="paragraph" w:customStyle="1" w:styleId="TableHeading">
    <w:name w:val="Table Heading"/>
    <w:basedOn w:val="HeadingBase"/>
    <w:rsid w:val="004F3CA2"/>
    <w:pPr>
      <w:keepLines/>
      <w:pBdr>
        <w:bottom w:val="single" w:sz="6" w:space="1" w:color="918585"/>
      </w:pBdr>
      <w:spacing w:before="240"/>
    </w:pPr>
  </w:style>
  <w:style w:type="character" w:customStyle="1" w:styleId="HotSpot">
    <w:name w:val="HotSpot"/>
    <w:rsid w:val="004F3CA2"/>
    <w:rPr>
      <w:color w:val="0033CC"/>
      <w:u w:val="none"/>
    </w:rPr>
  </w:style>
  <w:style w:type="paragraph" w:customStyle="1" w:styleId="BodyTextRight">
    <w:name w:val="Body Text Right"/>
    <w:basedOn w:val="BodyText"/>
    <w:rsid w:val="004F3CA2"/>
    <w:pPr>
      <w:spacing w:before="0" w:after="0"/>
      <w:jc w:val="right"/>
    </w:pPr>
  </w:style>
  <w:style w:type="paragraph" w:styleId="Index3">
    <w:name w:val="index 3"/>
    <w:basedOn w:val="ListNumber2"/>
    <w:next w:val="Normal"/>
    <w:semiHidden/>
    <w:rsid w:val="004F3CA2"/>
    <w:pPr>
      <w:numPr>
        <w:numId w:val="0"/>
      </w:numPr>
      <w:tabs>
        <w:tab w:val="right" w:leader="dot" w:pos="4176"/>
      </w:tabs>
    </w:pPr>
  </w:style>
  <w:style w:type="paragraph" w:styleId="ListNumber2">
    <w:name w:val="List Number 2"/>
    <w:basedOn w:val="List2"/>
    <w:rsid w:val="004F3CA2"/>
    <w:pPr>
      <w:numPr>
        <w:numId w:val="8"/>
      </w:numPr>
      <w:tabs>
        <w:tab w:val="clear" w:pos="1060"/>
      </w:tabs>
    </w:pPr>
  </w:style>
  <w:style w:type="paragraph" w:customStyle="1" w:styleId="MarginNote">
    <w:name w:val="Margin Note"/>
    <w:basedOn w:val="BodyText"/>
    <w:rsid w:val="004F3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CA2"/>
    <w:rPr>
      <w:sz w:val="32"/>
    </w:rPr>
  </w:style>
  <w:style w:type="paragraph" w:customStyle="1" w:styleId="HeadingProcedure">
    <w:name w:val="Heading Procedure"/>
    <w:basedOn w:val="HeadingBase"/>
    <w:next w:val="Normal"/>
    <w:rsid w:val="004F3CA2"/>
    <w:pPr>
      <w:tabs>
        <w:tab w:val="left" w:pos="0"/>
      </w:tabs>
      <w:spacing w:before="120" w:after="60"/>
    </w:pPr>
    <w:rPr>
      <w:i/>
      <w:color w:val="918585"/>
      <w:sz w:val="22"/>
    </w:rPr>
  </w:style>
  <w:style w:type="paragraph" w:customStyle="1" w:styleId="TableBodyText">
    <w:name w:val="Table Body Text"/>
    <w:basedOn w:val="BodyText"/>
    <w:rsid w:val="004F3CA2"/>
    <w:pPr>
      <w:spacing w:before="60" w:after="60"/>
    </w:pPr>
  </w:style>
  <w:style w:type="paragraph" w:styleId="ListContinue">
    <w:name w:val="List Continue"/>
    <w:basedOn w:val="List"/>
    <w:rsid w:val="004F3CA2"/>
    <w:pPr>
      <w:ind w:firstLine="0"/>
    </w:pPr>
  </w:style>
  <w:style w:type="paragraph" w:customStyle="1" w:styleId="ListNote">
    <w:name w:val="List Note"/>
    <w:basedOn w:val="List"/>
    <w:rsid w:val="004F3CA2"/>
    <w:pPr>
      <w:pBdr>
        <w:top w:val="single" w:sz="6" w:space="2" w:color="918585"/>
        <w:bottom w:val="single" w:sz="6" w:space="2" w:color="918585"/>
      </w:pBdr>
      <w:tabs>
        <w:tab w:val="left" w:pos="1021"/>
      </w:tabs>
      <w:ind w:firstLine="0"/>
    </w:pPr>
  </w:style>
  <w:style w:type="paragraph" w:customStyle="1" w:styleId="Warning">
    <w:name w:val="Warning"/>
    <w:basedOn w:val="BodyText"/>
    <w:rsid w:val="004F3CA2"/>
    <w:pPr>
      <w:shd w:val="clear" w:color="auto" w:fill="D9D9D9"/>
      <w:tabs>
        <w:tab w:val="left" w:pos="992"/>
      </w:tabs>
      <w:ind w:left="119" w:right="119"/>
    </w:pPr>
    <w:rPr>
      <w:sz w:val="20"/>
    </w:rPr>
  </w:style>
  <w:style w:type="paragraph" w:customStyle="1" w:styleId="MarginIcons">
    <w:name w:val="Margin Icons"/>
    <w:basedOn w:val="BodyText"/>
    <w:rsid w:val="004F3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CA2"/>
    <w:rPr>
      <w:rFonts w:ascii="Courier New" w:hAnsi="Courier New"/>
    </w:rPr>
  </w:style>
  <w:style w:type="paragraph" w:customStyle="1" w:styleId="NoteBullet">
    <w:name w:val="Note Bullet"/>
    <w:basedOn w:val="Note"/>
    <w:rsid w:val="004F3CA2"/>
    <w:pPr>
      <w:tabs>
        <w:tab w:val="clear" w:pos="680"/>
      </w:tabs>
      <w:spacing w:before="60" w:after="60"/>
    </w:pPr>
  </w:style>
  <w:style w:type="paragraph" w:customStyle="1" w:styleId="SubHeading2">
    <w:name w:val="SubHeading2"/>
    <w:basedOn w:val="HeadingBase"/>
    <w:rsid w:val="004F3CA2"/>
    <w:pPr>
      <w:spacing w:before="240" w:after="60"/>
    </w:pPr>
    <w:rPr>
      <w:sz w:val="20"/>
    </w:rPr>
  </w:style>
  <w:style w:type="paragraph" w:customStyle="1" w:styleId="SubHeading1">
    <w:name w:val="SubHeading1"/>
    <w:basedOn w:val="HeadingBase"/>
    <w:rsid w:val="004F3CA2"/>
    <w:pPr>
      <w:spacing w:before="240" w:after="60"/>
    </w:pPr>
    <w:rPr>
      <w:color w:val="918585"/>
      <w:sz w:val="22"/>
    </w:rPr>
  </w:style>
  <w:style w:type="paragraph" w:customStyle="1" w:styleId="SideHeading">
    <w:name w:val="Side Heading"/>
    <w:basedOn w:val="HeadingBase"/>
    <w:rsid w:val="004F3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CA2"/>
    <w:pPr>
      <w:numPr>
        <w:numId w:val="10"/>
      </w:numPr>
    </w:pPr>
  </w:style>
  <w:style w:type="paragraph" w:styleId="PlainText">
    <w:name w:val="Plain Text"/>
    <w:basedOn w:val="Normal"/>
    <w:link w:val="PlainTextChar"/>
    <w:rsid w:val="004F3CA2"/>
    <w:rPr>
      <w:sz w:val="20"/>
    </w:rPr>
  </w:style>
  <w:style w:type="character" w:customStyle="1" w:styleId="PlainTextChar">
    <w:name w:val="Plain Text Char"/>
    <w:basedOn w:val="DefaultParagraphFont"/>
    <w:link w:val="PlainText"/>
    <w:rsid w:val="004F3CA2"/>
    <w:rPr>
      <w:rFonts w:ascii="Courier New" w:eastAsia="Times New Roman" w:hAnsi="Courier New" w:cs="Times New Roman"/>
      <w:sz w:val="20"/>
      <w:szCs w:val="20"/>
      <w:lang w:eastAsia="en-US"/>
    </w:rPr>
  </w:style>
  <w:style w:type="character" w:customStyle="1" w:styleId="MenuOption">
    <w:name w:val="Menu Option"/>
    <w:basedOn w:val="DefaultParagraphFont"/>
    <w:rsid w:val="004F3CA2"/>
    <w:rPr>
      <w:b/>
      <w:smallCaps/>
    </w:rPr>
  </w:style>
  <w:style w:type="paragraph" w:customStyle="1" w:styleId="TableListNumber">
    <w:name w:val="Table List Number"/>
    <w:basedOn w:val="ListNumber"/>
    <w:rsid w:val="004F3CA2"/>
    <w:pPr>
      <w:numPr>
        <w:numId w:val="0"/>
      </w:numPr>
    </w:pPr>
  </w:style>
  <w:style w:type="paragraph" w:styleId="TOC4">
    <w:name w:val="toc 4"/>
    <w:basedOn w:val="TOCBase"/>
    <w:next w:val="Normal"/>
    <w:semiHidden/>
    <w:rsid w:val="004F3CA2"/>
    <w:pPr>
      <w:tabs>
        <w:tab w:val="right" w:leader="dot" w:pos="9071"/>
      </w:tabs>
      <w:ind w:left="1701"/>
    </w:pPr>
  </w:style>
  <w:style w:type="paragraph" w:customStyle="1" w:styleId="ListAlpha">
    <w:name w:val="List Alpha"/>
    <w:basedOn w:val="List"/>
    <w:rsid w:val="004F3CA2"/>
    <w:pPr>
      <w:numPr>
        <w:numId w:val="7"/>
      </w:numPr>
    </w:pPr>
  </w:style>
  <w:style w:type="paragraph" w:customStyle="1" w:styleId="ListAlpha2">
    <w:name w:val="List Alpha 2"/>
    <w:basedOn w:val="List2"/>
    <w:rsid w:val="004F3CA2"/>
    <w:pPr>
      <w:numPr>
        <w:numId w:val="6"/>
      </w:numPr>
    </w:pPr>
  </w:style>
  <w:style w:type="paragraph" w:styleId="List2">
    <w:name w:val="List 2"/>
    <w:basedOn w:val="BodyText"/>
    <w:rsid w:val="004F3CA2"/>
    <w:pPr>
      <w:tabs>
        <w:tab w:val="left" w:pos="680"/>
      </w:tabs>
      <w:spacing w:before="60" w:after="60"/>
      <w:ind w:left="680" w:hanging="340"/>
    </w:pPr>
  </w:style>
  <w:style w:type="paragraph" w:styleId="List3">
    <w:name w:val="List 3"/>
    <w:basedOn w:val="BodyText"/>
    <w:rsid w:val="004F3CA2"/>
    <w:pPr>
      <w:tabs>
        <w:tab w:val="left" w:pos="1021"/>
      </w:tabs>
      <w:spacing w:before="60" w:after="60"/>
      <w:ind w:left="1020" w:hanging="340"/>
    </w:pPr>
  </w:style>
  <w:style w:type="paragraph" w:styleId="List4">
    <w:name w:val="List 4"/>
    <w:basedOn w:val="BodyText"/>
    <w:rsid w:val="004F3CA2"/>
    <w:pPr>
      <w:tabs>
        <w:tab w:val="left" w:pos="1361"/>
      </w:tabs>
      <w:spacing w:before="60" w:after="60"/>
      <w:ind w:left="1361" w:hanging="340"/>
    </w:pPr>
  </w:style>
  <w:style w:type="paragraph" w:styleId="List5">
    <w:name w:val="List 5"/>
    <w:basedOn w:val="BodyText"/>
    <w:rsid w:val="004F3CA2"/>
    <w:pPr>
      <w:tabs>
        <w:tab w:val="left" w:pos="1701"/>
      </w:tabs>
      <w:spacing w:before="60" w:after="60"/>
      <w:ind w:left="1701" w:hanging="340"/>
    </w:pPr>
  </w:style>
  <w:style w:type="paragraph" w:styleId="ListBullet3">
    <w:name w:val="List Bullet 3"/>
    <w:basedOn w:val="List3"/>
    <w:rsid w:val="004F3CA2"/>
    <w:pPr>
      <w:numPr>
        <w:numId w:val="13"/>
      </w:numPr>
      <w:tabs>
        <w:tab w:val="clear" w:pos="1021"/>
      </w:tabs>
      <w:ind w:left="1037" w:hanging="357"/>
    </w:pPr>
  </w:style>
  <w:style w:type="paragraph" w:styleId="ListBullet4">
    <w:name w:val="List Bullet 4"/>
    <w:basedOn w:val="List4"/>
    <w:rsid w:val="004F3CA2"/>
    <w:pPr>
      <w:numPr>
        <w:numId w:val="1"/>
      </w:numPr>
    </w:pPr>
  </w:style>
  <w:style w:type="paragraph" w:styleId="ListBullet5">
    <w:name w:val="List Bullet 5"/>
    <w:basedOn w:val="List5"/>
    <w:rsid w:val="004F3CA2"/>
    <w:pPr>
      <w:numPr>
        <w:numId w:val="2"/>
      </w:numPr>
    </w:pPr>
  </w:style>
  <w:style w:type="paragraph" w:styleId="ListContinue2">
    <w:name w:val="List Continue 2"/>
    <w:basedOn w:val="List2"/>
    <w:rsid w:val="004F3CA2"/>
    <w:pPr>
      <w:ind w:firstLine="0"/>
    </w:pPr>
  </w:style>
  <w:style w:type="paragraph" w:styleId="ListContinue3">
    <w:name w:val="List Continue 3"/>
    <w:basedOn w:val="List3"/>
    <w:rsid w:val="004F3CA2"/>
    <w:pPr>
      <w:ind w:left="1021" w:firstLine="0"/>
    </w:pPr>
  </w:style>
  <w:style w:type="paragraph" w:styleId="ListContinue4">
    <w:name w:val="List Continue 4"/>
    <w:basedOn w:val="List4"/>
    <w:rsid w:val="004F3CA2"/>
    <w:pPr>
      <w:ind w:firstLine="0"/>
    </w:pPr>
  </w:style>
  <w:style w:type="paragraph" w:styleId="ListContinue5">
    <w:name w:val="List Continue 5"/>
    <w:basedOn w:val="List5"/>
    <w:rsid w:val="004F3CA2"/>
    <w:pPr>
      <w:ind w:firstLine="0"/>
    </w:pPr>
  </w:style>
  <w:style w:type="paragraph" w:styleId="ListNumber3">
    <w:name w:val="List Number 3"/>
    <w:basedOn w:val="List3"/>
    <w:rsid w:val="004F3CA2"/>
    <w:pPr>
      <w:numPr>
        <w:numId w:val="3"/>
      </w:numPr>
    </w:pPr>
  </w:style>
  <w:style w:type="paragraph" w:styleId="ListNumber4">
    <w:name w:val="List Number 4"/>
    <w:basedOn w:val="List4"/>
    <w:rsid w:val="004F3CA2"/>
    <w:pPr>
      <w:numPr>
        <w:numId w:val="4"/>
      </w:numPr>
    </w:pPr>
  </w:style>
  <w:style w:type="paragraph" w:styleId="ListNumber5">
    <w:name w:val="List Number 5"/>
    <w:basedOn w:val="List5"/>
    <w:rsid w:val="004F3CA2"/>
    <w:pPr>
      <w:numPr>
        <w:numId w:val="5"/>
      </w:numPr>
    </w:pPr>
  </w:style>
  <w:style w:type="paragraph" w:styleId="BlockText">
    <w:name w:val="Block Text"/>
    <w:basedOn w:val="Normal"/>
    <w:rsid w:val="004F3CA2"/>
    <w:pPr>
      <w:spacing w:after="120"/>
      <w:ind w:left="1440" w:right="1440"/>
    </w:pPr>
  </w:style>
  <w:style w:type="character" w:customStyle="1" w:styleId="Subscript">
    <w:name w:val="Subscript"/>
    <w:basedOn w:val="DefaultParagraphFont"/>
    <w:rsid w:val="004F3CA2"/>
    <w:rPr>
      <w:sz w:val="16"/>
      <w:vertAlign w:val="subscript"/>
    </w:rPr>
  </w:style>
  <w:style w:type="character" w:customStyle="1" w:styleId="Superscript">
    <w:name w:val="Superscript"/>
    <w:basedOn w:val="DefaultParagraphFont"/>
    <w:rsid w:val="004F3CA2"/>
    <w:rPr>
      <w:sz w:val="16"/>
      <w:vertAlign w:val="superscript"/>
    </w:rPr>
  </w:style>
  <w:style w:type="character" w:customStyle="1" w:styleId="Symbols">
    <w:name w:val="Symbols"/>
    <w:basedOn w:val="DefaultParagraphFont"/>
    <w:rsid w:val="004F3CA2"/>
    <w:rPr>
      <w:rFonts w:ascii="Symbol" w:hAnsi="Symbol"/>
    </w:rPr>
  </w:style>
  <w:style w:type="character" w:customStyle="1" w:styleId="MenuOptions">
    <w:name w:val="Menu Options"/>
    <w:basedOn w:val="DefaultParagraphFont"/>
    <w:rsid w:val="004F3CA2"/>
    <w:rPr>
      <w:rFonts w:ascii="Arial Narrow" w:hAnsi="Arial Narrow"/>
      <w:smallCaps/>
    </w:rPr>
  </w:style>
  <w:style w:type="character" w:customStyle="1" w:styleId="Buttons">
    <w:name w:val="Buttons"/>
    <w:basedOn w:val="DefaultParagraphFont"/>
    <w:rsid w:val="004F3CA2"/>
    <w:rPr>
      <w:b/>
    </w:rPr>
  </w:style>
  <w:style w:type="character" w:customStyle="1" w:styleId="Underlined">
    <w:name w:val="Underlined"/>
    <w:basedOn w:val="DefaultParagraphFont"/>
    <w:rsid w:val="004F3CA2"/>
    <w:rPr>
      <w:u w:val="single"/>
    </w:rPr>
  </w:style>
  <w:style w:type="paragraph" w:customStyle="1" w:styleId="TableBodyTextRight">
    <w:name w:val="Table Body Text Right"/>
    <w:basedOn w:val="TableBodyText"/>
    <w:rsid w:val="004F3CA2"/>
    <w:pPr>
      <w:widowControl w:val="0"/>
      <w:autoSpaceDE w:val="0"/>
      <w:autoSpaceDN w:val="0"/>
      <w:adjustRightInd w:val="0"/>
      <w:jc w:val="right"/>
    </w:pPr>
    <w:rPr>
      <w:rFonts w:cs="Arial"/>
      <w:szCs w:val="18"/>
    </w:rPr>
  </w:style>
  <w:style w:type="paragraph" w:customStyle="1" w:styleId="CopyrightText">
    <w:name w:val="Copyright Text"/>
    <w:basedOn w:val="BodyText"/>
    <w:rsid w:val="004F3CA2"/>
    <w:rPr>
      <w:sz w:val="18"/>
    </w:rPr>
  </w:style>
  <w:style w:type="paragraph" w:customStyle="1" w:styleId="BodySmallRight">
    <w:name w:val="Body Small Right"/>
    <w:basedOn w:val="BodyTextRight"/>
    <w:rsid w:val="004F3CA2"/>
    <w:rPr>
      <w:sz w:val="18"/>
      <w:szCs w:val="18"/>
    </w:rPr>
  </w:style>
  <w:style w:type="paragraph" w:customStyle="1" w:styleId="MarginEdition">
    <w:name w:val="Margin Edition"/>
    <w:basedOn w:val="MarginNote"/>
    <w:rsid w:val="004F3CA2"/>
    <w:pPr>
      <w:spacing w:before="0" w:after="0"/>
    </w:pPr>
    <w:rPr>
      <w:rFonts w:ascii="Times New Roman" w:hAnsi="Times New Roman"/>
      <w:color w:val="999999"/>
    </w:rPr>
  </w:style>
  <w:style w:type="paragraph" w:customStyle="1" w:styleId="Spacer">
    <w:name w:val="Spacer"/>
    <w:basedOn w:val="Normal"/>
    <w:rsid w:val="004F3CA2"/>
    <w:rPr>
      <w:sz w:val="2"/>
      <w:szCs w:val="2"/>
    </w:rPr>
  </w:style>
  <w:style w:type="character" w:customStyle="1" w:styleId="Small">
    <w:name w:val="Small"/>
    <w:basedOn w:val="DefaultParagraphFont"/>
    <w:rsid w:val="004F3CA2"/>
    <w:rPr>
      <w:sz w:val="16"/>
    </w:rPr>
  </w:style>
  <w:style w:type="paragraph" w:customStyle="1" w:styleId="WideTable">
    <w:name w:val="Wide Table"/>
    <w:basedOn w:val="Normal"/>
    <w:rsid w:val="004F3CA2"/>
    <w:pPr>
      <w:ind w:left="-1418"/>
    </w:pPr>
    <w:rPr>
      <w:sz w:val="2"/>
      <w:szCs w:val="2"/>
    </w:rPr>
  </w:style>
  <w:style w:type="character" w:styleId="PageNumber">
    <w:name w:val="page number"/>
    <w:basedOn w:val="DefaultParagraphFont"/>
    <w:rsid w:val="004F3CA2"/>
  </w:style>
  <w:style w:type="paragraph" w:styleId="Quote">
    <w:name w:val="Quote"/>
    <w:basedOn w:val="Heading1"/>
    <w:link w:val="QuoteChar"/>
    <w:qFormat/>
    <w:rsid w:val="004F3CA2"/>
    <w:rPr>
      <w:b w:val="0"/>
      <w:sz w:val="72"/>
      <w:szCs w:val="72"/>
      <w:lang w:val="en-NZ"/>
    </w:rPr>
  </w:style>
  <w:style w:type="character" w:customStyle="1" w:styleId="QuoteChar">
    <w:name w:val="Quote Char"/>
    <w:basedOn w:val="DefaultParagraphFont"/>
    <w:link w:val="Quote"/>
    <w:rsid w:val="004F3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CA2"/>
    <w:pPr>
      <w:pageBreakBefore/>
    </w:pPr>
  </w:style>
  <w:style w:type="paragraph" w:customStyle="1" w:styleId="Border">
    <w:name w:val="Border"/>
    <w:basedOn w:val="Normal"/>
    <w:qFormat/>
    <w:rsid w:val="004F3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CA2"/>
    <w:rPr>
      <w:b/>
      <w:bCs/>
      <w:i/>
      <w:iCs/>
      <w:color w:val="auto"/>
    </w:rPr>
  </w:style>
  <w:style w:type="paragraph" w:styleId="IntenseQuote">
    <w:name w:val="Intense Quote"/>
    <w:basedOn w:val="Normal"/>
    <w:next w:val="Normal"/>
    <w:link w:val="IntenseQuoteChar"/>
    <w:uiPriority w:val="30"/>
    <w:qFormat/>
    <w:rsid w:val="004F3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CA2"/>
    <w:rPr>
      <w:smallCaps/>
      <w:color w:val="auto"/>
      <w:u w:val="single"/>
    </w:rPr>
  </w:style>
  <w:style w:type="character" w:styleId="IntenseReference">
    <w:name w:val="Intense Reference"/>
    <w:basedOn w:val="DefaultParagraphFont"/>
    <w:uiPriority w:val="32"/>
    <w:qFormat/>
    <w:rsid w:val="004F3CA2"/>
    <w:rPr>
      <w:b/>
      <w:bCs/>
      <w:smallCaps/>
      <w:color w:val="auto"/>
      <w:spacing w:val="5"/>
      <w:u w:val="single"/>
    </w:rPr>
  </w:style>
  <w:style w:type="paragraph" w:customStyle="1" w:styleId="2ColumnHeading">
    <w:name w:val="2Column Heading"/>
    <w:basedOn w:val="BodyText"/>
    <w:qFormat/>
    <w:rsid w:val="004F3CA2"/>
    <w:pPr>
      <w:spacing w:after="60"/>
      <w:ind w:left="-2268"/>
    </w:pPr>
    <w:rPr>
      <w:b/>
    </w:rPr>
  </w:style>
  <w:style w:type="paragraph" w:customStyle="1" w:styleId="Heading1TOC">
    <w:name w:val="Heading1 TOC"/>
    <w:basedOn w:val="Normal"/>
    <w:qFormat/>
    <w:rsid w:val="004F3CA2"/>
    <w:pPr>
      <w:spacing w:before="240" w:after="120"/>
    </w:pPr>
    <w:rPr>
      <w:rFonts w:ascii="Times New Roman" w:hAnsi="Times New Roman"/>
      <w:b/>
      <w:sz w:val="32"/>
    </w:rPr>
  </w:style>
  <w:style w:type="paragraph" w:customStyle="1" w:styleId="Heading2TOC">
    <w:name w:val="Heading2 TOC"/>
    <w:basedOn w:val="Normal"/>
    <w:qFormat/>
    <w:rsid w:val="004F3CA2"/>
    <w:pPr>
      <w:spacing w:before="240" w:after="60"/>
    </w:pPr>
    <w:rPr>
      <w:rFonts w:ascii="Times New Roman" w:hAnsi="Times New Roman"/>
      <w:b/>
      <w:sz w:val="28"/>
    </w:rPr>
  </w:style>
  <w:style w:type="character" w:customStyle="1" w:styleId="Underline">
    <w:name w:val="Underline"/>
    <w:basedOn w:val="DefaultParagraphFont"/>
    <w:qFormat/>
    <w:rsid w:val="004F3CA2"/>
    <w:rPr>
      <w:u w:val="single"/>
    </w:rPr>
  </w:style>
  <w:style w:type="character" w:customStyle="1" w:styleId="BoldandItalics">
    <w:name w:val="Bold and Italics"/>
    <w:qFormat/>
    <w:rsid w:val="004F3CA2"/>
    <w:rPr>
      <w:b/>
      <w:i/>
      <w:u w:val="none"/>
    </w:rPr>
  </w:style>
  <w:style w:type="paragraph" w:styleId="BalloonText">
    <w:name w:val="Balloon Text"/>
    <w:basedOn w:val="Normal"/>
    <w:link w:val="BalloonTextChar"/>
    <w:rsid w:val="004F3CA2"/>
    <w:rPr>
      <w:rFonts w:ascii="Tahoma" w:hAnsi="Tahoma" w:cs="Tahoma"/>
      <w:sz w:val="16"/>
      <w:szCs w:val="16"/>
    </w:rPr>
  </w:style>
  <w:style w:type="character" w:customStyle="1" w:styleId="BalloonTextChar">
    <w:name w:val="Balloon Text Char"/>
    <w:basedOn w:val="DefaultParagraphFont"/>
    <w:link w:val="BalloonText"/>
    <w:rsid w:val="004F3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CA2"/>
    <w:rPr>
      <w:b/>
      <w:color w:val="660033"/>
      <w:spacing w:val="0"/>
    </w:rPr>
  </w:style>
  <w:style w:type="paragraph" w:customStyle="1" w:styleId="Nameditemlist">
    <w:name w:val="Named item list"/>
    <w:basedOn w:val="BodyText"/>
    <w:qFormat/>
    <w:rsid w:val="004F3C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2655</Words>
  <Characters>16468</Characters>
  <Application>Microsoft Office Word</Application>
  <DocSecurity>0</DocSecurity>
  <Lines>648</Lines>
  <Paragraphs>256</Paragraphs>
  <ScaleCrop>false</ScaleCrop>
  <Company>Author-it Software Corporation Ltd.</Company>
  <LinksUpToDate>false</LinksUpToDate>
  <CharactersWithSpaces>18952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ICTTC137C Install, maintain and modify customer premises communications cabling: ACMA Open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2012-10-05T13:55:00Z</dcterms:created>
  <dcterms:modified xsi:type="dcterms:W3CDTF">2012-10-05T13:55:00Z</dcterms:modified>
</cp:coreProperties>
</file>