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55B" w:rsidP="0011255B">
      <w:pPr>
        <w:pStyle w:val="Title"/>
      </w:pPr>
      <w:bookmarkStart w:id="0" w:name="_GoBack"/>
      <w:bookmarkEnd w:id="0"/>
      <w:r>
        <w:fldChar w:fldCharType="begin"/>
      </w:r>
      <w:r>
        <w:instrText xml:space="preserve"> TITLE   \* MERGEFORMAT </w:instrText>
      </w:r>
      <w:r>
        <w:fldChar w:fldCharType="separate"/>
      </w:r>
      <w:r>
        <w:t>ICTTC136B Install, maintain and modify customer premises communications cabling: ACA Restricted Rule</w:t>
      </w:r>
      <w:r>
        <w:fldChar w:fldCharType="end"/>
      </w:r>
    </w:p>
    <w:p w:rsidR="0011255B" w:rsidP="0011255B">
      <w:pPr>
        <w:pStyle w:val="Version"/>
        <w:sectPr w:rsidSect="001019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99C" w:rsidP="0010199C">
      <w:pPr>
        <w:pStyle w:val="SuperHeading"/>
      </w:pPr>
      <w:r w:rsidRPr="0010199C">
        <w:t>ICTTC136B Install, maintain and modify customer premises communications cabling: ACA Restricted Rule</w:t>
      </w:r>
    </w:p>
    <w:p w:rsidR="00000000" w:rsidRPr="0010199C" w:rsidP="0010199C">
      <w:pPr>
        <w:pStyle w:val="Heading1"/>
      </w:pPr>
      <w:bookmarkStart w:id="1" w:name="O_324964"/>
      <w:bookmarkEnd w:id="1"/>
      <w:r w:rsidRPr="0010199C">
        <w:t>Modification History</w:t>
      </w:r>
    </w:p>
    <w:p w:rsidR="00000000" w:rsidRPr="0010199C" w:rsidP="0010199C">
      <w:pPr>
        <w:pStyle w:val="BodyText"/>
      </w:pPr>
      <w:r w:rsidRPr="0010199C">
        <w:t>Not applicable.</w:t>
      </w:r>
    </w:p>
    <w:p w:rsidR="00000000" w:rsidRPr="0010199C" w:rsidP="0010199C">
      <w:pPr>
        <w:pStyle w:val="AllowPageBreak"/>
      </w:pPr>
    </w:p>
    <w:p w:rsidR="00000000" w:rsidRPr="0010199C" w:rsidP="0010199C">
      <w:pPr>
        <w:pStyle w:val="Heading1"/>
      </w:pPr>
      <w:bookmarkStart w:id="2" w:name="O_324963"/>
      <w:bookmarkEnd w:id="2"/>
      <w:r w:rsidRPr="0010199C">
        <w:t>Unit Descriptor</w:t>
      </w:r>
    </w:p>
    <w:p w:rsidR="00000000" w:rsidRPr="0010199C" w:rsidP="0010199C">
      <w:pPr>
        <w:pStyle w:val="BodyText"/>
      </w:pPr>
      <w:r w:rsidRPr="0010199C">
        <w:t>This unit defines the level of competence that is required for the purpose of the Australian Communications Authority's "</w:t>
      </w:r>
      <w:r w:rsidRPr="0010199C">
        <w:rPr>
          <w:rStyle w:val="SpecialBold"/>
        </w:rPr>
        <w:t>Restricted</w:t>
      </w:r>
      <w:r w:rsidRPr="0010199C">
        <w:t>" Cabling Provider Rule.  Restricted cabling is used in typical domestic premises small office home offi</w:t>
      </w:r>
      <w:r w:rsidRPr="0010199C">
        <w:t>ces and small business premises situations.  Restricted cablers can install cable in large commercial and industrial premises as long as the cabling is behind a compliant device and cabling is not via jumperable distributors or patch panels.</w:t>
      </w:r>
    </w:p>
    <w:p w:rsidR="00000000" w:rsidRPr="0010199C" w:rsidP="0010199C">
      <w:pPr>
        <w:pStyle w:val="BodyText"/>
      </w:pPr>
      <w:r w:rsidRPr="0010199C">
        <w:t>This unit appl</w:t>
      </w:r>
      <w:r w:rsidRPr="0010199C">
        <w:t>ies to customer cabling terminated on sockets and network termination devices (NTD).  It applies to the installation, maintenance and modification of indoor and external cabling at the levels stated in the range of variables.</w:t>
      </w:r>
    </w:p>
    <w:p w:rsidR="00000000" w:rsidRPr="0010199C" w:rsidP="0010199C">
      <w:pPr>
        <w:pStyle w:val="BodyText"/>
      </w:pPr>
      <w:r w:rsidRPr="0010199C">
        <w:t>Customer cabling, for the purp</w:t>
      </w:r>
      <w:r w:rsidRPr="0010199C">
        <w:t>ose of this standard, may be used to connect devices for a range of applications including:  telecommunications (phones, facsimile and answering machines), simple data and computer use, security alarm panels, and fire control panels.</w:t>
      </w:r>
    </w:p>
    <w:p w:rsidR="00000000" w:rsidRPr="0010199C" w:rsidP="0010199C">
      <w:pPr>
        <w:pStyle w:val="BodyText"/>
      </w:pPr>
      <w:r w:rsidRPr="0010199C">
        <w:rPr>
          <w:rStyle w:val="SpecialBold"/>
        </w:rPr>
        <w:t xml:space="preserve">Assessment by a TITAB </w:t>
      </w:r>
      <w:r w:rsidRPr="0010199C">
        <w:rPr>
          <w:rStyle w:val="SpecialBold"/>
        </w:rPr>
        <w:t>registered assessor is recommended</w:t>
      </w:r>
      <w:r w:rsidRPr="0010199C">
        <w:t>.</w:t>
      </w:r>
    </w:p>
    <w:p w:rsidR="00000000" w:rsidRPr="0010199C" w:rsidP="0010199C">
      <w:pPr>
        <w:pStyle w:val="BodyText"/>
      </w:pPr>
      <w:r w:rsidRPr="0010199C">
        <w:rPr>
          <w:rStyle w:val="SpecialBold"/>
        </w:rPr>
        <w:t>Prerequisite Units</w:t>
      </w:r>
      <w:r w:rsidRPr="0010199C">
        <w:t>: Nil</w:t>
      </w:r>
    </w:p>
    <w:p w:rsidR="00000000" w:rsidRPr="0010199C" w:rsidP="0010199C">
      <w:pPr>
        <w:pStyle w:val="BodyText"/>
      </w:pPr>
      <w:r w:rsidRPr="0010199C">
        <w:rPr>
          <w:rStyle w:val="SpecialBold"/>
        </w:rPr>
        <w:t>Equivalent Units</w:t>
      </w:r>
      <w:r w:rsidRPr="0010199C">
        <w:t>:  Nil</w:t>
      </w:r>
    </w:p>
    <w:p w:rsidR="00000000" w:rsidRPr="0010199C" w:rsidP="0010199C">
      <w:pPr>
        <w:pStyle w:val="BodyText"/>
      </w:pPr>
      <w:r w:rsidRPr="0010199C">
        <w:t>This unit defines the level of competence that is required for the purpose of the Australian Communications Authority's "</w:t>
      </w:r>
      <w:r w:rsidRPr="0010199C">
        <w:rPr>
          <w:rStyle w:val="SpecialBold"/>
        </w:rPr>
        <w:t>Restricted</w:t>
      </w:r>
      <w:r w:rsidRPr="0010199C">
        <w:t>" Cabling Provider Rule.  Restricted cabli</w:t>
      </w:r>
      <w:r w:rsidRPr="0010199C">
        <w:t>ng is used in typical domestic premises small office home offices and small business premises situations.  Restricted cablers can install cable in large commercial and industrial premises as long as the cabling is behind a compliant device and cabling is n</w:t>
      </w:r>
      <w:r w:rsidRPr="0010199C">
        <w:t>ot via jumperable distributors or patch panels.</w:t>
      </w:r>
    </w:p>
    <w:p w:rsidR="00000000" w:rsidRPr="0010199C" w:rsidP="0010199C">
      <w:pPr>
        <w:pStyle w:val="BodyText"/>
      </w:pPr>
      <w:r w:rsidRPr="0010199C">
        <w:t>This unit applies to customer cabling terminated on sockets and network termination devices (NTD).  It applies to the installation, maintenance and modification of indoor and external cabling at the levels st</w:t>
      </w:r>
      <w:r w:rsidRPr="0010199C">
        <w:t>ated in the range of variables.</w:t>
      </w:r>
    </w:p>
    <w:p w:rsidR="00000000" w:rsidRPr="0010199C" w:rsidP="0010199C">
      <w:pPr>
        <w:pStyle w:val="BodyText"/>
      </w:pPr>
      <w:r w:rsidRPr="0010199C">
        <w:t>Customer cabling, for the purpose of this standard, may be used to connect devices for a range of applications including:  telecommunications (phones, facsimile and answering machines), simple data and computer use, security</w:t>
      </w:r>
      <w:r w:rsidRPr="0010199C">
        <w:t xml:space="preserve"> alarm panels, and fire control panels.</w:t>
      </w:r>
    </w:p>
    <w:p w:rsidR="00000000" w:rsidRPr="0010199C" w:rsidP="0010199C">
      <w:pPr>
        <w:pStyle w:val="BodyText"/>
      </w:pPr>
      <w:r w:rsidRPr="0010199C">
        <w:rPr>
          <w:rStyle w:val="SpecialBold"/>
        </w:rPr>
        <w:t>Assessment by a TITAB registered assessor is recommended</w:t>
      </w:r>
      <w:r w:rsidRPr="0010199C">
        <w:t>.</w:t>
      </w:r>
    </w:p>
    <w:p w:rsidR="00000000" w:rsidRPr="0010199C" w:rsidP="0010199C">
      <w:pPr>
        <w:pStyle w:val="BodyText"/>
      </w:pPr>
      <w:r w:rsidRPr="0010199C">
        <w:rPr>
          <w:rStyle w:val="SpecialBold"/>
        </w:rPr>
        <w:t>Prerequisite Units</w:t>
      </w:r>
      <w:r w:rsidRPr="0010199C">
        <w:t>: Nil</w:t>
      </w:r>
    </w:p>
    <w:p w:rsidR="00000000" w:rsidRPr="0010199C" w:rsidP="0010199C">
      <w:pPr>
        <w:pStyle w:val="BodyText"/>
      </w:pPr>
      <w:r w:rsidRPr="0010199C">
        <w:rPr>
          <w:rStyle w:val="SpecialBold"/>
        </w:rPr>
        <w:t>Equivalent Units</w:t>
      </w:r>
      <w:r w:rsidRPr="0010199C">
        <w:t>:  Nil</w:t>
      </w:r>
    </w:p>
    <w:p w:rsidR="00000000" w:rsidRPr="0010199C" w:rsidP="0010199C">
      <w:pPr>
        <w:pStyle w:val="AllowPageBreak"/>
      </w:pPr>
    </w:p>
    <w:p w:rsidR="00000000" w:rsidRPr="0010199C" w:rsidP="0010199C">
      <w:pPr>
        <w:pStyle w:val="Heading1"/>
      </w:pPr>
      <w:bookmarkStart w:id="3" w:name="O_324962"/>
      <w:bookmarkEnd w:id="3"/>
      <w:r w:rsidRPr="0010199C">
        <w:t>Application of the Unit</w:t>
      </w:r>
    </w:p>
    <w:p w:rsidR="00000000" w:rsidRPr="0010199C" w:rsidP="0010199C">
      <w:pPr>
        <w:pStyle w:val="BodyText"/>
      </w:pPr>
      <w:r w:rsidRPr="0010199C">
        <w:t>Not applicable.</w:t>
      </w:r>
    </w:p>
    <w:p w:rsidR="00000000" w:rsidRPr="0010199C" w:rsidP="0010199C">
      <w:pPr>
        <w:pStyle w:val="AllowPageBreak"/>
      </w:pPr>
    </w:p>
    <w:p w:rsidR="00000000" w:rsidRPr="0010199C" w:rsidP="0010199C">
      <w:pPr>
        <w:pStyle w:val="Heading1"/>
      </w:pPr>
      <w:bookmarkStart w:id="4" w:name="O_324961"/>
      <w:bookmarkEnd w:id="4"/>
      <w:r w:rsidRPr="0010199C">
        <w:t>Licensing/Regulatory Information</w:t>
      </w:r>
    </w:p>
    <w:p w:rsidR="00000000" w:rsidRPr="0010199C" w:rsidP="0010199C">
      <w:pPr>
        <w:pStyle w:val="BodyText"/>
      </w:pPr>
      <w:r w:rsidRPr="0010199C">
        <w:t>Not applicable.</w:t>
      </w:r>
    </w:p>
    <w:p w:rsidR="00000000" w:rsidRPr="0010199C" w:rsidP="0010199C">
      <w:pPr>
        <w:pStyle w:val="AllowPageBreak"/>
      </w:pPr>
    </w:p>
    <w:p w:rsidR="00000000" w:rsidRPr="0010199C" w:rsidP="0010199C">
      <w:pPr>
        <w:pStyle w:val="Heading1"/>
      </w:pPr>
      <w:bookmarkStart w:id="5" w:name="O_324960"/>
      <w:bookmarkEnd w:id="5"/>
      <w:r w:rsidRPr="0010199C">
        <w:t>Pre-Requisites</w:t>
      </w:r>
    </w:p>
    <w:p w:rsidR="00000000" w:rsidRPr="0010199C" w:rsidP="0010199C">
      <w:pPr>
        <w:pStyle w:val="BodyText"/>
      </w:pPr>
      <w:r w:rsidRPr="0010199C">
        <w:t>Not applicable.</w:t>
      </w:r>
    </w:p>
    <w:p w:rsidR="00000000" w:rsidRPr="0010199C" w:rsidP="0010199C">
      <w:pPr>
        <w:pStyle w:val="AllowPageBreak"/>
      </w:pPr>
    </w:p>
    <w:p w:rsidR="00000000" w:rsidRPr="0010199C" w:rsidP="0010199C">
      <w:pPr>
        <w:pStyle w:val="Heading1"/>
      </w:pPr>
      <w:bookmarkStart w:id="6" w:name="O_324954"/>
      <w:bookmarkEnd w:id="6"/>
      <w:r w:rsidRPr="0010199C">
        <w:t>Employability Skills Information</w:t>
      </w:r>
    </w:p>
    <w:p w:rsidR="00000000" w:rsidRPr="0010199C" w:rsidP="0010199C">
      <w:pPr>
        <w:pStyle w:val="BodyText"/>
      </w:pPr>
      <w:r w:rsidRPr="0010199C">
        <w:t>Not applicable.</w:t>
      </w:r>
    </w:p>
    <w:p w:rsidR="00000000" w:rsidRPr="0010199C" w:rsidP="0010199C">
      <w:pPr>
        <w:pStyle w:val="AllowPageBreak"/>
      </w:pPr>
    </w:p>
    <w:p w:rsidR="00000000" w:rsidRPr="0010199C" w:rsidP="0010199C">
      <w:pPr>
        <w:pStyle w:val="Heading1"/>
      </w:pPr>
      <w:bookmarkStart w:id="7" w:name="O_324959"/>
      <w:bookmarkEnd w:id="7"/>
      <w:r w:rsidRPr="0010199C">
        <w:t>Elements and Performance Criteria Pre-Content</w:t>
      </w:r>
    </w:p>
    <w:p w:rsidR="00000000" w:rsidRPr="0010199C" w:rsidP="0010199C">
      <w:pPr>
        <w:pStyle w:val="BodyText"/>
      </w:pPr>
      <w:r w:rsidRPr="0010199C">
        <w:t>Not applicable.</w:t>
      </w:r>
    </w:p>
    <w:p w:rsidR="00000000" w:rsidRPr="0010199C" w:rsidP="0010199C">
      <w:pPr>
        <w:pStyle w:val="AllowPageBreak"/>
      </w:pPr>
    </w:p>
    <w:p w:rsidR="00000000" w:rsidRPr="0010199C" w:rsidP="0010199C">
      <w:pPr>
        <w:pStyle w:val="Heading1"/>
      </w:pPr>
      <w:bookmarkStart w:id="8" w:name="O_324965"/>
      <w:bookmarkEnd w:id="8"/>
      <w:r w:rsidRPr="0010199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1255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rPr>
                <w:rStyle w:val="SpecialBold"/>
              </w:rPr>
              <w:t>Elements and Performance Criteria</w:t>
            </w:r>
          </w:p>
        </w:tc>
      </w:tr>
      <w:tr w:rsidTr="0011255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0199C" w:rsidP="0010199C">
            <w:pPr>
              <w:pStyle w:val="BodyText"/>
            </w:pPr>
            <w:r w:rsidRPr="0010199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rPr>
                <w:rStyle w:val="SpecialBold"/>
              </w:rPr>
              <w:t>Performance Criteria</w:t>
            </w:r>
          </w:p>
        </w:tc>
      </w:tr>
      <w:tr w:rsidTr="001125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1</w:t>
            </w:r>
          </w:p>
        </w:tc>
        <w:tc>
          <w:tcPr>
            <w:tcW w:w="3000" w:type="dxa"/>
            <w:vMerge w:val="restart"/>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Work within the constraints imposed by commercial premises</w:t>
            </w: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1.1</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Identify building infrastructure which places critical constraints on cabling</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1.2</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Develop strategies to manage other infrastructure in relation to cabling</w:t>
            </w:r>
          </w:p>
        </w:tc>
      </w:tr>
      <w:tr w:rsidTr="001125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2</w:t>
            </w:r>
          </w:p>
        </w:tc>
        <w:tc>
          <w:tcPr>
            <w:tcW w:w="3000" w:type="dxa"/>
            <w:vMerge w:val="restart"/>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Manage Remote Power Feed</w:t>
            </w: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2.1</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Identify the risks posed by contact with Remote Power Feeding services</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2.2</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Identify Remote Power Feeding services in a range of commonly encountered</w:t>
            </w:r>
            <w:r w:rsidRPr="0010199C">
              <w:t xml:space="preserve"> circumstances inside customer premises.</w:t>
            </w:r>
          </w:p>
        </w:tc>
      </w:tr>
      <w:tr w:rsidTr="001125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3</w:t>
            </w:r>
          </w:p>
        </w:tc>
        <w:tc>
          <w:tcPr>
            <w:tcW w:w="3000" w:type="dxa"/>
            <w:vMerge w:val="restart"/>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Install/alter cables and protective earth wires</w:t>
            </w: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3.1</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Cables/wires handled in accordance with manufacturer's application specifications including tension and bending stress requirements</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3.2</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Sources of possible damage to cable/wires are identified and avoided including hot pipes, sharp edges and cable burn</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3.3</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Sufficient excess is allowed at cable ends to facilitate termination</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3.4</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 xml:space="preserve">Cable is placed and secured to maintain safety and </w:t>
            </w:r>
            <w:r w:rsidRPr="0010199C">
              <w:t>interference segregation in accordance with legislative and industry standards</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3.5</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Cable ties not tightened to the point of causing cable sheath damage or transmission impairment and trimmed flush to pr</w:t>
            </w:r>
            <w:r w:rsidRPr="0010199C">
              <w:t>event risk of personal damage</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3.6</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Cables installed underground shall meet minimum depth of cover and segregation from hazardous electrical and other services as per AS/ACIF009</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3.7</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Aerial cables installed shall meet minimum clearance, segregation from</w:t>
            </w:r>
            <w:r w:rsidRPr="0010199C">
              <w:t xml:space="preserve"> hazardous electrical and other services and minimum height requirements as per AS/ACIF009</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3.8</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 xml:space="preserve">In accordance with AS/ACIF009, overvoltage protection devices are fitted to all cable pairs where required to suppress voltage surges and protect </w:t>
            </w:r>
            <w:r w:rsidRPr="0010199C">
              <w:t>from EPR hazards and the devices protectively earthed</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3.9</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Earth wire insulation is protected against damage and protective earths segregated in accordance with relevant industry and legislative standards</w:t>
            </w:r>
          </w:p>
        </w:tc>
      </w:tr>
      <w:tr w:rsidTr="001125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4</w:t>
            </w:r>
          </w:p>
        </w:tc>
        <w:tc>
          <w:tcPr>
            <w:tcW w:w="3000" w:type="dxa"/>
            <w:vMerge w:val="restart"/>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Terminate and test cables and earth wires</w:t>
            </w: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4.1</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Cable sheath removed to allow for correct termination length and without damage to underlying conductors and their insulation</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4.2</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NTD terminating modules are installed in accordance to manufacturer's specifications and cable pairs neatly an</w:t>
            </w:r>
            <w:r w:rsidRPr="0010199C">
              <w:t>d sequentially fanned for termination</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4.3</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Conductors are terminated in accordance with recommended colour code sequence using appropriate termination tools in the manufacturer's specified manner</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4.4</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Cable shield (if applicable) is earthed to manufact</w:t>
            </w:r>
            <w:r w:rsidRPr="0010199C">
              <w:t>urer's specifications and relevant industry codes of practice and AS/ACIF009</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4.5</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Visual inspection is undertaken to confirm termination colour code sequence has been followed prior to end to end testing of wire and pair termination integrity</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4.6</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Earth wires are terminated with connectors recommended by manufacturers in accordance with accepted industry codes of practice and AS/ACIF009</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4.7</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Earth wire continuity is maintained through out and interface requirements with electrical systems are obse</w:t>
            </w:r>
            <w:r w:rsidRPr="0010199C">
              <w:t>rved</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4.8</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Earthing installation shall be tested for continuity, insulation resistance and conductive resistance as per accepted industry standards including AS/ACIF009</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4.9</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Compatibility of alterations with existing systems is confirmed and new wok tested both in isolation and when integrated with existing systems</w:t>
            </w:r>
          </w:p>
        </w:tc>
      </w:tr>
      <w:tr w:rsidTr="001125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5</w:t>
            </w:r>
          </w:p>
        </w:tc>
        <w:tc>
          <w:tcPr>
            <w:tcW w:w="3000" w:type="dxa"/>
            <w:vMerge w:val="restart"/>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Inspect cable route to ensure correct separations</w:t>
            </w: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5.1</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Check separations along the entirety of the cable route</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5.2</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Rectify separations which do not comply with regulations</w:t>
            </w:r>
          </w:p>
        </w:tc>
      </w:tr>
      <w:tr w:rsidTr="001125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5.3</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Install barriers to achieve separations where spatial separation can't be met</w:t>
            </w:r>
          </w:p>
        </w:tc>
      </w:tr>
      <w:tr w:rsidTr="0011255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6</w:t>
            </w:r>
          </w:p>
        </w:tc>
        <w:tc>
          <w:tcPr>
            <w:tcW w:w="30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Create records</w:t>
            </w: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6.1</w:t>
            </w:r>
          </w:p>
        </w:tc>
        <w:tc>
          <w:tcPr>
            <w:tcW w:w="51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Complete TCA1 form and create NTD records</w:t>
            </w:r>
          </w:p>
        </w:tc>
      </w:tr>
      <w:tr w:rsidTr="0011255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7</w:t>
            </w:r>
          </w:p>
        </w:tc>
        <w:tc>
          <w:tcPr>
            <w:tcW w:w="30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Monitor work activity</w:t>
            </w:r>
          </w:p>
        </w:tc>
        <w:tc>
          <w:tcPr>
            <w:tcW w:w="500" w:type="dxa"/>
            <w:tcBorders>
              <w:top w:val="nil"/>
              <w:left w:val="nil"/>
              <w:bottom w:val="nil"/>
              <w:right w:val="nil"/>
            </w:tcBorders>
            <w:tcMar>
              <w:top w:w="0" w:type="dxa"/>
              <w:left w:w="62" w:type="dxa"/>
              <w:bottom w:w="0" w:type="dxa"/>
              <w:right w:w="62" w:type="dxa"/>
            </w:tcMar>
          </w:tcPr>
          <w:p w:rsidR="00000000" w:rsidP="0010199C">
            <w:pPr>
              <w:pStyle w:val="BodyText"/>
              <w:rPr>
                <w:lang w:val="en-NZ"/>
              </w:rPr>
            </w:pPr>
            <w:r w:rsidRPr="0010199C">
              <w:t>7.1</w:t>
            </w:r>
          </w:p>
        </w:tc>
        <w:tc>
          <w:tcPr>
            <w:tcW w:w="5100" w:type="dxa"/>
            <w:tcBorders>
              <w:top w:val="nil"/>
              <w:left w:val="nil"/>
              <w:bottom w:val="nil"/>
              <w:right w:val="nil"/>
            </w:tcBorders>
            <w:tcMar>
              <w:top w:w="0" w:type="dxa"/>
              <w:left w:w="62" w:type="dxa"/>
              <w:bottom w:w="0" w:type="dxa"/>
              <w:right w:w="62" w:type="dxa"/>
            </w:tcMar>
          </w:tcPr>
          <w:p w:rsidR="00000000" w:rsidRPr="0010199C" w:rsidP="0010199C">
            <w:pPr>
              <w:pStyle w:val="BodyText"/>
            </w:pPr>
            <w:r w:rsidRPr="0010199C">
              <w:t>Supervision of cablers not holding appropriate registration for the task is maintained to ensure installation/maintenance activity is in accordance with legislative requirements for safety and network integrity including AS/ACIF008 and AS/ACIF009</w:t>
            </w:r>
          </w:p>
        </w:tc>
      </w:tr>
    </w:tbl>
    <w:p w:rsidR="00000000" w:rsidRPr="0010199C" w:rsidP="0010199C">
      <w:pPr>
        <w:pStyle w:val="BodyText"/>
      </w:pPr>
    </w:p>
    <w:p w:rsidR="00000000" w:rsidRPr="0010199C" w:rsidP="0010199C">
      <w:pPr>
        <w:pStyle w:val="AllowPageBreak"/>
      </w:pPr>
    </w:p>
    <w:p w:rsidR="00000000" w:rsidRPr="0010199C" w:rsidP="0010199C">
      <w:pPr>
        <w:pStyle w:val="Heading1"/>
      </w:pPr>
      <w:bookmarkStart w:id="9" w:name="O_324958"/>
      <w:bookmarkEnd w:id="9"/>
      <w:r w:rsidRPr="0010199C">
        <w:t>Required Skills and Knowledge</w:t>
      </w:r>
    </w:p>
    <w:p w:rsidR="00000000" w:rsidRPr="0010199C" w:rsidP="0010199C">
      <w:pPr>
        <w:pStyle w:val="BodyText"/>
      </w:pPr>
      <w:r w:rsidRPr="0010199C">
        <w:t>Not applicable.</w:t>
      </w:r>
    </w:p>
    <w:p w:rsidR="00000000" w:rsidRPr="0010199C" w:rsidP="0010199C">
      <w:pPr>
        <w:pStyle w:val="AllowPageBreak"/>
      </w:pPr>
    </w:p>
    <w:p w:rsidR="00000000" w:rsidRPr="0010199C" w:rsidP="0010199C">
      <w:pPr>
        <w:pStyle w:val="Heading1"/>
      </w:pPr>
      <w:bookmarkStart w:id="10" w:name="O_324957"/>
      <w:bookmarkEnd w:id="10"/>
      <w:r w:rsidRPr="0010199C">
        <w:t>Evidence Guide</w:t>
      </w:r>
    </w:p>
    <w:p w:rsidR="00000000" w:rsidRPr="0010199C" w:rsidP="0010199C">
      <w:pPr>
        <w:pStyle w:val="BodyText"/>
      </w:pPr>
      <w:r w:rsidRPr="0010199C">
        <w:rPr>
          <w:rStyle w:val="SpecialBold"/>
        </w:rPr>
        <w:t>Assessment location and resources</w:t>
      </w:r>
    </w:p>
    <w:p w:rsidR="00000000" w:rsidRPr="0010199C" w:rsidP="0010199C">
      <w:pPr>
        <w:pStyle w:val="BodyText"/>
      </w:pPr>
      <w:r w:rsidRPr="0010199C">
        <w:t>Either</w:t>
      </w:r>
    </w:p>
    <w:p w:rsidR="00000000" w:rsidRPr="0010199C" w:rsidP="0010199C">
      <w:pPr>
        <w:pStyle w:val="BodyText"/>
      </w:pPr>
      <w:r w:rsidRPr="0010199C">
        <w:t>A workplace conducting the operations covered by this competency unit, equipment and resources relevant to the context of</w:t>
      </w:r>
      <w:r w:rsidRPr="0010199C">
        <w:t xml:space="preserve"> the work (See Range Statement) and support from a competent supervisor or mentor.</w:t>
      </w:r>
    </w:p>
    <w:p w:rsidR="00000000" w:rsidRPr="0010199C" w:rsidP="0010199C">
      <w:pPr>
        <w:pStyle w:val="BodyText"/>
      </w:pPr>
      <w:r w:rsidRPr="0010199C">
        <w:t>Or</w:t>
      </w:r>
    </w:p>
    <w:p w:rsidR="00000000" w:rsidRPr="0010199C" w:rsidP="0010199C">
      <w:pPr>
        <w:pStyle w:val="BodyText"/>
      </w:pPr>
      <w:r w:rsidRPr="0010199C">
        <w:t>A simulated environment with similar provisions which conforms to the Assessment Guidelines.</w:t>
      </w:r>
    </w:p>
    <w:p w:rsidR="00000000" w:rsidRPr="0010199C" w:rsidP="0010199C">
      <w:pPr>
        <w:pStyle w:val="BodyText"/>
      </w:pPr>
      <w:r w:rsidRPr="0010199C">
        <w:rPr>
          <w:rStyle w:val="SpecialBold"/>
        </w:rPr>
        <w:t>Critical evidence</w:t>
      </w:r>
    </w:p>
    <w:p w:rsidR="00000000" w:rsidRPr="0010199C" w:rsidP="0010199C">
      <w:pPr>
        <w:pStyle w:val="BodyText"/>
      </w:pPr>
      <w:r w:rsidRPr="0010199C">
        <w:t>Assessment candidates should produce evidence of the follow</w:t>
      </w:r>
      <w:r w:rsidRPr="0010199C">
        <w:t>ing:</w:t>
      </w:r>
    </w:p>
    <w:p w:rsidR="00000000" w:rsidRPr="0010199C" w:rsidP="0010199C">
      <w:pPr>
        <w:pStyle w:val="BodyText"/>
      </w:pPr>
      <w:r w:rsidRPr="0010199C">
        <w:t xml:space="preserve">Demonstration of a cabling installation including 3 types of telephone sockets, one network termination device (NTD) and one alarm panel including TCA1 compliance form. </w:t>
      </w:r>
    </w:p>
    <w:p w:rsidR="00000000" w:rsidRPr="0010199C" w:rsidP="0010199C">
      <w:pPr>
        <w:pStyle w:val="BodyText"/>
      </w:pPr>
      <w:r w:rsidRPr="0010199C">
        <w:t xml:space="preserve">Accurate application of cable conductor identification codes. </w:t>
      </w:r>
    </w:p>
    <w:p w:rsidR="00000000" w:rsidRPr="0010199C" w:rsidP="0010199C">
      <w:pPr>
        <w:pStyle w:val="BodyText"/>
      </w:pPr>
      <w:r w:rsidRPr="0010199C">
        <w:t>Conduct and interp</w:t>
      </w:r>
      <w:r w:rsidRPr="0010199C">
        <w:t xml:space="preserve">ret cable test results. </w:t>
      </w:r>
    </w:p>
    <w:p w:rsidR="00000000" w:rsidRPr="0010199C" w:rsidP="0010199C">
      <w:pPr>
        <w:pStyle w:val="BodyText"/>
      </w:pPr>
      <w:r w:rsidRPr="0010199C">
        <w:t>Correct interpretation and application of standards and regulations.</w:t>
      </w:r>
    </w:p>
    <w:p w:rsidR="00000000" w:rsidRPr="0010199C" w:rsidP="0010199C">
      <w:pPr>
        <w:pStyle w:val="BodyText"/>
      </w:pPr>
      <w:r w:rsidRPr="0010199C">
        <w:rPr>
          <w:rStyle w:val="SpecialBold"/>
        </w:rPr>
        <w:t>Skills and knowledge</w:t>
      </w:r>
    </w:p>
    <w:p w:rsidR="00000000" w:rsidRPr="0010199C" w:rsidP="0010199C">
      <w:pPr>
        <w:pStyle w:val="BodyText"/>
      </w:pPr>
      <w:r w:rsidRPr="0010199C">
        <w:t>Codes refer to the Skill and Knowledge Register included in this training package:</w:t>
      </w:r>
    </w:p>
    <w:p w:rsidR="00000000" w:rsidRPr="0010199C" w:rsidP="0010199C">
      <w:pPr>
        <w:pStyle w:val="BodyText"/>
      </w:pPr>
      <w:r w:rsidRPr="0010199C">
        <w:t xml:space="preserve">CA2200 Cable Installation </w:t>
      </w:r>
    </w:p>
    <w:p w:rsidR="00000000" w:rsidRPr="0010199C" w:rsidP="0010199C">
      <w:pPr>
        <w:pStyle w:val="BodyText"/>
      </w:pPr>
      <w:r w:rsidRPr="0010199C">
        <w:t xml:space="preserve">OH2200 Occupational Health and Safety </w:t>
      </w:r>
    </w:p>
    <w:p w:rsidR="00000000" w:rsidRPr="0010199C" w:rsidP="0010199C">
      <w:pPr>
        <w:pStyle w:val="BodyText"/>
      </w:pPr>
      <w:r w:rsidRPr="0010199C">
        <w:t xml:space="preserve">RE210 ACA Provider Rules, Cabler Registration, Rules and Regulations </w:t>
      </w:r>
    </w:p>
    <w:p w:rsidR="00000000" w:rsidRPr="0010199C" w:rsidP="0010199C">
      <w:pPr>
        <w:pStyle w:val="BodyText"/>
      </w:pPr>
      <w:r w:rsidRPr="0010199C">
        <w:t xml:space="preserve">TE2210 Basic Telephony </w:t>
      </w:r>
    </w:p>
    <w:p w:rsidR="00000000" w:rsidRPr="0010199C" w:rsidP="0010199C">
      <w:pPr>
        <w:pStyle w:val="BodyText"/>
      </w:pPr>
      <w:r w:rsidRPr="0010199C">
        <w:rPr>
          <w:rStyle w:val="SpecialBold"/>
        </w:rPr>
        <w:t>Assessment location and resources</w:t>
      </w:r>
    </w:p>
    <w:p w:rsidR="00000000" w:rsidRPr="0010199C" w:rsidP="0010199C">
      <w:pPr>
        <w:pStyle w:val="BodyText"/>
      </w:pPr>
      <w:r w:rsidRPr="0010199C">
        <w:t>Either</w:t>
      </w:r>
    </w:p>
    <w:p w:rsidR="00000000" w:rsidRPr="0010199C" w:rsidP="0010199C">
      <w:pPr>
        <w:pStyle w:val="BodyText"/>
      </w:pPr>
      <w:r w:rsidRPr="0010199C">
        <w:t>A workplace conducting the operations covered by this competency unit, equipment a</w:t>
      </w:r>
      <w:r w:rsidRPr="0010199C">
        <w:t>nd resources relevant to the context of the work (See Range Statement) and support from a competent supervisor or mentor.</w:t>
      </w:r>
    </w:p>
    <w:p w:rsidR="00000000" w:rsidRPr="0010199C" w:rsidP="0010199C">
      <w:pPr>
        <w:pStyle w:val="BodyText"/>
      </w:pPr>
      <w:r w:rsidRPr="0010199C">
        <w:t>Or</w:t>
      </w:r>
    </w:p>
    <w:p w:rsidR="00000000" w:rsidRPr="0010199C" w:rsidP="0010199C">
      <w:pPr>
        <w:pStyle w:val="BodyText"/>
      </w:pPr>
      <w:r w:rsidRPr="0010199C">
        <w:t>A simulated environment with similar provisions which conforms to the Assessment Guidelines.</w:t>
      </w:r>
    </w:p>
    <w:p w:rsidR="00000000" w:rsidRPr="0010199C" w:rsidP="0010199C">
      <w:pPr>
        <w:pStyle w:val="BodyText"/>
      </w:pPr>
      <w:r w:rsidRPr="0010199C">
        <w:rPr>
          <w:rStyle w:val="SpecialBold"/>
        </w:rPr>
        <w:t>Critical evidence</w:t>
      </w:r>
    </w:p>
    <w:p w:rsidR="00000000" w:rsidRPr="0010199C" w:rsidP="0010199C">
      <w:pPr>
        <w:pStyle w:val="BodyText"/>
      </w:pPr>
      <w:r w:rsidRPr="0010199C">
        <w:t>Assessment candidate</w:t>
      </w:r>
      <w:r w:rsidRPr="0010199C">
        <w:t>s should produce evidence of the following:</w:t>
      </w:r>
    </w:p>
    <w:p w:rsidR="00000000" w:rsidRPr="0010199C" w:rsidP="0010199C">
      <w:pPr>
        <w:pStyle w:val="BodyText"/>
      </w:pPr>
      <w:r w:rsidRPr="0010199C">
        <w:t xml:space="preserve">Demonstration of a cabling installation including 3 types of telephone sockets, one network termination device (NTD) and one alarm panel including TCA1 compliance form. </w:t>
      </w:r>
    </w:p>
    <w:p w:rsidR="00000000" w:rsidRPr="0010199C" w:rsidP="0010199C">
      <w:pPr>
        <w:pStyle w:val="BodyText"/>
      </w:pPr>
      <w:r w:rsidRPr="0010199C">
        <w:t>Accurate application of cable conductor id</w:t>
      </w:r>
      <w:r w:rsidRPr="0010199C">
        <w:t xml:space="preserve">entification codes. </w:t>
      </w:r>
    </w:p>
    <w:p w:rsidR="00000000" w:rsidRPr="0010199C" w:rsidP="0010199C">
      <w:pPr>
        <w:pStyle w:val="BodyText"/>
      </w:pPr>
      <w:r w:rsidRPr="0010199C">
        <w:t xml:space="preserve">Conduct and interpret cable test results. </w:t>
      </w:r>
    </w:p>
    <w:p w:rsidR="00000000" w:rsidRPr="0010199C" w:rsidP="0010199C">
      <w:pPr>
        <w:pStyle w:val="BodyText"/>
      </w:pPr>
      <w:r w:rsidRPr="0010199C">
        <w:t>Correct interpretation and application of standards and regulations.</w:t>
      </w:r>
    </w:p>
    <w:p w:rsidR="00000000" w:rsidRPr="0010199C" w:rsidP="0010199C">
      <w:pPr>
        <w:pStyle w:val="BodyText"/>
      </w:pPr>
      <w:r w:rsidRPr="0010199C">
        <w:rPr>
          <w:rStyle w:val="SpecialBold"/>
        </w:rPr>
        <w:t>Skills and knowledge</w:t>
      </w:r>
    </w:p>
    <w:p w:rsidR="00000000" w:rsidRPr="0010199C" w:rsidP="0010199C">
      <w:pPr>
        <w:pStyle w:val="BodyText"/>
      </w:pPr>
      <w:r w:rsidRPr="0010199C">
        <w:t>Codes refer to the Skill and Knowledge Register included in this training package:</w:t>
      </w:r>
    </w:p>
    <w:p w:rsidR="00000000" w:rsidRPr="0010199C" w:rsidP="0010199C">
      <w:pPr>
        <w:pStyle w:val="BodyText"/>
      </w:pPr>
      <w:r w:rsidRPr="0010199C">
        <w:t>CA2200 Cable Instal</w:t>
      </w:r>
      <w:r w:rsidRPr="0010199C">
        <w:t xml:space="preserve">lation </w:t>
      </w:r>
    </w:p>
    <w:p w:rsidR="00000000" w:rsidRPr="0010199C" w:rsidP="0010199C">
      <w:pPr>
        <w:pStyle w:val="BodyText"/>
      </w:pPr>
      <w:r w:rsidRPr="0010199C">
        <w:t xml:space="preserve">OH2200 Occupational Health and Safety </w:t>
      </w:r>
    </w:p>
    <w:p w:rsidR="00000000" w:rsidRPr="0010199C" w:rsidP="0010199C">
      <w:pPr>
        <w:pStyle w:val="BodyText"/>
      </w:pPr>
      <w:r w:rsidRPr="0010199C">
        <w:t xml:space="preserve">RE210 ACA Provider Rules, Cabler Registration, Rules and Regulations </w:t>
      </w:r>
    </w:p>
    <w:p w:rsidR="00000000" w:rsidRPr="0010199C" w:rsidP="0010199C">
      <w:pPr>
        <w:pStyle w:val="BodyText"/>
      </w:pPr>
      <w:r w:rsidRPr="0010199C">
        <w:t xml:space="preserve">TE2210 Basic Telephony </w:t>
      </w:r>
    </w:p>
    <w:p w:rsidR="00000000" w:rsidRPr="0010199C" w:rsidP="0010199C">
      <w:pPr>
        <w:pStyle w:val="AllowPageBreak"/>
      </w:pPr>
    </w:p>
    <w:p w:rsidR="00000000" w:rsidRPr="0010199C" w:rsidP="0010199C">
      <w:pPr>
        <w:pStyle w:val="Heading1"/>
      </w:pPr>
      <w:bookmarkStart w:id="11" w:name="O_324956"/>
      <w:bookmarkEnd w:id="11"/>
      <w:r w:rsidRPr="0010199C">
        <w:t>Range Statement</w:t>
      </w:r>
    </w:p>
    <w:p w:rsidR="00000000" w:rsidRPr="0010199C" w:rsidP="0010199C">
      <w:pPr>
        <w:pStyle w:val="BodyText"/>
      </w:pPr>
      <w:r w:rsidRPr="0010199C">
        <w:t>The following statements cover a wide range of circumstances.  Assessment of candi</w:t>
      </w:r>
      <w:r w:rsidRPr="0010199C">
        <w:t>dates should be within the range that applies to the candidate's particular role or workplace.</w:t>
      </w:r>
    </w:p>
    <w:p w:rsidR="00000000" w:rsidRPr="0010199C" w:rsidP="0010199C">
      <w:pPr>
        <w:pStyle w:val="BodyText"/>
      </w:pPr>
      <w:r w:rsidRPr="0010199C">
        <w:t>This unit is generally applied to the ACA Restricted Cabling Rule coverage which is used in typical domestic premises but is also found in some small office home</w:t>
      </w:r>
      <w:r w:rsidRPr="0010199C">
        <w:t xml:space="preserve"> office and small business premises situations.</w:t>
      </w:r>
    </w:p>
    <w:p w:rsidR="00000000" w:rsidRPr="0010199C" w:rsidP="0010199C">
      <w:pPr>
        <w:pStyle w:val="BodyText"/>
      </w:pPr>
      <w:r w:rsidRPr="0010199C">
        <w:rPr>
          <w:rStyle w:val="SpecialBold"/>
        </w:rPr>
        <w:t>Building infrastructure</w:t>
      </w:r>
    </w:p>
    <w:p w:rsidR="00000000" w:rsidRPr="0010199C" w:rsidP="0010199C">
      <w:pPr>
        <w:pStyle w:val="BodyText"/>
      </w:pPr>
      <w:r w:rsidRPr="0010199C">
        <w:t>Includes but not limited to:</w:t>
      </w:r>
    </w:p>
    <w:p w:rsidR="00000000" w:rsidRPr="0010199C" w:rsidP="0010199C">
      <w:pPr>
        <w:pStyle w:val="BodyText"/>
      </w:pPr>
      <w:r w:rsidRPr="0010199C">
        <w:t xml:space="preserve">high voltage power </w:t>
      </w:r>
    </w:p>
    <w:p w:rsidR="00000000" w:rsidRPr="0010199C" w:rsidP="0010199C">
      <w:pPr>
        <w:pStyle w:val="BodyText"/>
      </w:pPr>
      <w:r w:rsidRPr="0010199C">
        <w:t xml:space="preserve">other services </w:t>
      </w:r>
    </w:p>
    <w:p w:rsidR="00000000" w:rsidRPr="0010199C" w:rsidP="0010199C">
      <w:pPr>
        <w:pStyle w:val="BodyText"/>
      </w:pPr>
      <w:r w:rsidRPr="0010199C">
        <w:t>availability and suitability of existing cabling trays and fixing systems.</w:t>
      </w:r>
    </w:p>
    <w:p w:rsidR="00000000" w:rsidRPr="0010199C" w:rsidP="0010199C">
      <w:pPr>
        <w:pStyle w:val="BodyText"/>
      </w:pPr>
      <w:r w:rsidRPr="0010199C">
        <w:rPr>
          <w:rStyle w:val="SpecialBold"/>
        </w:rPr>
        <w:t>Strategies to manage infrastructure include</w:t>
      </w:r>
      <w:r w:rsidRPr="0010199C">
        <w:t>:</w:t>
      </w:r>
    </w:p>
    <w:p w:rsidR="00000000" w:rsidRPr="0010199C" w:rsidP="0010199C">
      <w:pPr>
        <w:pStyle w:val="BodyText"/>
      </w:pPr>
      <w:r w:rsidRPr="0010199C">
        <w:t xml:space="preserve">appropriate separations </w:t>
      </w:r>
    </w:p>
    <w:p w:rsidR="00000000" w:rsidRPr="0010199C" w:rsidP="0010199C">
      <w:pPr>
        <w:pStyle w:val="BodyText"/>
      </w:pPr>
      <w:r w:rsidRPr="0010199C">
        <w:t xml:space="preserve">fastening techniques </w:t>
      </w:r>
    </w:p>
    <w:p w:rsidR="00000000" w:rsidRPr="0010199C" w:rsidP="0010199C">
      <w:pPr>
        <w:pStyle w:val="BodyText"/>
      </w:pPr>
      <w:r w:rsidRPr="0010199C">
        <w:t>correct use of cable trays and support systems.</w:t>
      </w:r>
    </w:p>
    <w:p w:rsidR="00000000" w:rsidRPr="0010199C" w:rsidP="0010199C">
      <w:pPr>
        <w:pStyle w:val="BodyText"/>
      </w:pPr>
      <w:r w:rsidRPr="0010199C">
        <w:rPr>
          <w:rStyle w:val="SpecialBold"/>
        </w:rPr>
        <w:t>Remote power feed</w:t>
      </w:r>
    </w:p>
    <w:p w:rsidR="00000000" w:rsidRPr="0010199C" w:rsidP="0010199C">
      <w:pPr>
        <w:pStyle w:val="BodyText"/>
      </w:pPr>
      <w:r w:rsidRPr="0010199C">
        <w:t>Applies to telecommunications services which operate at above TNV (Telecommunications Network Voltage).</w:t>
      </w:r>
    </w:p>
    <w:p w:rsidR="00000000" w:rsidRPr="0010199C" w:rsidP="0010199C">
      <w:pPr>
        <w:pStyle w:val="BodyText"/>
      </w:pPr>
      <w:r w:rsidRPr="0010199C">
        <w:rPr>
          <w:rStyle w:val="SpecialBold"/>
        </w:rPr>
        <w:t>Regulatory environment</w:t>
      </w:r>
    </w:p>
    <w:p w:rsidR="00000000" w:rsidRPr="0010199C" w:rsidP="0010199C">
      <w:pPr>
        <w:pStyle w:val="BodyText"/>
      </w:pPr>
      <w:r w:rsidRPr="0010199C">
        <w:t xml:space="preserve">Overview </w:t>
      </w:r>
      <w:r w:rsidRPr="0010199C">
        <w:rPr>
          <w:rStyle w:val="SpecialBold"/>
        </w:rPr>
        <w:t>Teleco</w:t>
      </w:r>
      <w:r w:rsidRPr="0010199C">
        <w:rPr>
          <w:rStyle w:val="SpecialBold"/>
        </w:rPr>
        <w:t>mmunications Act 1997</w:t>
      </w:r>
      <w:r w:rsidRPr="0010199C">
        <w:t>, ACA, ACIF, Labelling, Certified Components List (CCL) accredited registrars and registration.</w:t>
      </w:r>
    </w:p>
    <w:p w:rsidR="00000000" w:rsidRPr="0010199C" w:rsidP="0010199C">
      <w:pPr>
        <w:pStyle w:val="BodyText"/>
      </w:pPr>
      <w:r w:rsidRPr="0010199C">
        <w:rPr>
          <w:rStyle w:val="SpecialBold"/>
        </w:rPr>
        <w:t>Cabling environment</w:t>
      </w:r>
    </w:p>
    <w:p w:rsidR="00000000" w:rsidRPr="0010199C" w:rsidP="0010199C">
      <w:pPr>
        <w:pStyle w:val="BodyText"/>
      </w:pPr>
      <w:r w:rsidRPr="0010199C">
        <w:t>Indoor environments include concealed locations such as:</w:t>
      </w:r>
    </w:p>
    <w:p w:rsidR="00000000" w:rsidRPr="0010199C" w:rsidP="0010199C">
      <w:pPr>
        <w:pStyle w:val="BodyText"/>
      </w:pPr>
      <w:r w:rsidRPr="0010199C">
        <w:t xml:space="preserve">ceilings </w:t>
      </w:r>
    </w:p>
    <w:p w:rsidR="00000000" w:rsidRPr="0010199C" w:rsidP="0010199C">
      <w:pPr>
        <w:pStyle w:val="BodyText"/>
      </w:pPr>
      <w:r w:rsidRPr="0010199C">
        <w:t xml:space="preserve">false ceilings </w:t>
      </w:r>
    </w:p>
    <w:p w:rsidR="00000000" w:rsidRPr="0010199C" w:rsidP="0010199C">
      <w:pPr>
        <w:pStyle w:val="BodyText"/>
      </w:pPr>
      <w:r w:rsidRPr="0010199C">
        <w:t xml:space="preserve">internal wall space </w:t>
      </w:r>
    </w:p>
    <w:p w:rsidR="00000000" w:rsidRPr="0010199C" w:rsidP="0010199C">
      <w:pPr>
        <w:pStyle w:val="BodyText"/>
      </w:pPr>
      <w:r w:rsidRPr="0010199C">
        <w:t xml:space="preserve">under floor </w:t>
      </w:r>
    </w:p>
    <w:p w:rsidR="00000000" w:rsidRPr="0010199C" w:rsidP="0010199C">
      <w:pPr>
        <w:pStyle w:val="BodyText"/>
      </w:pPr>
      <w:r w:rsidRPr="0010199C">
        <w:t>da</w:t>
      </w:r>
      <w:r w:rsidRPr="0010199C">
        <w:t xml:space="preserve">mp situations, and </w:t>
      </w:r>
    </w:p>
    <w:p w:rsidR="00000000" w:rsidRPr="0010199C" w:rsidP="0010199C">
      <w:pPr>
        <w:pStyle w:val="BodyText"/>
      </w:pPr>
      <w:r w:rsidRPr="0010199C">
        <w:t>within modular workstations.</w:t>
      </w:r>
    </w:p>
    <w:p w:rsidR="00000000" w:rsidRPr="0010199C" w:rsidP="0010199C">
      <w:pPr>
        <w:pStyle w:val="BodyText"/>
      </w:pPr>
      <w:r w:rsidRPr="0010199C">
        <w:t>Outdoor environments include cable installations on external walls and underground and/or aerial cabling on private property.  Underground cabling would be in an exclusive trench or shared trench with electr</w:t>
      </w:r>
      <w:r w:rsidRPr="0010199C">
        <w:t>ical LV cables and/or other utilities.  Aerial telecommunications cabling shall not include installations on poles shared with LV/HV electrical power cables/terminations.</w:t>
      </w:r>
    </w:p>
    <w:p w:rsidR="00000000" w:rsidRPr="0010199C" w:rsidP="0010199C">
      <w:pPr>
        <w:pStyle w:val="BodyText"/>
      </w:pPr>
      <w:r w:rsidRPr="0010199C">
        <w:rPr>
          <w:rStyle w:val="SpecialBold"/>
        </w:rPr>
        <w:t>Cable type</w:t>
      </w:r>
    </w:p>
    <w:p w:rsidR="00000000" w:rsidRPr="0010199C" w:rsidP="0010199C">
      <w:pPr>
        <w:pStyle w:val="BodyText"/>
      </w:pPr>
      <w:r w:rsidRPr="0010199C">
        <w:t>Copper twisted pair including:</w:t>
      </w:r>
    </w:p>
    <w:p w:rsidR="00000000" w:rsidRPr="0010199C" w:rsidP="0010199C">
      <w:pPr>
        <w:pStyle w:val="BodyText"/>
      </w:pPr>
      <w:r w:rsidRPr="0010199C">
        <w:t xml:space="preserve">indoor </w:t>
      </w:r>
    </w:p>
    <w:p w:rsidR="00000000" w:rsidRPr="0010199C" w:rsidP="0010199C">
      <w:pPr>
        <w:pStyle w:val="BodyText"/>
      </w:pPr>
      <w:r w:rsidRPr="0010199C">
        <w:t xml:space="preserve">external </w:t>
      </w:r>
    </w:p>
    <w:p w:rsidR="00000000" w:rsidRPr="0010199C" w:rsidP="0010199C">
      <w:pPr>
        <w:pStyle w:val="BodyText"/>
      </w:pPr>
      <w:r w:rsidRPr="0010199C">
        <w:t xml:space="preserve">aerial, and </w:t>
      </w:r>
    </w:p>
    <w:p w:rsidR="00000000" w:rsidRPr="0010199C" w:rsidP="0010199C">
      <w:pPr>
        <w:pStyle w:val="BodyText"/>
      </w:pPr>
      <w:r w:rsidRPr="0010199C">
        <w:t>underground.</w:t>
      </w:r>
    </w:p>
    <w:p w:rsidR="00000000" w:rsidRPr="0010199C" w:rsidP="0010199C">
      <w:pPr>
        <w:pStyle w:val="BodyText"/>
      </w:pPr>
      <w:r w:rsidRPr="0010199C">
        <w:rPr>
          <w:rStyle w:val="SpecialBold"/>
        </w:rPr>
        <w:t>Cable identification</w:t>
      </w:r>
    </w:p>
    <w:p w:rsidR="00000000" w:rsidRPr="0010199C" w:rsidP="0010199C">
      <w:pPr>
        <w:pStyle w:val="BodyText"/>
      </w:pPr>
      <w:r w:rsidRPr="0010199C">
        <w:t>Cable conductor identification codes may be:</w:t>
      </w:r>
    </w:p>
    <w:p w:rsidR="00000000" w:rsidRPr="0010199C" w:rsidP="0010199C">
      <w:pPr>
        <w:pStyle w:val="BodyText"/>
      </w:pPr>
      <w:r w:rsidRPr="0010199C">
        <w:t xml:space="preserve">colour coded </w:t>
      </w:r>
    </w:p>
    <w:p w:rsidR="00000000" w:rsidRPr="0010199C" w:rsidP="0010199C">
      <w:pPr>
        <w:pStyle w:val="BodyText"/>
      </w:pPr>
      <w:r w:rsidRPr="0010199C">
        <w:t xml:space="preserve">banded </w:t>
      </w:r>
    </w:p>
    <w:p w:rsidR="00000000" w:rsidRPr="0010199C" w:rsidP="0010199C">
      <w:pPr>
        <w:pStyle w:val="BodyText"/>
      </w:pPr>
      <w:r w:rsidRPr="0010199C">
        <w:t xml:space="preserve">numbered </w:t>
      </w:r>
    </w:p>
    <w:p w:rsidR="00000000" w:rsidRPr="0010199C" w:rsidP="0010199C">
      <w:pPr>
        <w:pStyle w:val="BodyText"/>
      </w:pPr>
      <w:r w:rsidRPr="0010199C">
        <w:t>lettered.</w:t>
      </w:r>
    </w:p>
    <w:p w:rsidR="00000000" w:rsidRPr="0010199C" w:rsidP="0010199C">
      <w:pPr>
        <w:pStyle w:val="BodyText"/>
      </w:pPr>
      <w:r w:rsidRPr="0010199C">
        <w:rPr>
          <w:rStyle w:val="SpecialBold"/>
        </w:rPr>
        <w:t>Termination systems</w:t>
      </w:r>
      <w:r w:rsidRPr="0010199C">
        <w:t>:</w:t>
      </w:r>
    </w:p>
    <w:p w:rsidR="00000000" w:rsidRPr="0010199C" w:rsidP="0010199C">
      <w:pPr>
        <w:pStyle w:val="BodyText"/>
      </w:pPr>
      <w:r w:rsidRPr="0010199C">
        <w:t>A range of at least 3 different socket types (Australian and US modular sockets and Mode 3 alarm sockets) and at least one network terminating device (NTD) must be individually terminated.</w:t>
      </w:r>
    </w:p>
    <w:p w:rsidR="00000000" w:rsidRPr="0010199C" w:rsidP="0010199C">
      <w:pPr>
        <w:pStyle w:val="BodyText"/>
      </w:pPr>
      <w:r w:rsidRPr="0010199C">
        <w:t>Note:  Jumperable distributors not included in this unit requiremen</w:t>
      </w:r>
      <w:r w:rsidRPr="0010199C">
        <w:t>t.</w:t>
      </w:r>
    </w:p>
    <w:p w:rsidR="00000000" w:rsidRPr="0010199C" w:rsidP="0010199C">
      <w:pPr>
        <w:pStyle w:val="BodyText"/>
      </w:pPr>
      <w:r w:rsidRPr="0010199C">
        <w:rPr>
          <w:rStyle w:val="SpecialBold"/>
        </w:rPr>
        <w:t>Earthing and protection</w:t>
      </w:r>
    </w:p>
    <w:p w:rsidR="00000000" w:rsidRPr="0010199C" w:rsidP="0010199C">
      <w:pPr>
        <w:pStyle w:val="BodyText"/>
      </w:pPr>
      <w:r w:rsidRPr="0010199C">
        <w:t>Earthing for protection and surge suppression and must be treated in accordance with AS/ACIF009.</w:t>
      </w:r>
    </w:p>
    <w:p w:rsidR="00000000" w:rsidRPr="0010199C" w:rsidP="0010199C">
      <w:pPr>
        <w:pStyle w:val="BodyText"/>
      </w:pPr>
      <w:r w:rsidRPr="0010199C">
        <w:rPr>
          <w:rStyle w:val="SpecialBold"/>
        </w:rPr>
        <w:t>Separations</w:t>
      </w:r>
    </w:p>
    <w:p w:rsidR="00000000" w:rsidRPr="0010199C" w:rsidP="0010199C">
      <w:pPr>
        <w:pStyle w:val="BodyText"/>
      </w:pPr>
      <w:r w:rsidRPr="0010199C">
        <w:t>The distance between communications cable and other services.  This includes:</w:t>
      </w:r>
    </w:p>
    <w:p w:rsidR="00000000" w:rsidRPr="0010199C" w:rsidP="0010199C">
      <w:pPr>
        <w:pStyle w:val="BodyText"/>
      </w:pPr>
      <w:r w:rsidRPr="0010199C">
        <w:t xml:space="preserve">Low Voltage (LV) </w:t>
      </w:r>
    </w:p>
    <w:p w:rsidR="00000000" w:rsidRPr="0010199C" w:rsidP="0010199C">
      <w:pPr>
        <w:pStyle w:val="BodyText"/>
      </w:pPr>
      <w:r w:rsidRPr="0010199C">
        <w:t>High Voltage (HV) - Sing</w:t>
      </w:r>
      <w:r w:rsidRPr="0010199C">
        <w:t xml:space="preserve">le core and HV Multi-core </w:t>
      </w:r>
    </w:p>
    <w:p w:rsidR="00000000" w:rsidRPr="0010199C" w:rsidP="0010199C">
      <w:pPr>
        <w:pStyle w:val="BodyText"/>
      </w:pPr>
      <w:r w:rsidRPr="0010199C">
        <w:t>Open terminations.</w:t>
      </w:r>
    </w:p>
    <w:p w:rsidR="00000000" w:rsidRPr="0010199C" w:rsidP="0010199C">
      <w:pPr>
        <w:pStyle w:val="BodyText"/>
      </w:pPr>
      <w:r w:rsidRPr="0010199C">
        <w:rPr>
          <w:rStyle w:val="SpecialBold"/>
        </w:rPr>
        <w:t>Regulations</w:t>
      </w:r>
    </w:p>
    <w:p w:rsidR="00000000" w:rsidRPr="0010199C" w:rsidP="0010199C">
      <w:pPr>
        <w:pStyle w:val="BodyText"/>
      </w:pPr>
      <w:r w:rsidRPr="0010199C">
        <w:t>Regulations cover separations will generally be covered by Wiring Rules standard AS/ACIF009.</w:t>
      </w:r>
    </w:p>
    <w:p w:rsidR="00000000" w:rsidRPr="0010199C" w:rsidP="0010199C">
      <w:pPr>
        <w:pStyle w:val="BodyText"/>
      </w:pPr>
      <w:r w:rsidRPr="0010199C">
        <w:rPr>
          <w:rStyle w:val="SpecialBold"/>
        </w:rPr>
        <w:t>Spatialseparations</w:t>
      </w:r>
    </w:p>
    <w:p w:rsidR="00000000" w:rsidRPr="0010199C" w:rsidP="0010199C">
      <w:pPr>
        <w:pStyle w:val="BodyText"/>
      </w:pPr>
      <w:r w:rsidRPr="0010199C">
        <w:t>The distance between communications cable and other required by regulations where no b</w:t>
      </w:r>
      <w:r w:rsidRPr="0010199C">
        <w:t>arrier is installed.</w:t>
      </w:r>
    </w:p>
    <w:p w:rsidR="00000000" w:rsidRPr="0010199C" w:rsidP="0010199C">
      <w:pPr>
        <w:pStyle w:val="BodyText"/>
      </w:pPr>
      <w:r w:rsidRPr="0010199C">
        <w:rPr>
          <w:rStyle w:val="SpecialBold"/>
        </w:rPr>
        <w:t>Barriers</w:t>
      </w:r>
    </w:p>
    <w:p w:rsidR="00000000" w:rsidRPr="0010199C" w:rsidP="0010199C">
      <w:pPr>
        <w:pStyle w:val="BodyText"/>
      </w:pPr>
      <w:r w:rsidRPr="0010199C">
        <w:t>Physical barriers installed when there is not enough space to achieve spatial separations.</w:t>
      </w:r>
    </w:p>
    <w:p w:rsidR="00000000" w:rsidRPr="0010199C" w:rsidP="0010199C">
      <w:pPr>
        <w:pStyle w:val="BodyText"/>
      </w:pPr>
      <w:r w:rsidRPr="0010199C">
        <w:rPr>
          <w:rStyle w:val="SpecialBold"/>
        </w:rPr>
        <w:t>Records</w:t>
      </w:r>
    </w:p>
    <w:p w:rsidR="00000000" w:rsidRPr="0010199C" w:rsidP="0010199C">
      <w:pPr>
        <w:pStyle w:val="BodyText"/>
      </w:pPr>
      <w:r w:rsidRPr="0010199C">
        <w:t>TCA1 form (and future NTD record cards) must conform with AS/ACIF009.</w:t>
      </w:r>
    </w:p>
    <w:p w:rsidR="00000000" w:rsidRPr="0010199C" w:rsidP="0010199C">
      <w:pPr>
        <w:pStyle w:val="BodyText"/>
      </w:pPr>
      <w:r w:rsidRPr="0010199C">
        <w:rPr>
          <w:rStyle w:val="SpecialBold"/>
        </w:rPr>
        <w:t>Relevant legislation</w:t>
      </w:r>
      <w:r w:rsidRPr="0010199C">
        <w:t xml:space="preserve">, </w:t>
      </w:r>
      <w:r w:rsidRPr="0010199C">
        <w:rPr>
          <w:rStyle w:val="SpecialBold"/>
        </w:rPr>
        <w:t>codes</w:t>
      </w:r>
      <w:r w:rsidRPr="0010199C">
        <w:t xml:space="preserve">, </w:t>
      </w:r>
      <w:r w:rsidRPr="0010199C">
        <w:rPr>
          <w:rStyle w:val="SpecialBold"/>
        </w:rPr>
        <w:t>regulations and standards</w:t>
      </w:r>
      <w:r w:rsidRPr="0010199C">
        <w:t xml:space="preserve"> (</w:t>
      </w:r>
      <w:r w:rsidRPr="0010199C">
        <w:rPr>
          <w:rStyle w:val="SpecialBold"/>
        </w:rPr>
        <w:t>or their replacements</w:t>
      </w:r>
      <w:r w:rsidRPr="0010199C">
        <w:t xml:space="preserve">) </w:t>
      </w:r>
      <w:r w:rsidRPr="0010199C">
        <w:rPr>
          <w:rStyle w:val="SpecialBold"/>
        </w:rPr>
        <w:t>include relevant components of</w:t>
      </w:r>
      <w:r w:rsidRPr="0010199C">
        <w:t>:</w:t>
      </w:r>
    </w:p>
    <w:p w:rsidR="00000000" w:rsidRPr="0010199C" w:rsidP="0010199C">
      <w:pPr>
        <w:pStyle w:val="BodyText"/>
      </w:pPr>
      <w:r w:rsidRPr="0010199C">
        <w:t xml:space="preserve">ACA Technical Standards </w:t>
      </w:r>
    </w:p>
    <w:p w:rsidR="00000000" w:rsidRPr="0010199C" w:rsidP="0010199C">
      <w:pPr>
        <w:pStyle w:val="BodyText"/>
      </w:pPr>
      <w:r w:rsidRPr="0010199C">
        <w:t xml:space="preserve">AS/ACIF008, AS/ACIF009 - or subsequent replacements </w:t>
      </w:r>
    </w:p>
    <w:p w:rsidR="00000000" w:rsidRPr="0010199C" w:rsidP="0010199C">
      <w:pPr>
        <w:pStyle w:val="BodyText"/>
      </w:pPr>
      <w:r w:rsidRPr="0010199C">
        <w:t xml:space="preserve">SAA Communications Cabling Manual (Restricted) </w:t>
      </w:r>
    </w:p>
    <w:p w:rsidR="00000000" w:rsidRPr="0010199C" w:rsidP="0010199C">
      <w:pPr>
        <w:pStyle w:val="BodyText"/>
      </w:pPr>
      <w:r w:rsidRPr="0010199C">
        <w:t>AS/NZS 3000</w:t>
      </w:r>
    </w:p>
    <w:p w:rsidR="00000000" w:rsidRPr="0010199C" w:rsidP="0010199C">
      <w:pPr>
        <w:pStyle w:val="BodyText"/>
      </w:pPr>
      <w:r w:rsidRPr="0010199C">
        <w:t xml:space="preserve">The following statements cover a wide range of circumstances.  </w:t>
      </w:r>
      <w:r w:rsidRPr="0010199C">
        <w:t>Assessment of candidates should be within the range that applies to the candidate's particular role or workplace.</w:t>
      </w:r>
    </w:p>
    <w:p w:rsidR="00000000" w:rsidRPr="0010199C" w:rsidP="0010199C">
      <w:pPr>
        <w:pStyle w:val="BodyText"/>
      </w:pPr>
      <w:r w:rsidRPr="0010199C">
        <w:t>This unit is generally applied to the ACA Restricted Cabling Rule coverage which is used in typical domestic premises but is also found in som</w:t>
      </w:r>
      <w:r w:rsidRPr="0010199C">
        <w:t>e small office home office and small business premises situations.</w:t>
      </w:r>
    </w:p>
    <w:p w:rsidR="00000000" w:rsidRPr="0010199C" w:rsidP="0010199C">
      <w:pPr>
        <w:pStyle w:val="BodyText"/>
      </w:pPr>
      <w:r w:rsidRPr="0010199C">
        <w:rPr>
          <w:rStyle w:val="SpecialBold"/>
        </w:rPr>
        <w:t>Building infrastructure</w:t>
      </w:r>
    </w:p>
    <w:p w:rsidR="00000000" w:rsidRPr="0010199C" w:rsidP="0010199C">
      <w:pPr>
        <w:pStyle w:val="BodyText"/>
      </w:pPr>
      <w:r w:rsidRPr="0010199C">
        <w:t>Includes but not limited to:</w:t>
      </w:r>
    </w:p>
    <w:p w:rsidR="00000000" w:rsidRPr="0010199C" w:rsidP="0010199C">
      <w:pPr>
        <w:pStyle w:val="BodyText"/>
      </w:pPr>
      <w:r w:rsidRPr="0010199C">
        <w:t xml:space="preserve">high voltage power </w:t>
      </w:r>
    </w:p>
    <w:p w:rsidR="00000000" w:rsidRPr="0010199C" w:rsidP="0010199C">
      <w:pPr>
        <w:pStyle w:val="BodyText"/>
      </w:pPr>
      <w:r w:rsidRPr="0010199C">
        <w:t xml:space="preserve">other services </w:t>
      </w:r>
    </w:p>
    <w:p w:rsidR="00000000" w:rsidRPr="0010199C" w:rsidP="0010199C">
      <w:pPr>
        <w:pStyle w:val="BodyText"/>
      </w:pPr>
      <w:r w:rsidRPr="0010199C">
        <w:t>availability and suitability of existing cabling trays and fixing systems.</w:t>
      </w:r>
    </w:p>
    <w:p w:rsidR="00000000" w:rsidRPr="0010199C" w:rsidP="0010199C">
      <w:pPr>
        <w:pStyle w:val="BodyText"/>
      </w:pPr>
      <w:r w:rsidRPr="0010199C">
        <w:rPr>
          <w:rStyle w:val="SpecialBold"/>
        </w:rPr>
        <w:t>Strategies to manage infrastructure include</w:t>
      </w:r>
      <w:r w:rsidRPr="0010199C">
        <w:t>:</w:t>
      </w:r>
    </w:p>
    <w:p w:rsidR="00000000" w:rsidRPr="0010199C" w:rsidP="0010199C">
      <w:pPr>
        <w:pStyle w:val="BodyText"/>
      </w:pPr>
      <w:r w:rsidRPr="0010199C">
        <w:t xml:space="preserve">appropriate separations </w:t>
      </w:r>
    </w:p>
    <w:p w:rsidR="00000000" w:rsidRPr="0010199C" w:rsidP="0010199C">
      <w:pPr>
        <w:pStyle w:val="BodyText"/>
      </w:pPr>
      <w:r w:rsidRPr="0010199C">
        <w:t xml:space="preserve">fastening techniques </w:t>
      </w:r>
    </w:p>
    <w:p w:rsidR="00000000" w:rsidRPr="0010199C" w:rsidP="0010199C">
      <w:pPr>
        <w:pStyle w:val="BodyText"/>
      </w:pPr>
      <w:r w:rsidRPr="0010199C">
        <w:t>correct use of cable trays and support systems.</w:t>
      </w:r>
    </w:p>
    <w:p w:rsidR="00000000" w:rsidRPr="0010199C" w:rsidP="0010199C">
      <w:pPr>
        <w:pStyle w:val="BodyText"/>
      </w:pPr>
      <w:r w:rsidRPr="0010199C">
        <w:rPr>
          <w:rStyle w:val="SpecialBold"/>
        </w:rPr>
        <w:t>Remote power feed</w:t>
      </w:r>
    </w:p>
    <w:p w:rsidR="00000000" w:rsidRPr="0010199C" w:rsidP="0010199C">
      <w:pPr>
        <w:pStyle w:val="BodyText"/>
      </w:pPr>
      <w:r w:rsidRPr="0010199C">
        <w:t>Applies to telecommunications services which operate at above TNV (Telecommunications Network Volt</w:t>
      </w:r>
      <w:r w:rsidRPr="0010199C">
        <w:t>age).</w:t>
      </w:r>
    </w:p>
    <w:p w:rsidR="00000000" w:rsidRPr="0010199C" w:rsidP="0010199C">
      <w:pPr>
        <w:pStyle w:val="BodyText"/>
      </w:pPr>
      <w:r w:rsidRPr="0010199C">
        <w:rPr>
          <w:rStyle w:val="SpecialBold"/>
        </w:rPr>
        <w:t>Regulatory environment</w:t>
      </w:r>
    </w:p>
    <w:p w:rsidR="00000000" w:rsidRPr="0010199C" w:rsidP="0010199C">
      <w:pPr>
        <w:pStyle w:val="BodyText"/>
      </w:pPr>
      <w:r w:rsidRPr="0010199C">
        <w:t xml:space="preserve">Overview </w:t>
      </w:r>
      <w:r w:rsidRPr="0010199C">
        <w:rPr>
          <w:rStyle w:val="SpecialBold"/>
        </w:rPr>
        <w:t>Telecommunications Act 1997</w:t>
      </w:r>
      <w:r w:rsidRPr="0010199C">
        <w:t>, ACA, ACIF, Labelling, Certified Components List (CCL) accredited registrars and registration.</w:t>
      </w:r>
    </w:p>
    <w:p w:rsidR="00000000" w:rsidRPr="0010199C" w:rsidP="0010199C">
      <w:pPr>
        <w:pStyle w:val="BodyText"/>
      </w:pPr>
      <w:r w:rsidRPr="0010199C">
        <w:rPr>
          <w:rStyle w:val="SpecialBold"/>
        </w:rPr>
        <w:t>Cabling environment</w:t>
      </w:r>
    </w:p>
    <w:p w:rsidR="00000000" w:rsidRPr="0010199C" w:rsidP="0010199C">
      <w:pPr>
        <w:pStyle w:val="BodyText"/>
      </w:pPr>
      <w:r w:rsidRPr="0010199C">
        <w:t>Indoor environments include concealed locations such as:</w:t>
      </w:r>
    </w:p>
    <w:p w:rsidR="00000000" w:rsidRPr="0010199C" w:rsidP="0010199C">
      <w:pPr>
        <w:pStyle w:val="BodyText"/>
      </w:pPr>
      <w:r w:rsidRPr="0010199C">
        <w:t xml:space="preserve">ceilings </w:t>
      </w:r>
    </w:p>
    <w:p w:rsidR="00000000" w:rsidRPr="0010199C" w:rsidP="0010199C">
      <w:pPr>
        <w:pStyle w:val="BodyText"/>
      </w:pPr>
      <w:r w:rsidRPr="0010199C">
        <w:t>false ce</w:t>
      </w:r>
      <w:r w:rsidRPr="0010199C">
        <w:t xml:space="preserve">ilings </w:t>
      </w:r>
    </w:p>
    <w:p w:rsidR="00000000" w:rsidRPr="0010199C" w:rsidP="0010199C">
      <w:pPr>
        <w:pStyle w:val="BodyText"/>
      </w:pPr>
      <w:r w:rsidRPr="0010199C">
        <w:t xml:space="preserve">internal wall space </w:t>
      </w:r>
    </w:p>
    <w:p w:rsidR="00000000" w:rsidRPr="0010199C" w:rsidP="0010199C">
      <w:pPr>
        <w:pStyle w:val="BodyText"/>
      </w:pPr>
      <w:r w:rsidRPr="0010199C">
        <w:t xml:space="preserve">under floor </w:t>
      </w:r>
    </w:p>
    <w:p w:rsidR="00000000" w:rsidRPr="0010199C" w:rsidP="0010199C">
      <w:pPr>
        <w:pStyle w:val="BodyText"/>
      </w:pPr>
      <w:r w:rsidRPr="0010199C">
        <w:t xml:space="preserve">damp situations, and </w:t>
      </w:r>
    </w:p>
    <w:p w:rsidR="00000000" w:rsidRPr="0010199C" w:rsidP="0010199C">
      <w:pPr>
        <w:pStyle w:val="BodyText"/>
      </w:pPr>
      <w:r w:rsidRPr="0010199C">
        <w:t>within modular workstations.</w:t>
      </w:r>
    </w:p>
    <w:p w:rsidR="00000000" w:rsidRPr="0010199C" w:rsidP="0010199C">
      <w:pPr>
        <w:pStyle w:val="BodyText"/>
      </w:pPr>
      <w:r w:rsidRPr="0010199C">
        <w:t>Outdoor environments include cable installations on external walls and underground and/or aerial cabling on private property.  Underground cabling would be in an e</w:t>
      </w:r>
      <w:r w:rsidRPr="0010199C">
        <w:t>xclusive trench or shared trench with electrical LV cables and/or other utilities.  Aerial telecommunications cabling shall not include installations on poles shared with LV/HV electrical power cables/terminations.</w:t>
      </w:r>
    </w:p>
    <w:p w:rsidR="00000000" w:rsidRPr="0010199C" w:rsidP="0010199C">
      <w:pPr>
        <w:pStyle w:val="BodyText"/>
      </w:pPr>
      <w:r w:rsidRPr="0010199C">
        <w:rPr>
          <w:rStyle w:val="SpecialBold"/>
        </w:rPr>
        <w:t>Cable type</w:t>
      </w:r>
    </w:p>
    <w:p w:rsidR="00000000" w:rsidRPr="0010199C" w:rsidP="0010199C">
      <w:pPr>
        <w:pStyle w:val="BodyText"/>
      </w:pPr>
      <w:r w:rsidRPr="0010199C">
        <w:t>Copper twisted pair including:</w:t>
      </w:r>
    </w:p>
    <w:p w:rsidR="00000000" w:rsidRPr="0010199C" w:rsidP="0010199C">
      <w:pPr>
        <w:pStyle w:val="BodyText"/>
      </w:pPr>
      <w:r w:rsidRPr="0010199C">
        <w:t xml:space="preserve">indoor </w:t>
      </w:r>
    </w:p>
    <w:p w:rsidR="00000000" w:rsidRPr="0010199C" w:rsidP="0010199C">
      <w:pPr>
        <w:pStyle w:val="BodyText"/>
      </w:pPr>
      <w:r w:rsidRPr="0010199C">
        <w:t xml:space="preserve">external </w:t>
      </w:r>
    </w:p>
    <w:p w:rsidR="00000000" w:rsidRPr="0010199C" w:rsidP="0010199C">
      <w:pPr>
        <w:pStyle w:val="BodyText"/>
      </w:pPr>
      <w:r w:rsidRPr="0010199C">
        <w:t xml:space="preserve">aerial, and </w:t>
      </w:r>
    </w:p>
    <w:p w:rsidR="00000000" w:rsidRPr="0010199C" w:rsidP="0010199C">
      <w:pPr>
        <w:pStyle w:val="BodyText"/>
      </w:pPr>
      <w:r w:rsidRPr="0010199C">
        <w:t>underground.</w:t>
      </w:r>
    </w:p>
    <w:p w:rsidR="00000000" w:rsidRPr="0010199C" w:rsidP="0010199C">
      <w:pPr>
        <w:pStyle w:val="BodyText"/>
      </w:pPr>
      <w:r w:rsidRPr="0010199C">
        <w:rPr>
          <w:rStyle w:val="SpecialBold"/>
        </w:rPr>
        <w:t>Cable identification</w:t>
      </w:r>
    </w:p>
    <w:p w:rsidR="00000000" w:rsidRPr="0010199C" w:rsidP="0010199C">
      <w:pPr>
        <w:pStyle w:val="BodyText"/>
      </w:pPr>
      <w:r w:rsidRPr="0010199C">
        <w:t>Cable conductor identification codes may be:</w:t>
      </w:r>
    </w:p>
    <w:p w:rsidR="00000000" w:rsidRPr="0010199C" w:rsidP="0010199C">
      <w:pPr>
        <w:pStyle w:val="BodyText"/>
      </w:pPr>
      <w:r w:rsidRPr="0010199C">
        <w:t xml:space="preserve">colour coded </w:t>
      </w:r>
    </w:p>
    <w:p w:rsidR="00000000" w:rsidRPr="0010199C" w:rsidP="0010199C">
      <w:pPr>
        <w:pStyle w:val="BodyText"/>
      </w:pPr>
      <w:r w:rsidRPr="0010199C">
        <w:t xml:space="preserve">banded </w:t>
      </w:r>
    </w:p>
    <w:p w:rsidR="00000000" w:rsidRPr="0010199C" w:rsidP="0010199C">
      <w:pPr>
        <w:pStyle w:val="BodyText"/>
      </w:pPr>
      <w:r w:rsidRPr="0010199C">
        <w:t xml:space="preserve">numbered </w:t>
      </w:r>
    </w:p>
    <w:p w:rsidR="00000000" w:rsidRPr="0010199C" w:rsidP="0010199C">
      <w:pPr>
        <w:pStyle w:val="BodyText"/>
      </w:pPr>
      <w:r w:rsidRPr="0010199C">
        <w:t>lettered.</w:t>
      </w:r>
    </w:p>
    <w:p w:rsidR="00000000" w:rsidRPr="0010199C" w:rsidP="0010199C">
      <w:pPr>
        <w:pStyle w:val="BodyText"/>
      </w:pPr>
      <w:r w:rsidRPr="0010199C">
        <w:rPr>
          <w:rStyle w:val="SpecialBold"/>
        </w:rPr>
        <w:t>Termination systems</w:t>
      </w:r>
      <w:r w:rsidRPr="0010199C">
        <w:t>:</w:t>
      </w:r>
    </w:p>
    <w:p w:rsidR="00000000" w:rsidRPr="0010199C" w:rsidP="0010199C">
      <w:pPr>
        <w:pStyle w:val="BodyText"/>
      </w:pPr>
      <w:r w:rsidRPr="0010199C">
        <w:t>A range of at least 3 different socket types (Australian and US modular sockets and Mode 3 alarm sockets) and at least one network terminating device (NTD) must be individually terminated.</w:t>
      </w:r>
    </w:p>
    <w:p w:rsidR="00000000" w:rsidRPr="0010199C" w:rsidP="0010199C">
      <w:pPr>
        <w:pStyle w:val="BodyText"/>
      </w:pPr>
      <w:r w:rsidRPr="0010199C">
        <w:t>Note:  Jumperable distributors not included in this unit requiremen</w:t>
      </w:r>
      <w:r w:rsidRPr="0010199C">
        <w:t>t.</w:t>
      </w:r>
    </w:p>
    <w:p w:rsidR="00000000" w:rsidRPr="0010199C" w:rsidP="0010199C">
      <w:pPr>
        <w:pStyle w:val="BodyText"/>
      </w:pPr>
      <w:r w:rsidRPr="0010199C">
        <w:rPr>
          <w:rStyle w:val="SpecialBold"/>
        </w:rPr>
        <w:t>Earthing and protection</w:t>
      </w:r>
    </w:p>
    <w:p w:rsidR="00000000" w:rsidRPr="0010199C" w:rsidP="0010199C">
      <w:pPr>
        <w:pStyle w:val="BodyText"/>
      </w:pPr>
      <w:r w:rsidRPr="0010199C">
        <w:t>Earthing for protection and surge suppression and must be treated in accordance with AS/ACIF009.</w:t>
      </w:r>
    </w:p>
    <w:p w:rsidR="00000000" w:rsidRPr="0010199C" w:rsidP="0010199C">
      <w:pPr>
        <w:pStyle w:val="BodyText"/>
      </w:pPr>
      <w:r w:rsidRPr="0010199C">
        <w:rPr>
          <w:rStyle w:val="SpecialBold"/>
        </w:rPr>
        <w:t>Separations</w:t>
      </w:r>
    </w:p>
    <w:p w:rsidR="00000000" w:rsidRPr="0010199C" w:rsidP="0010199C">
      <w:pPr>
        <w:pStyle w:val="BodyText"/>
      </w:pPr>
      <w:r w:rsidRPr="0010199C">
        <w:t>The distance between communications cable and other services.  This includes:</w:t>
      </w:r>
    </w:p>
    <w:p w:rsidR="00000000" w:rsidRPr="0010199C" w:rsidP="0010199C">
      <w:pPr>
        <w:pStyle w:val="BodyText"/>
      </w:pPr>
      <w:r w:rsidRPr="0010199C">
        <w:t xml:space="preserve">Low Voltage (LV) </w:t>
      </w:r>
    </w:p>
    <w:p w:rsidR="00000000" w:rsidRPr="0010199C" w:rsidP="0010199C">
      <w:pPr>
        <w:pStyle w:val="BodyText"/>
      </w:pPr>
      <w:r w:rsidRPr="0010199C">
        <w:t>High Voltage (HV) - Sing</w:t>
      </w:r>
      <w:r w:rsidRPr="0010199C">
        <w:t xml:space="preserve">le core and HV Multi-core </w:t>
      </w:r>
    </w:p>
    <w:p w:rsidR="00000000" w:rsidRPr="0010199C" w:rsidP="0010199C">
      <w:pPr>
        <w:pStyle w:val="BodyText"/>
      </w:pPr>
      <w:r w:rsidRPr="0010199C">
        <w:t>Open terminations.</w:t>
      </w:r>
    </w:p>
    <w:p w:rsidR="00000000" w:rsidRPr="0010199C" w:rsidP="0010199C">
      <w:pPr>
        <w:pStyle w:val="BodyText"/>
      </w:pPr>
      <w:r w:rsidRPr="0010199C">
        <w:rPr>
          <w:rStyle w:val="SpecialBold"/>
        </w:rPr>
        <w:t>Regulations</w:t>
      </w:r>
    </w:p>
    <w:p w:rsidR="00000000" w:rsidRPr="0010199C" w:rsidP="0010199C">
      <w:pPr>
        <w:pStyle w:val="BodyText"/>
      </w:pPr>
      <w:r w:rsidRPr="0010199C">
        <w:t>Regulations cover separations will generally be covered by Wiring Rules standard AS/ACIF009.</w:t>
      </w:r>
    </w:p>
    <w:p w:rsidR="00000000" w:rsidRPr="0010199C" w:rsidP="0010199C">
      <w:pPr>
        <w:pStyle w:val="BodyText"/>
      </w:pPr>
      <w:r w:rsidRPr="0010199C">
        <w:rPr>
          <w:rStyle w:val="SpecialBold"/>
        </w:rPr>
        <w:t>Spatialseparations</w:t>
      </w:r>
    </w:p>
    <w:p w:rsidR="00000000" w:rsidRPr="0010199C" w:rsidP="0010199C">
      <w:pPr>
        <w:pStyle w:val="BodyText"/>
      </w:pPr>
      <w:r w:rsidRPr="0010199C">
        <w:t>The distance between communications cable and other required by regulations where no b</w:t>
      </w:r>
      <w:r w:rsidRPr="0010199C">
        <w:t>arrier is installed.</w:t>
      </w:r>
    </w:p>
    <w:p w:rsidR="00000000" w:rsidRPr="0010199C" w:rsidP="0010199C">
      <w:pPr>
        <w:pStyle w:val="BodyText"/>
      </w:pPr>
      <w:r w:rsidRPr="0010199C">
        <w:rPr>
          <w:rStyle w:val="SpecialBold"/>
        </w:rPr>
        <w:t>Barriers</w:t>
      </w:r>
    </w:p>
    <w:p w:rsidR="00000000" w:rsidRPr="0010199C" w:rsidP="0010199C">
      <w:pPr>
        <w:pStyle w:val="BodyText"/>
      </w:pPr>
      <w:r w:rsidRPr="0010199C">
        <w:t>Physical barriers installed when there is not enough space to achieve spatial separations.</w:t>
      </w:r>
    </w:p>
    <w:p w:rsidR="00000000" w:rsidRPr="0010199C" w:rsidP="0010199C">
      <w:pPr>
        <w:pStyle w:val="BodyText"/>
      </w:pPr>
      <w:r w:rsidRPr="0010199C">
        <w:rPr>
          <w:rStyle w:val="SpecialBold"/>
        </w:rPr>
        <w:t>Records</w:t>
      </w:r>
    </w:p>
    <w:p w:rsidR="00000000" w:rsidRPr="0010199C" w:rsidP="0010199C">
      <w:pPr>
        <w:pStyle w:val="BodyText"/>
      </w:pPr>
      <w:r w:rsidRPr="0010199C">
        <w:t>TCA1 form (and future NTD record cards) must conform with AS/ACIF009.</w:t>
      </w:r>
    </w:p>
    <w:p w:rsidR="00000000" w:rsidRPr="0010199C" w:rsidP="0010199C">
      <w:pPr>
        <w:pStyle w:val="BodyText"/>
      </w:pPr>
      <w:r w:rsidRPr="0010199C">
        <w:rPr>
          <w:rStyle w:val="SpecialBold"/>
        </w:rPr>
        <w:t>Relevant legislation</w:t>
      </w:r>
      <w:r w:rsidRPr="0010199C">
        <w:t xml:space="preserve">, </w:t>
      </w:r>
      <w:r w:rsidRPr="0010199C">
        <w:rPr>
          <w:rStyle w:val="SpecialBold"/>
        </w:rPr>
        <w:t>codes</w:t>
      </w:r>
      <w:r w:rsidRPr="0010199C">
        <w:t xml:space="preserve">, </w:t>
      </w:r>
      <w:r w:rsidRPr="0010199C">
        <w:rPr>
          <w:rStyle w:val="SpecialBold"/>
        </w:rPr>
        <w:t>regulations and standards</w:t>
      </w:r>
      <w:r w:rsidRPr="0010199C">
        <w:t xml:space="preserve"> (</w:t>
      </w:r>
      <w:r w:rsidRPr="0010199C">
        <w:rPr>
          <w:rStyle w:val="SpecialBold"/>
        </w:rPr>
        <w:t>o</w:t>
      </w:r>
      <w:r w:rsidRPr="0010199C">
        <w:rPr>
          <w:rStyle w:val="SpecialBold"/>
        </w:rPr>
        <w:t>r their replacements</w:t>
      </w:r>
      <w:r w:rsidRPr="0010199C">
        <w:t xml:space="preserve">) </w:t>
      </w:r>
      <w:r w:rsidRPr="0010199C">
        <w:rPr>
          <w:rStyle w:val="SpecialBold"/>
        </w:rPr>
        <w:t>include relevant components of</w:t>
      </w:r>
      <w:r w:rsidRPr="0010199C">
        <w:t>:</w:t>
      </w:r>
    </w:p>
    <w:p w:rsidR="00000000" w:rsidRPr="0010199C" w:rsidP="0010199C">
      <w:pPr>
        <w:pStyle w:val="BodyText"/>
      </w:pPr>
      <w:r w:rsidRPr="0010199C">
        <w:t xml:space="preserve">ACA Technical Standards </w:t>
      </w:r>
    </w:p>
    <w:p w:rsidR="00000000" w:rsidRPr="0010199C" w:rsidP="0010199C">
      <w:pPr>
        <w:pStyle w:val="BodyText"/>
      </w:pPr>
      <w:r w:rsidRPr="0010199C">
        <w:t xml:space="preserve">AS/ACIF008, AS/ACIF009 - or subsequent replacements </w:t>
      </w:r>
    </w:p>
    <w:p w:rsidR="00000000" w:rsidRPr="0010199C" w:rsidP="0010199C">
      <w:pPr>
        <w:pStyle w:val="BodyText"/>
      </w:pPr>
      <w:r w:rsidRPr="0010199C">
        <w:t xml:space="preserve">SAA Communications Cabling Manual (Restricted) </w:t>
      </w:r>
    </w:p>
    <w:p w:rsidR="00000000" w:rsidRPr="0010199C" w:rsidP="0010199C">
      <w:pPr>
        <w:pStyle w:val="BodyText"/>
      </w:pPr>
      <w:r w:rsidRPr="0010199C">
        <w:t>AS/NZS 3000</w:t>
      </w:r>
    </w:p>
    <w:p w:rsidR="00000000" w:rsidRPr="0010199C" w:rsidP="0010199C">
      <w:pPr>
        <w:pStyle w:val="AllowPageBreak"/>
      </w:pPr>
    </w:p>
    <w:p w:rsidR="00000000" w:rsidRPr="0010199C" w:rsidP="0010199C">
      <w:pPr>
        <w:pStyle w:val="Heading1"/>
      </w:pPr>
      <w:bookmarkStart w:id="12" w:name="O_324955"/>
      <w:bookmarkEnd w:id="12"/>
      <w:r w:rsidRPr="0010199C">
        <w:t>Unit Sector(s)</w:t>
      </w:r>
    </w:p>
    <w:p w:rsidR="00000000" w:rsidRPr="0010199C" w:rsidP="0010199C">
      <w:pPr>
        <w:pStyle w:val="BodyText"/>
      </w:pPr>
      <w:r w:rsidRPr="0010199C">
        <w:t>Not applicable.</w:t>
      </w:r>
    </w:p>
    <w:p w:rsidR="00000000" w:rsidRPr="0010199C" w:rsidP="0010199C"/>
    <w:sectPr w:rsidSect="001019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9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255B" w:rsidP="001125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9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5B" w:rsidP="001019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255B" w:rsidP="001019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255B" w:rsidP="001019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9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99C" w:rsidRPr="0011255B" w:rsidP="001125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9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5B" w:rsidRPr="002D2AF8" w:rsidP="0010199C">
    <w:pPr>
      <w:pStyle w:val="Header"/>
      <w:framePr w:wrap="around"/>
    </w:pPr>
    <w:r>
      <w:fldChar w:fldCharType="begin"/>
    </w:r>
    <w:r>
      <w:instrText xml:space="preserve"> TITLE   \* MERGEFORMAT </w:instrText>
    </w:r>
    <w:r>
      <w:fldChar w:fldCharType="separate"/>
    </w:r>
    <w:r>
      <w:t>ICTTC136B Install, maintain and modify customer premises communications cabling: ACA Restricted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1255B" w:rsidP="001019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9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99C"/>
    <w:pPr>
      <w:spacing w:before="360" w:after="60"/>
      <w:outlineLvl w:val="0"/>
    </w:pPr>
    <w:rPr>
      <w:sz w:val="32"/>
    </w:rPr>
  </w:style>
  <w:style w:type="paragraph" w:styleId="Heading2">
    <w:name w:val="heading 2"/>
    <w:basedOn w:val="HeadingBase"/>
    <w:next w:val="BodyText"/>
    <w:link w:val="Heading2Char"/>
    <w:qFormat/>
    <w:rsid w:val="0010199C"/>
    <w:pPr>
      <w:keepLines/>
      <w:spacing w:before="240" w:after="120"/>
      <w:outlineLvl w:val="1"/>
    </w:pPr>
    <w:rPr>
      <w:sz w:val="28"/>
      <w:szCs w:val="40"/>
    </w:rPr>
  </w:style>
  <w:style w:type="paragraph" w:styleId="Heading3">
    <w:name w:val="heading 3"/>
    <w:basedOn w:val="HeadingBase"/>
    <w:next w:val="BodyText"/>
    <w:link w:val="Heading3Char"/>
    <w:qFormat/>
    <w:rsid w:val="0010199C"/>
    <w:pPr>
      <w:spacing w:before="180" w:after="120"/>
      <w:outlineLvl w:val="2"/>
    </w:pPr>
    <w:rPr>
      <w:spacing w:val="-10"/>
      <w:kern w:val="32"/>
    </w:rPr>
  </w:style>
  <w:style w:type="paragraph" w:styleId="Heading4">
    <w:name w:val="heading 4"/>
    <w:basedOn w:val="HeadingBase"/>
    <w:next w:val="BodyText"/>
    <w:link w:val="Heading4Char"/>
    <w:qFormat/>
    <w:rsid w:val="0010199C"/>
    <w:pPr>
      <w:spacing w:before="160" w:after="120"/>
      <w:outlineLvl w:val="3"/>
    </w:pPr>
    <w:rPr>
      <w:sz w:val="22"/>
    </w:rPr>
  </w:style>
  <w:style w:type="paragraph" w:styleId="Heading5">
    <w:name w:val="heading 5"/>
    <w:basedOn w:val="HeadingBase"/>
    <w:next w:val="Normal"/>
    <w:link w:val="Heading5Char"/>
    <w:qFormat/>
    <w:rsid w:val="0010199C"/>
    <w:pPr>
      <w:spacing w:before="80"/>
      <w:outlineLvl w:val="4"/>
    </w:pPr>
    <w:rPr>
      <w:color w:val="918585"/>
      <w:sz w:val="20"/>
    </w:rPr>
  </w:style>
  <w:style w:type="paragraph" w:styleId="Heading6">
    <w:name w:val="heading 6"/>
    <w:basedOn w:val="HeadingBase"/>
    <w:next w:val="Normal"/>
    <w:link w:val="Heading6Char"/>
    <w:qFormat/>
    <w:rsid w:val="0010199C"/>
    <w:pPr>
      <w:spacing w:before="60"/>
      <w:outlineLvl w:val="5"/>
    </w:pPr>
    <w:rPr>
      <w:color w:val="918585"/>
      <w:sz w:val="20"/>
    </w:rPr>
  </w:style>
  <w:style w:type="paragraph" w:styleId="Heading7">
    <w:name w:val="heading 7"/>
    <w:basedOn w:val="Normal"/>
    <w:next w:val="Normal"/>
    <w:link w:val="Heading7Char"/>
    <w:qFormat/>
    <w:rsid w:val="0010199C"/>
    <w:pPr>
      <w:ind w:left="720"/>
      <w:outlineLvl w:val="6"/>
    </w:pPr>
    <w:rPr>
      <w:i/>
    </w:rPr>
  </w:style>
  <w:style w:type="paragraph" w:styleId="Heading8">
    <w:name w:val="heading 8"/>
    <w:basedOn w:val="Normal"/>
    <w:next w:val="Normal"/>
    <w:link w:val="Heading8Char"/>
    <w:qFormat/>
    <w:rsid w:val="0010199C"/>
    <w:pPr>
      <w:ind w:left="720"/>
      <w:outlineLvl w:val="7"/>
    </w:pPr>
    <w:rPr>
      <w:i/>
    </w:rPr>
  </w:style>
  <w:style w:type="paragraph" w:styleId="Heading9">
    <w:name w:val="heading 9"/>
    <w:basedOn w:val="Normal"/>
    <w:next w:val="Normal"/>
    <w:link w:val="Heading9Char"/>
    <w:qFormat/>
    <w:rsid w:val="0010199C"/>
    <w:pPr>
      <w:ind w:left="720"/>
      <w:outlineLvl w:val="8"/>
    </w:pPr>
    <w:rPr>
      <w:i/>
    </w:rPr>
  </w:style>
  <w:style w:type="character" w:default="1" w:styleId="DefaultParagraphFont">
    <w:name w:val="Default Paragraph Font"/>
    <w:uiPriority w:val="1"/>
    <w:unhideWhenUsed/>
    <w:rsid w:val="001019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99C"/>
  </w:style>
  <w:style w:type="character" w:customStyle="1" w:styleId="Heading1Char">
    <w:name w:val="Heading 1 Char"/>
    <w:basedOn w:val="DefaultParagraphFont"/>
    <w:link w:val="Heading1"/>
    <w:rsid w:val="0010199C"/>
    <w:rPr>
      <w:rFonts w:ascii="Times New Roman" w:eastAsia="Times New Roman" w:hAnsi="Times New Roman" w:cs="Times New Roman"/>
      <w:b/>
      <w:sz w:val="32"/>
      <w:szCs w:val="20"/>
      <w:lang w:eastAsia="en-US"/>
    </w:rPr>
  </w:style>
  <w:style w:type="paragraph" w:styleId="BodyText">
    <w:name w:val="Body Text"/>
    <w:basedOn w:val="Normal"/>
    <w:link w:val="BodyTextChar"/>
    <w:rsid w:val="001019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199C"/>
    <w:rPr>
      <w:rFonts w:ascii="Times New Roman" w:eastAsia="Times New Roman" w:hAnsi="Times New Roman" w:cs="Times New Roman"/>
      <w:sz w:val="24"/>
      <w:lang w:eastAsia="en-US"/>
    </w:rPr>
  </w:style>
  <w:style w:type="paragraph" w:styleId="Footer">
    <w:name w:val="footer"/>
    <w:basedOn w:val="Normal"/>
    <w:link w:val="FooterChar"/>
    <w:rsid w:val="001019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99C"/>
    <w:rPr>
      <w:rFonts w:ascii="Times New Roman" w:eastAsia="Times New Roman" w:hAnsi="Times New Roman" w:cs="Times New Roman"/>
      <w:sz w:val="16"/>
      <w:lang w:eastAsia="en-US"/>
    </w:rPr>
  </w:style>
  <w:style w:type="character" w:customStyle="1" w:styleId="SpecialBold">
    <w:name w:val="Special Bold"/>
    <w:basedOn w:val="DefaultParagraphFont"/>
    <w:rsid w:val="0010199C"/>
    <w:rPr>
      <w:b/>
      <w:spacing w:val="0"/>
    </w:rPr>
  </w:style>
  <w:style w:type="paragraph" w:customStyle="1" w:styleId="SuperHeading">
    <w:name w:val="SuperHeading"/>
    <w:basedOn w:val="Normal"/>
    <w:rsid w:val="0010199C"/>
    <w:pPr>
      <w:spacing w:before="240" w:after="120"/>
      <w:outlineLvl w:val="0"/>
    </w:pPr>
    <w:rPr>
      <w:rFonts w:ascii="Times New Roman" w:hAnsi="Times New Roman"/>
      <w:b/>
      <w:sz w:val="28"/>
    </w:rPr>
  </w:style>
  <w:style w:type="paragraph" w:customStyle="1" w:styleId="AllowPageBreak">
    <w:name w:val="AllowPageBreak"/>
    <w:rsid w:val="001019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19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9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9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9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9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9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9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99C"/>
    <w:rPr>
      <w:rFonts w:ascii="Courier New" w:eastAsia="Times New Roman" w:hAnsi="Courier New" w:cs="Times New Roman"/>
      <w:i/>
      <w:szCs w:val="20"/>
      <w:lang w:eastAsia="en-US"/>
    </w:rPr>
  </w:style>
  <w:style w:type="paragraph" w:customStyle="1" w:styleId="HeadingBase">
    <w:name w:val="Heading Base"/>
    <w:rsid w:val="001019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99C"/>
    <w:pPr>
      <w:tabs>
        <w:tab w:val="right" w:leader="dot" w:pos="9072"/>
      </w:tabs>
      <w:ind w:left="567"/>
    </w:pPr>
    <w:rPr>
      <w:szCs w:val="22"/>
    </w:rPr>
  </w:style>
  <w:style w:type="paragraph" w:customStyle="1" w:styleId="TOCBase">
    <w:name w:val="TOC Base"/>
    <w:rsid w:val="001019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99C"/>
    <w:pPr>
      <w:tabs>
        <w:tab w:val="right" w:leader="dot" w:pos="9072"/>
      </w:tabs>
      <w:spacing w:before="40" w:after="40"/>
      <w:ind w:left="284"/>
    </w:pPr>
    <w:rPr>
      <w:rFonts w:ascii="Times New Roman" w:hAnsi="Times New Roman"/>
    </w:rPr>
  </w:style>
  <w:style w:type="paragraph" w:styleId="TOC1">
    <w:name w:val="toc 1"/>
    <w:basedOn w:val="TOCBase"/>
    <w:next w:val="Normal"/>
    <w:rsid w:val="001019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199C"/>
    <w:pPr>
      <w:spacing w:before="5040"/>
      <w:jc w:val="center"/>
    </w:pPr>
    <w:rPr>
      <w:sz w:val="48"/>
      <w:szCs w:val="72"/>
      <w:lang w:val="en-US"/>
    </w:rPr>
  </w:style>
  <w:style w:type="character" w:customStyle="1" w:styleId="TitleChar">
    <w:name w:val="Title Char"/>
    <w:basedOn w:val="DefaultParagraphFont"/>
    <w:link w:val="Title"/>
    <w:rsid w:val="001019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99C"/>
    <w:pPr>
      <w:tabs>
        <w:tab w:val="left" w:pos="3600"/>
        <w:tab w:val="left" w:pos="3958"/>
      </w:tabs>
    </w:pPr>
  </w:style>
  <w:style w:type="paragraph" w:styleId="List">
    <w:name w:val="List"/>
    <w:basedOn w:val="BodyText"/>
    <w:next w:val="BodyText"/>
    <w:rsid w:val="0010199C"/>
    <w:pPr>
      <w:tabs>
        <w:tab w:val="left" w:pos="340"/>
      </w:tabs>
      <w:spacing w:before="60" w:after="60"/>
      <w:ind w:left="340" w:hanging="340"/>
    </w:pPr>
  </w:style>
  <w:style w:type="paragraph" w:styleId="ListBullet">
    <w:name w:val="List Bullet"/>
    <w:basedOn w:val="List"/>
    <w:rsid w:val="0010199C"/>
    <w:pPr>
      <w:numPr>
        <w:numId w:val="11"/>
      </w:numPr>
      <w:tabs>
        <w:tab w:val="clear" w:pos="340"/>
      </w:tabs>
      <w:spacing w:before="40" w:after="40"/>
    </w:pPr>
  </w:style>
  <w:style w:type="paragraph" w:customStyle="1" w:styleId="Note">
    <w:name w:val="Note"/>
    <w:basedOn w:val="BodyText"/>
    <w:rsid w:val="001019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99C"/>
    <w:pPr>
      <w:framePr w:wrap="auto" w:hAnchor="text" w:y="6049"/>
    </w:pPr>
    <w:rPr>
      <w:color w:val="000000"/>
      <w:sz w:val="40"/>
    </w:rPr>
  </w:style>
  <w:style w:type="paragraph" w:customStyle="1" w:styleId="TOCTitle">
    <w:name w:val="TOCTitle"/>
    <w:basedOn w:val="Heading1"/>
    <w:rsid w:val="0010199C"/>
    <w:pPr>
      <w:spacing w:after="240"/>
      <w:jc w:val="center"/>
      <w:outlineLvl w:val="9"/>
    </w:pPr>
    <w:rPr>
      <w:caps/>
    </w:rPr>
  </w:style>
  <w:style w:type="paragraph" w:customStyle="1" w:styleId="Version">
    <w:name w:val="Version"/>
    <w:rsid w:val="001019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199C"/>
    <w:pPr>
      <w:numPr>
        <w:numId w:val="12"/>
      </w:numPr>
      <w:tabs>
        <w:tab w:val="clear" w:pos="680"/>
      </w:tabs>
    </w:pPr>
  </w:style>
  <w:style w:type="paragraph" w:styleId="Index1">
    <w:name w:val="index 1"/>
    <w:basedOn w:val="Normal"/>
    <w:next w:val="Normal"/>
    <w:semiHidden/>
    <w:rsid w:val="0010199C"/>
    <w:pPr>
      <w:keepNext w:val="0"/>
      <w:tabs>
        <w:tab w:val="right" w:pos="4176"/>
      </w:tabs>
      <w:ind w:left="198" w:hanging="198"/>
    </w:pPr>
    <w:rPr>
      <w:rFonts w:ascii="Garamond" w:hAnsi="Garamond"/>
    </w:rPr>
  </w:style>
  <w:style w:type="paragraph" w:styleId="IndexHeading">
    <w:name w:val="index heading"/>
    <w:basedOn w:val="Normal"/>
    <w:next w:val="Index1"/>
    <w:semiHidden/>
    <w:rsid w:val="0010199C"/>
    <w:pPr>
      <w:spacing w:before="120" w:after="120"/>
    </w:pPr>
    <w:rPr>
      <w:rFonts w:ascii="Arial" w:hAnsi="Arial"/>
      <w:b/>
      <w:color w:val="918585"/>
      <w:sz w:val="24"/>
    </w:rPr>
  </w:style>
  <w:style w:type="paragraph" w:styleId="Header">
    <w:name w:val="header"/>
    <w:basedOn w:val="Normal"/>
    <w:link w:val="HeaderChar"/>
    <w:rsid w:val="001019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99C"/>
    <w:rPr>
      <w:rFonts w:ascii="Times New Roman" w:eastAsia="Times New Roman" w:hAnsi="Times New Roman" w:cs="Times New Roman"/>
      <w:sz w:val="16"/>
      <w:szCs w:val="20"/>
      <w:lang w:val="en-GB" w:eastAsia="en-US"/>
    </w:rPr>
  </w:style>
  <w:style w:type="paragraph" w:customStyle="1" w:styleId="Chapter">
    <w:name w:val="Chapter"/>
    <w:basedOn w:val="Normal"/>
    <w:rsid w:val="0010199C"/>
    <w:pPr>
      <w:spacing w:before="240"/>
    </w:pPr>
    <w:rPr>
      <w:rFonts w:ascii="Times New Roman" w:hAnsi="Times New Roman"/>
      <w:smallCaps/>
      <w:spacing w:val="80"/>
      <w:sz w:val="28"/>
    </w:rPr>
  </w:style>
  <w:style w:type="paragraph" w:customStyle="1" w:styleId="InChapter">
    <w:name w:val="InChapter"/>
    <w:basedOn w:val="Heading3"/>
    <w:rsid w:val="0010199C"/>
    <w:pPr>
      <w:spacing w:after="240"/>
      <w:outlineLvl w:val="9"/>
    </w:pPr>
    <w:rPr>
      <w:noProof/>
    </w:rPr>
  </w:style>
  <w:style w:type="paragraph" w:styleId="Index2">
    <w:name w:val="index 2"/>
    <w:basedOn w:val="Normal"/>
    <w:next w:val="Normal"/>
    <w:semiHidden/>
    <w:rsid w:val="0010199C"/>
    <w:pPr>
      <w:tabs>
        <w:tab w:val="right" w:pos="4176"/>
      </w:tabs>
      <w:ind w:left="568" w:hanging="284"/>
    </w:pPr>
    <w:rPr>
      <w:rFonts w:ascii="Garamond" w:hAnsi="Garamond"/>
    </w:rPr>
  </w:style>
  <w:style w:type="paragraph" w:customStyle="1" w:styleId="Byline">
    <w:name w:val="Byline"/>
    <w:rsid w:val="001019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99C"/>
    <w:pPr>
      <w:tabs>
        <w:tab w:val="clear" w:pos="3600"/>
        <w:tab w:val="clear" w:pos="3958"/>
      </w:tabs>
      <w:jc w:val="right"/>
    </w:pPr>
  </w:style>
  <w:style w:type="character" w:styleId="Emphasis">
    <w:name w:val="Emphasis"/>
    <w:basedOn w:val="DefaultParagraphFont"/>
    <w:qFormat/>
    <w:rsid w:val="0010199C"/>
    <w:rPr>
      <w:i/>
    </w:rPr>
  </w:style>
  <w:style w:type="paragraph" w:styleId="Caption">
    <w:name w:val="caption"/>
    <w:basedOn w:val="BodyText"/>
    <w:next w:val="Normal"/>
    <w:qFormat/>
    <w:rsid w:val="0010199C"/>
    <w:pPr>
      <w:framePr w:w="2268" w:hSpace="181" w:vSpace="181" w:wrap="around" w:vAnchor="text" w:hAnchor="page" w:x="1135" w:y="285" w:anchorLock="1"/>
    </w:pPr>
    <w:rPr>
      <w:i/>
    </w:rPr>
  </w:style>
  <w:style w:type="paragraph" w:customStyle="1" w:styleId="MiniTOCTitle">
    <w:name w:val="MiniTOCTitle"/>
    <w:basedOn w:val="Heading4"/>
    <w:rsid w:val="0010199C"/>
    <w:pPr>
      <w:spacing w:before="240"/>
      <w:outlineLvl w:val="9"/>
    </w:pPr>
    <w:rPr>
      <w:noProof/>
      <w:sz w:val="24"/>
    </w:rPr>
  </w:style>
  <w:style w:type="paragraph" w:customStyle="1" w:styleId="MiniTOCItem">
    <w:name w:val="MiniTOCItem"/>
    <w:basedOn w:val="ListBullet"/>
    <w:rsid w:val="0010199C"/>
    <w:pPr>
      <w:numPr>
        <w:numId w:val="0"/>
      </w:numPr>
      <w:tabs>
        <w:tab w:val="right" w:leader="dot" w:pos="6521"/>
      </w:tabs>
      <w:spacing w:before="0" w:after="0"/>
    </w:pPr>
  </w:style>
  <w:style w:type="paragraph" w:customStyle="1" w:styleId="TOFTitle">
    <w:name w:val="TOFTitle"/>
    <w:basedOn w:val="TOCTitle"/>
    <w:rsid w:val="0010199C"/>
  </w:style>
  <w:style w:type="paragraph" w:styleId="TableofFigures">
    <w:name w:val="table of figures"/>
    <w:basedOn w:val="Normal"/>
    <w:next w:val="Normal"/>
    <w:semiHidden/>
    <w:rsid w:val="0010199C"/>
    <w:pPr>
      <w:tabs>
        <w:tab w:val="right" w:leader="dot" w:pos="9072"/>
      </w:tabs>
      <w:ind w:left="970" w:hanging="403"/>
    </w:pPr>
    <w:rPr>
      <w:rFonts w:ascii="Times New Roman" w:hAnsi="Times New Roman"/>
      <w:b/>
    </w:rPr>
  </w:style>
  <w:style w:type="paragraph" w:styleId="ListNumber">
    <w:name w:val="List Number"/>
    <w:basedOn w:val="List"/>
    <w:rsid w:val="0010199C"/>
    <w:pPr>
      <w:numPr>
        <w:numId w:val="9"/>
      </w:numPr>
    </w:pPr>
  </w:style>
  <w:style w:type="character" w:customStyle="1" w:styleId="WingdingSymbols">
    <w:name w:val="Wingding Symbols"/>
    <w:rsid w:val="0010199C"/>
    <w:rPr>
      <w:rFonts w:ascii="Wingdings" w:hAnsi="Wingdings"/>
    </w:rPr>
  </w:style>
  <w:style w:type="paragraph" w:customStyle="1" w:styleId="TableHeading">
    <w:name w:val="Table Heading"/>
    <w:basedOn w:val="HeadingBase"/>
    <w:rsid w:val="0010199C"/>
    <w:pPr>
      <w:keepLines/>
      <w:pBdr>
        <w:bottom w:val="single" w:sz="6" w:space="1" w:color="918585"/>
      </w:pBdr>
      <w:spacing w:before="240"/>
    </w:pPr>
  </w:style>
  <w:style w:type="character" w:customStyle="1" w:styleId="HotSpot">
    <w:name w:val="HotSpot"/>
    <w:rsid w:val="0010199C"/>
    <w:rPr>
      <w:color w:val="0033CC"/>
      <w:u w:val="none"/>
    </w:rPr>
  </w:style>
  <w:style w:type="paragraph" w:customStyle="1" w:styleId="BodyTextRight">
    <w:name w:val="Body Text Right"/>
    <w:basedOn w:val="BodyText"/>
    <w:rsid w:val="0010199C"/>
    <w:pPr>
      <w:spacing w:before="0" w:after="0"/>
      <w:jc w:val="right"/>
    </w:pPr>
  </w:style>
  <w:style w:type="paragraph" w:styleId="Index3">
    <w:name w:val="index 3"/>
    <w:basedOn w:val="ListNumber2"/>
    <w:next w:val="Normal"/>
    <w:semiHidden/>
    <w:rsid w:val="0010199C"/>
    <w:pPr>
      <w:numPr>
        <w:numId w:val="0"/>
      </w:numPr>
      <w:tabs>
        <w:tab w:val="right" w:leader="dot" w:pos="4176"/>
      </w:tabs>
    </w:pPr>
  </w:style>
  <w:style w:type="paragraph" w:styleId="ListNumber2">
    <w:name w:val="List Number 2"/>
    <w:basedOn w:val="List2"/>
    <w:rsid w:val="0010199C"/>
    <w:pPr>
      <w:numPr>
        <w:numId w:val="8"/>
      </w:numPr>
      <w:tabs>
        <w:tab w:val="clear" w:pos="1060"/>
      </w:tabs>
    </w:pPr>
  </w:style>
  <w:style w:type="paragraph" w:customStyle="1" w:styleId="MarginNote">
    <w:name w:val="Margin Note"/>
    <w:basedOn w:val="BodyText"/>
    <w:rsid w:val="001019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9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9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99C"/>
    <w:rPr>
      <w:sz w:val="32"/>
    </w:rPr>
  </w:style>
  <w:style w:type="paragraph" w:customStyle="1" w:styleId="HeadingProcedure">
    <w:name w:val="Heading Procedure"/>
    <w:basedOn w:val="HeadingBase"/>
    <w:next w:val="Normal"/>
    <w:rsid w:val="0010199C"/>
    <w:pPr>
      <w:tabs>
        <w:tab w:val="left" w:pos="0"/>
      </w:tabs>
      <w:spacing w:before="120" w:after="60"/>
    </w:pPr>
    <w:rPr>
      <w:i/>
      <w:color w:val="918585"/>
      <w:sz w:val="22"/>
    </w:rPr>
  </w:style>
  <w:style w:type="paragraph" w:customStyle="1" w:styleId="TableBodyText">
    <w:name w:val="Table Body Text"/>
    <w:basedOn w:val="BodyText"/>
    <w:rsid w:val="0010199C"/>
    <w:pPr>
      <w:spacing w:before="60" w:after="60"/>
    </w:pPr>
  </w:style>
  <w:style w:type="paragraph" w:styleId="ListContinue">
    <w:name w:val="List Continue"/>
    <w:basedOn w:val="List"/>
    <w:rsid w:val="0010199C"/>
    <w:pPr>
      <w:ind w:firstLine="0"/>
    </w:pPr>
  </w:style>
  <w:style w:type="paragraph" w:customStyle="1" w:styleId="ListNote">
    <w:name w:val="List Note"/>
    <w:basedOn w:val="List"/>
    <w:rsid w:val="0010199C"/>
    <w:pPr>
      <w:pBdr>
        <w:top w:val="single" w:sz="6" w:space="2" w:color="918585"/>
        <w:bottom w:val="single" w:sz="6" w:space="2" w:color="918585"/>
      </w:pBdr>
      <w:tabs>
        <w:tab w:val="left" w:pos="1021"/>
      </w:tabs>
      <w:ind w:firstLine="0"/>
    </w:pPr>
  </w:style>
  <w:style w:type="paragraph" w:customStyle="1" w:styleId="Warning">
    <w:name w:val="Warning"/>
    <w:basedOn w:val="BodyText"/>
    <w:rsid w:val="0010199C"/>
    <w:pPr>
      <w:shd w:val="clear" w:color="auto" w:fill="D9D9D9"/>
      <w:tabs>
        <w:tab w:val="left" w:pos="992"/>
      </w:tabs>
      <w:ind w:left="119" w:right="119"/>
    </w:pPr>
    <w:rPr>
      <w:sz w:val="20"/>
    </w:rPr>
  </w:style>
  <w:style w:type="paragraph" w:customStyle="1" w:styleId="MarginIcons">
    <w:name w:val="Margin Icons"/>
    <w:basedOn w:val="BodyText"/>
    <w:rsid w:val="001019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99C"/>
    <w:rPr>
      <w:rFonts w:ascii="Courier New" w:hAnsi="Courier New"/>
    </w:rPr>
  </w:style>
  <w:style w:type="paragraph" w:customStyle="1" w:styleId="NoteBullet">
    <w:name w:val="Note Bullet"/>
    <w:basedOn w:val="Note"/>
    <w:rsid w:val="0010199C"/>
    <w:pPr>
      <w:tabs>
        <w:tab w:val="clear" w:pos="680"/>
      </w:tabs>
      <w:spacing w:before="60" w:after="60"/>
    </w:pPr>
  </w:style>
  <w:style w:type="paragraph" w:customStyle="1" w:styleId="SubHeading2">
    <w:name w:val="SubHeading2"/>
    <w:basedOn w:val="HeadingBase"/>
    <w:rsid w:val="0010199C"/>
    <w:pPr>
      <w:spacing w:before="240" w:after="60"/>
    </w:pPr>
    <w:rPr>
      <w:sz w:val="20"/>
    </w:rPr>
  </w:style>
  <w:style w:type="paragraph" w:customStyle="1" w:styleId="SubHeading1">
    <w:name w:val="SubHeading1"/>
    <w:basedOn w:val="HeadingBase"/>
    <w:rsid w:val="0010199C"/>
    <w:pPr>
      <w:spacing w:before="240" w:after="60"/>
    </w:pPr>
    <w:rPr>
      <w:color w:val="918585"/>
      <w:sz w:val="22"/>
    </w:rPr>
  </w:style>
  <w:style w:type="paragraph" w:customStyle="1" w:styleId="SideHeading">
    <w:name w:val="Side Heading"/>
    <w:basedOn w:val="HeadingBase"/>
    <w:rsid w:val="001019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99C"/>
    <w:pPr>
      <w:numPr>
        <w:numId w:val="10"/>
      </w:numPr>
    </w:pPr>
  </w:style>
  <w:style w:type="paragraph" w:styleId="PlainText">
    <w:name w:val="Plain Text"/>
    <w:basedOn w:val="Normal"/>
    <w:link w:val="PlainTextChar"/>
    <w:rsid w:val="0010199C"/>
    <w:rPr>
      <w:sz w:val="20"/>
    </w:rPr>
  </w:style>
  <w:style w:type="character" w:customStyle="1" w:styleId="PlainTextChar">
    <w:name w:val="Plain Text Char"/>
    <w:basedOn w:val="DefaultParagraphFont"/>
    <w:link w:val="PlainText"/>
    <w:rsid w:val="0010199C"/>
    <w:rPr>
      <w:rFonts w:ascii="Courier New" w:eastAsia="Times New Roman" w:hAnsi="Courier New" w:cs="Times New Roman"/>
      <w:sz w:val="20"/>
      <w:szCs w:val="20"/>
      <w:lang w:eastAsia="en-US"/>
    </w:rPr>
  </w:style>
  <w:style w:type="character" w:customStyle="1" w:styleId="MenuOption">
    <w:name w:val="Menu Option"/>
    <w:basedOn w:val="DefaultParagraphFont"/>
    <w:rsid w:val="0010199C"/>
    <w:rPr>
      <w:b/>
      <w:smallCaps/>
    </w:rPr>
  </w:style>
  <w:style w:type="paragraph" w:customStyle="1" w:styleId="TableListNumber">
    <w:name w:val="Table List Number"/>
    <w:basedOn w:val="ListNumber"/>
    <w:rsid w:val="0010199C"/>
    <w:pPr>
      <w:numPr>
        <w:numId w:val="0"/>
      </w:numPr>
    </w:pPr>
  </w:style>
  <w:style w:type="paragraph" w:styleId="TOC4">
    <w:name w:val="toc 4"/>
    <w:basedOn w:val="TOCBase"/>
    <w:next w:val="Normal"/>
    <w:semiHidden/>
    <w:rsid w:val="0010199C"/>
    <w:pPr>
      <w:tabs>
        <w:tab w:val="right" w:leader="dot" w:pos="9071"/>
      </w:tabs>
      <w:ind w:left="1701"/>
    </w:pPr>
  </w:style>
  <w:style w:type="paragraph" w:customStyle="1" w:styleId="ListAlpha">
    <w:name w:val="List Alpha"/>
    <w:basedOn w:val="List"/>
    <w:rsid w:val="0010199C"/>
    <w:pPr>
      <w:numPr>
        <w:numId w:val="7"/>
      </w:numPr>
    </w:pPr>
  </w:style>
  <w:style w:type="paragraph" w:customStyle="1" w:styleId="ListAlpha2">
    <w:name w:val="List Alpha 2"/>
    <w:basedOn w:val="List2"/>
    <w:rsid w:val="0010199C"/>
    <w:pPr>
      <w:numPr>
        <w:numId w:val="6"/>
      </w:numPr>
    </w:pPr>
  </w:style>
  <w:style w:type="paragraph" w:styleId="List2">
    <w:name w:val="List 2"/>
    <w:basedOn w:val="BodyText"/>
    <w:rsid w:val="0010199C"/>
    <w:pPr>
      <w:tabs>
        <w:tab w:val="left" w:pos="680"/>
      </w:tabs>
      <w:spacing w:before="60" w:after="60"/>
      <w:ind w:left="680" w:hanging="340"/>
    </w:pPr>
  </w:style>
  <w:style w:type="paragraph" w:styleId="List3">
    <w:name w:val="List 3"/>
    <w:basedOn w:val="BodyText"/>
    <w:rsid w:val="0010199C"/>
    <w:pPr>
      <w:tabs>
        <w:tab w:val="left" w:pos="1021"/>
      </w:tabs>
      <w:spacing w:before="60" w:after="60"/>
      <w:ind w:left="1020" w:hanging="340"/>
    </w:pPr>
  </w:style>
  <w:style w:type="paragraph" w:styleId="List4">
    <w:name w:val="List 4"/>
    <w:basedOn w:val="BodyText"/>
    <w:rsid w:val="0010199C"/>
    <w:pPr>
      <w:tabs>
        <w:tab w:val="left" w:pos="1361"/>
      </w:tabs>
      <w:spacing w:before="60" w:after="60"/>
      <w:ind w:left="1361" w:hanging="340"/>
    </w:pPr>
  </w:style>
  <w:style w:type="paragraph" w:styleId="List5">
    <w:name w:val="List 5"/>
    <w:basedOn w:val="BodyText"/>
    <w:rsid w:val="0010199C"/>
    <w:pPr>
      <w:tabs>
        <w:tab w:val="left" w:pos="1701"/>
      </w:tabs>
      <w:spacing w:before="60" w:after="60"/>
      <w:ind w:left="1701" w:hanging="340"/>
    </w:pPr>
  </w:style>
  <w:style w:type="paragraph" w:styleId="ListBullet3">
    <w:name w:val="List Bullet 3"/>
    <w:basedOn w:val="List3"/>
    <w:rsid w:val="0010199C"/>
    <w:pPr>
      <w:numPr>
        <w:numId w:val="13"/>
      </w:numPr>
      <w:tabs>
        <w:tab w:val="clear" w:pos="1021"/>
      </w:tabs>
      <w:ind w:left="1037" w:hanging="357"/>
    </w:pPr>
  </w:style>
  <w:style w:type="paragraph" w:styleId="ListBullet4">
    <w:name w:val="List Bullet 4"/>
    <w:basedOn w:val="List4"/>
    <w:rsid w:val="0010199C"/>
    <w:pPr>
      <w:numPr>
        <w:numId w:val="1"/>
      </w:numPr>
    </w:pPr>
  </w:style>
  <w:style w:type="paragraph" w:styleId="ListBullet5">
    <w:name w:val="List Bullet 5"/>
    <w:basedOn w:val="List5"/>
    <w:rsid w:val="0010199C"/>
    <w:pPr>
      <w:numPr>
        <w:numId w:val="2"/>
      </w:numPr>
    </w:pPr>
  </w:style>
  <w:style w:type="paragraph" w:styleId="ListContinue2">
    <w:name w:val="List Continue 2"/>
    <w:basedOn w:val="List2"/>
    <w:rsid w:val="0010199C"/>
    <w:pPr>
      <w:ind w:firstLine="0"/>
    </w:pPr>
  </w:style>
  <w:style w:type="paragraph" w:styleId="ListContinue3">
    <w:name w:val="List Continue 3"/>
    <w:basedOn w:val="List3"/>
    <w:rsid w:val="0010199C"/>
    <w:pPr>
      <w:ind w:left="1021" w:firstLine="0"/>
    </w:pPr>
  </w:style>
  <w:style w:type="paragraph" w:styleId="ListContinue4">
    <w:name w:val="List Continue 4"/>
    <w:basedOn w:val="List4"/>
    <w:rsid w:val="0010199C"/>
    <w:pPr>
      <w:ind w:firstLine="0"/>
    </w:pPr>
  </w:style>
  <w:style w:type="paragraph" w:styleId="ListContinue5">
    <w:name w:val="List Continue 5"/>
    <w:basedOn w:val="List5"/>
    <w:rsid w:val="0010199C"/>
    <w:pPr>
      <w:ind w:firstLine="0"/>
    </w:pPr>
  </w:style>
  <w:style w:type="paragraph" w:styleId="ListNumber3">
    <w:name w:val="List Number 3"/>
    <w:basedOn w:val="List3"/>
    <w:rsid w:val="0010199C"/>
    <w:pPr>
      <w:numPr>
        <w:numId w:val="3"/>
      </w:numPr>
    </w:pPr>
  </w:style>
  <w:style w:type="paragraph" w:styleId="ListNumber4">
    <w:name w:val="List Number 4"/>
    <w:basedOn w:val="List4"/>
    <w:rsid w:val="0010199C"/>
    <w:pPr>
      <w:numPr>
        <w:numId w:val="4"/>
      </w:numPr>
    </w:pPr>
  </w:style>
  <w:style w:type="paragraph" w:styleId="ListNumber5">
    <w:name w:val="List Number 5"/>
    <w:basedOn w:val="List5"/>
    <w:rsid w:val="0010199C"/>
    <w:pPr>
      <w:numPr>
        <w:numId w:val="5"/>
      </w:numPr>
    </w:pPr>
  </w:style>
  <w:style w:type="paragraph" w:styleId="BlockText">
    <w:name w:val="Block Text"/>
    <w:basedOn w:val="Normal"/>
    <w:rsid w:val="0010199C"/>
    <w:pPr>
      <w:spacing w:after="120"/>
      <w:ind w:left="1440" w:right="1440"/>
    </w:pPr>
  </w:style>
  <w:style w:type="character" w:customStyle="1" w:styleId="Subscript">
    <w:name w:val="Subscript"/>
    <w:basedOn w:val="DefaultParagraphFont"/>
    <w:rsid w:val="0010199C"/>
    <w:rPr>
      <w:sz w:val="16"/>
      <w:vertAlign w:val="subscript"/>
    </w:rPr>
  </w:style>
  <w:style w:type="character" w:customStyle="1" w:styleId="Superscript">
    <w:name w:val="Superscript"/>
    <w:basedOn w:val="DefaultParagraphFont"/>
    <w:rsid w:val="0010199C"/>
    <w:rPr>
      <w:sz w:val="16"/>
      <w:vertAlign w:val="superscript"/>
    </w:rPr>
  </w:style>
  <w:style w:type="character" w:customStyle="1" w:styleId="Symbols">
    <w:name w:val="Symbols"/>
    <w:basedOn w:val="DefaultParagraphFont"/>
    <w:rsid w:val="0010199C"/>
    <w:rPr>
      <w:rFonts w:ascii="Symbol" w:hAnsi="Symbol"/>
    </w:rPr>
  </w:style>
  <w:style w:type="character" w:customStyle="1" w:styleId="MenuOptions">
    <w:name w:val="Menu Options"/>
    <w:basedOn w:val="DefaultParagraphFont"/>
    <w:rsid w:val="0010199C"/>
    <w:rPr>
      <w:rFonts w:ascii="Arial Narrow" w:hAnsi="Arial Narrow"/>
      <w:smallCaps/>
    </w:rPr>
  </w:style>
  <w:style w:type="character" w:customStyle="1" w:styleId="Buttons">
    <w:name w:val="Buttons"/>
    <w:basedOn w:val="DefaultParagraphFont"/>
    <w:rsid w:val="0010199C"/>
    <w:rPr>
      <w:b/>
    </w:rPr>
  </w:style>
  <w:style w:type="character" w:customStyle="1" w:styleId="Underlined">
    <w:name w:val="Underlined"/>
    <w:basedOn w:val="DefaultParagraphFont"/>
    <w:rsid w:val="0010199C"/>
    <w:rPr>
      <w:u w:val="single"/>
    </w:rPr>
  </w:style>
  <w:style w:type="paragraph" w:customStyle="1" w:styleId="TableBodyTextRight">
    <w:name w:val="Table Body Text Right"/>
    <w:basedOn w:val="TableBodyText"/>
    <w:rsid w:val="0010199C"/>
    <w:pPr>
      <w:widowControl w:val="0"/>
      <w:autoSpaceDE w:val="0"/>
      <w:autoSpaceDN w:val="0"/>
      <w:adjustRightInd w:val="0"/>
      <w:jc w:val="right"/>
    </w:pPr>
    <w:rPr>
      <w:rFonts w:cs="Arial"/>
      <w:szCs w:val="18"/>
    </w:rPr>
  </w:style>
  <w:style w:type="paragraph" w:customStyle="1" w:styleId="CopyrightText">
    <w:name w:val="Copyright Text"/>
    <w:basedOn w:val="BodyText"/>
    <w:rsid w:val="0010199C"/>
    <w:rPr>
      <w:sz w:val="18"/>
    </w:rPr>
  </w:style>
  <w:style w:type="paragraph" w:customStyle="1" w:styleId="BodySmallRight">
    <w:name w:val="Body Small Right"/>
    <w:basedOn w:val="BodyTextRight"/>
    <w:rsid w:val="0010199C"/>
    <w:rPr>
      <w:sz w:val="18"/>
      <w:szCs w:val="18"/>
    </w:rPr>
  </w:style>
  <w:style w:type="paragraph" w:customStyle="1" w:styleId="MarginEdition">
    <w:name w:val="Margin Edition"/>
    <w:basedOn w:val="MarginNote"/>
    <w:rsid w:val="0010199C"/>
    <w:pPr>
      <w:spacing w:before="0" w:after="0"/>
    </w:pPr>
    <w:rPr>
      <w:rFonts w:ascii="Times New Roman" w:hAnsi="Times New Roman"/>
      <w:color w:val="999999"/>
    </w:rPr>
  </w:style>
  <w:style w:type="paragraph" w:customStyle="1" w:styleId="Spacer">
    <w:name w:val="Spacer"/>
    <w:basedOn w:val="Normal"/>
    <w:rsid w:val="0010199C"/>
    <w:rPr>
      <w:sz w:val="2"/>
      <w:szCs w:val="2"/>
    </w:rPr>
  </w:style>
  <w:style w:type="character" w:customStyle="1" w:styleId="Small">
    <w:name w:val="Small"/>
    <w:basedOn w:val="DefaultParagraphFont"/>
    <w:rsid w:val="0010199C"/>
    <w:rPr>
      <w:sz w:val="16"/>
    </w:rPr>
  </w:style>
  <w:style w:type="paragraph" w:customStyle="1" w:styleId="WideTable">
    <w:name w:val="Wide Table"/>
    <w:basedOn w:val="Normal"/>
    <w:rsid w:val="0010199C"/>
    <w:pPr>
      <w:ind w:left="-1418"/>
    </w:pPr>
    <w:rPr>
      <w:sz w:val="2"/>
      <w:szCs w:val="2"/>
    </w:rPr>
  </w:style>
  <w:style w:type="character" w:styleId="PageNumber">
    <w:name w:val="page number"/>
    <w:basedOn w:val="DefaultParagraphFont"/>
    <w:rsid w:val="0010199C"/>
  </w:style>
  <w:style w:type="paragraph" w:styleId="Quote">
    <w:name w:val="Quote"/>
    <w:basedOn w:val="Heading1"/>
    <w:link w:val="QuoteChar"/>
    <w:qFormat/>
    <w:rsid w:val="0010199C"/>
    <w:rPr>
      <w:b w:val="0"/>
      <w:sz w:val="72"/>
      <w:szCs w:val="72"/>
      <w:lang w:val="en-NZ"/>
    </w:rPr>
  </w:style>
  <w:style w:type="character" w:customStyle="1" w:styleId="QuoteChar">
    <w:name w:val="Quote Char"/>
    <w:basedOn w:val="DefaultParagraphFont"/>
    <w:link w:val="Quote"/>
    <w:rsid w:val="001019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99C"/>
    <w:pPr>
      <w:pageBreakBefore/>
    </w:pPr>
  </w:style>
  <w:style w:type="paragraph" w:customStyle="1" w:styleId="Border">
    <w:name w:val="Border"/>
    <w:basedOn w:val="Normal"/>
    <w:qFormat/>
    <w:rsid w:val="001019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99C"/>
    <w:rPr>
      <w:b/>
      <w:bCs/>
      <w:i/>
      <w:iCs/>
      <w:color w:val="auto"/>
    </w:rPr>
  </w:style>
  <w:style w:type="paragraph" w:styleId="IntenseQuote">
    <w:name w:val="Intense Quote"/>
    <w:basedOn w:val="Normal"/>
    <w:next w:val="Normal"/>
    <w:link w:val="IntenseQuoteChar"/>
    <w:uiPriority w:val="30"/>
    <w:qFormat/>
    <w:rsid w:val="001019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9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99C"/>
    <w:rPr>
      <w:smallCaps/>
      <w:color w:val="auto"/>
      <w:u w:val="single"/>
    </w:rPr>
  </w:style>
  <w:style w:type="character" w:styleId="IntenseReference">
    <w:name w:val="Intense Reference"/>
    <w:basedOn w:val="DefaultParagraphFont"/>
    <w:uiPriority w:val="32"/>
    <w:qFormat/>
    <w:rsid w:val="0010199C"/>
    <w:rPr>
      <w:b/>
      <w:bCs/>
      <w:smallCaps/>
      <w:color w:val="auto"/>
      <w:spacing w:val="5"/>
      <w:u w:val="single"/>
    </w:rPr>
  </w:style>
  <w:style w:type="paragraph" w:customStyle="1" w:styleId="2ColumnHeading">
    <w:name w:val="2Column Heading"/>
    <w:basedOn w:val="BodyText"/>
    <w:qFormat/>
    <w:rsid w:val="0010199C"/>
    <w:pPr>
      <w:spacing w:after="60"/>
      <w:ind w:left="-2268"/>
    </w:pPr>
    <w:rPr>
      <w:b/>
    </w:rPr>
  </w:style>
  <w:style w:type="paragraph" w:customStyle="1" w:styleId="Heading1TOC">
    <w:name w:val="Heading1 TOC"/>
    <w:basedOn w:val="Normal"/>
    <w:qFormat/>
    <w:rsid w:val="0010199C"/>
    <w:pPr>
      <w:spacing w:before="240" w:after="120"/>
    </w:pPr>
    <w:rPr>
      <w:rFonts w:ascii="Times New Roman" w:hAnsi="Times New Roman"/>
      <w:b/>
      <w:sz w:val="32"/>
    </w:rPr>
  </w:style>
  <w:style w:type="paragraph" w:customStyle="1" w:styleId="Heading2TOC">
    <w:name w:val="Heading2 TOC"/>
    <w:basedOn w:val="Normal"/>
    <w:qFormat/>
    <w:rsid w:val="0010199C"/>
    <w:pPr>
      <w:spacing w:before="240" w:after="60"/>
    </w:pPr>
    <w:rPr>
      <w:rFonts w:ascii="Times New Roman" w:hAnsi="Times New Roman"/>
      <w:b/>
      <w:sz w:val="28"/>
    </w:rPr>
  </w:style>
  <w:style w:type="character" w:customStyle="1" w:styleId="Underline">
    <w:name w:val="Underline"/>
    <w:basedOn w:val="DefaultParagraphFont"/>
    <w:qFormat/>
    <w:rsid w:val="0010199C"/>
    <w:rPr>
      <w:u w:val="single"/>
    </w:rPr>
  </w:style>
  <w:style w:type="character" w:customStyle="1" w:styleId="BoldandItalics">
    <w:name w:val="Bold and Italics"/>
    <w:qFormat/>
    <w:rsid w:val="0010199C"/>
    <w:rPr>
      <w:b/>
      <w:i/>
      <w:u w:val="none"/>
    </w:rPr>
  </w:style>
  <w:style w:type="paragraph" w:styleId="BalloonText">
    <w:name w:val="Balloon Text"/>
    <w:basedOn w:val="Normal"/>
    <w:link w:val="BalloonTextChar"/>
    <w:rsid w:val="0010199C"/>
    <w:rPr>
      <w:rFonts w:ascii="Tahoma" w:hAnsi="Tahoma" w:cs="Tahoma"/>
      <w:sz w:val="16"/>
      <w:szCs w:val="16"/>
    </w:rPr>
  </w:style>
  <w:style w:type="character" w:customStyle="1" w:styleId="BalloonTextChar">
    <w:name w:val="Balloon Text Char"/>
    <w:basedOn w:val="DefaultParagraphFont"/>
    <w:link w:val="BalloonText"/>
    <w:rsid w:val="001019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9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19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99C"/>
    <w:rPr>
      <w:b/>
      <w:color w:val="660033"/>
      <w:spacing w:val="0"/>
    </w:rPr>
  </w:style>
  <w:style w:type="paragraph" w:customStyle="1" w:styleId="Nameditemlist">
    <w:name w:val="Named item list"/>
    <w:basedOn w:val="BodyText"/>
    <w:qFormat/>
    <w:rsid w:val="001019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1995</Words>
  <Characters>12513</Characters>
  <Application>Microsoft Office Word</Application>
  <DocSecurity>0</DocSecurity>
  <Lines>432</Lines>
  <Paragraphs>258</Paragraphs>
  <ScaleCrop>false</ScaleCrop>
  <Company>Author-it Software Corporation Ltd.</Company>
  <LinksUpToDate>false</LinksUpToDate>
  <CharactersWithSpaces>14323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ICTTC136B Install, maintain and modify customer premises communications cabling: ACA Restricted Rule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2012-10-05T17:20:00Z</dcterms:created>
  <dcterms:modified xsi:type="dcterms:W3CDTF">2012-10-05T17:20:00Z</dcterms:modified>
</cp:coreProperties>
</file>