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3DB4" w:rsidP="00B93DB4">
      <w:pPr>
        <w:pStyle w:val="Title"/>
      </w:pPr>
      <w:r>
        <w:fldChar w:fldCharType="begin"/>
      </w:r>
      <w:r>
        <w:instrText xml:space="preserve"> TITLE   \* MERGEFORMAT </w:instrText>
      </w:r>
      <w:r>
        <w:fldChar w:fldCharType="separate"/>
      </w:r>
      <w:r>
        <w:t>ICTTC104D Maintain an electronic system</w:t>
      </w:r>
      <w:r>
        <w:fldChar w:fldCharType="end"/>
      </w:r>
    </w:p>
    <w:p w:rsidR="00B93DB4" w:rsidP="00B93DB4">
      <w:pPr>
        <w:pStyle w:val="Version"/>
        <w:sectPr w:rsidSect="000A29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29AD" w:rsidP="000A29AD">
      <w:pPr>
        <w:pStyle w:val="SuperHeading"/>
      </w:pPr>
      <w:r w:rsidRPr="000A29AD">
        <w:t>ICTTC104D Maintain an electronic system</w:t>
      </w:r>
    </w:p>
    <w:p w:rsidR="00000000" w:rsidRPr="000A29AD" w:rsidP="000A29AD">
      <w:pPr>
        <w:pStyle w:val="Heading1"/>
      </w:pPr>
      <w:bookmarkStart w:id="1" w:name="O_320618"/>
      <w:bookmarkEnd w:id="1"/>
      <w:r w:rsidRPr="000A29AD">
        <w:t>Modification History</w:t>
      </w:r>
    </w:p>
    <w:p w:rsidR="00000000" w:rsidRPr="000A29AD" w:rsidP="000A29AD">
      <w:pPr>
        <w:pStyle w:val="BodyText"/>
      </w:pPr>
      <w:r w:rsidRPr="000A29AD">
        <w:t>Not applicable.</w:t>
      </w:r>
    </w:p>
    <w:p w:rsidR="00000000" w:rsidRPr="000A29AD" w:rsidP="000A29AD">
      <w:pPr>
        <w:pStyle w:val="AllowPageBreak"/>
      </w:pPr>
    </w:p>
    <w:p w:rsidR="00000000" w:rsidRPr="000A29AD" w:rsidP="000A29AD">
      <w:pPr>
        <w:pStyle w:val="Heading1"/>
      </w:pPr>
      <w:bookmarkStart w:id="2" w:name="O_320617"/>
      <w:bookmarkEnd w:id="2"/>
      <w:r w:rsidRPr="000A29AD">
        <w:t>Unit Descriptor</w:t>
      </w:r>
    </w:p>
    <w:p w:rsidR="00000000" w:rsidRPr="000A29AD" w:rsidP="000A29AD">
      <w:pPr>
        <w:pStyle w:val="BodyText"/>
      </w:pPr>
      <w:r w:rsidRPr="000A29AD">
        <w:t>This unit applies to all telecommunications applications including telephony, data, video and multi media.</w:t>
      </w:r>
    </w:p>
    <w:p w:rsidR="00000000" w:rsidRPr="000A29AD" w:rsidP="000A29AD">
      <w:pPr>
        <w:pStyle w:val="BodyText"/>
      </w:pPr>
      <w:r w:rsidRPr="000A29AD">
        <w:t>This un</w:t>
      </w:r>
      <w:r w:rsidRPr="000A29AD">
        <w:t>it relates to the periodic testing of systems and equipment on-site (not at the depot) and from remote locations.</w:t>
      </w:r>
    </w:p>
    <w:p w:rsidR="00000000" w:rsidRPr="000A29AD" w:rsidP="000A29AD">
      <w:pPr>
        <w:pStyle w:val="BodyText"/>
      </w:pPr>
      <w:r w:rsidRPr="000A29AD">
        <w:t>No licensing, legislative, regulatory or certification requirements apply to this unit at the time of publication.</w:t>
      </w:r>
    </w:p>
    <w:p w:rsidR="00000000" w:rsidRPr="000A29AD" w:rsidP="000A29AD">
      <w:pPr>
        <w:pStyle w:val="BodyText"/>
      </w:pPr>
      <w:r w:rsidRPr="000A29AD">
        <w:t>This unit applies to all te</w:t>
      </w:r>
      <w:r w:rsidRPr="000A29AD">
        <w:t>lecommunications applications including telephony, data, video and multi media.</w:t>
      </w:r>
    </w:p>
    <w:p w:rsidR="00000000" w:rsidRPr="000A29AD" w:rsidP="000A29AD">
      <w:pPr>
        <w:pStyle w:val="BodyText"/>
      </w:pPr>
      <w:r w:rsidRPr="000A29AD">
        <w:t>This unit relates to the periodic testing of systems and equipment on-site (not at the depot) and from remote locations.</w:t>
      </w:r>
    </w:p>
    <w:p w:rsidR="00000000" w:rsidRPr="000A29AD" w:rsidP="000A29AD">
      <w:pPr>
        <w:pStyle w:val="BodyText"/>
      </w:pPr>
      <w:r w:rsidRPr="000A29AD">
        <w:t xml:space="preserve">No licensing, legislative, regulatory or certification </w:t>
      </w:r>
      <w:r w:rsidRPr="000A29AD">
        <w:t>requirements apply to this unit at the time of publication.</w:t>
      </w:r>
    </w:p>
    <w:p w:rsidR="00000000" w:rsidRPr="000A29AD" w:rsidP="000A29AD">
      <w:pPr>
        <w:pStyle w:val="AllowPageBreak"/>
      </w:pPr>
    </w:p>
    <w:p w:rsidR="00000000" w:rsidRPr="000A29AD" w:rsidP="000A29AD">
      <w:pPr>
        <w:pStyle w:val="Heading1"/>
      </w:pPr>
      <w:bookmarkStart w:id="3" w:name="O_320616"/>
      <w:bookmarkEnd w:id="3"/>
      <w:r w:rsidRPr="000A29AD">
        <w:t>Application of the Unit</w:t>
      </w:r>
    </w:p>
    <w:p w:rsidR="00000000" w:rsidRPr="000A29AD" w:rsidP="000A29AD">
      <w:pPr>
        <w:pStyle w:val="BodyText"/>
      </w:pPr>
      <w:r w:rsidRPr="000A29AD">
        <w:t>Not applicable.</w:t>
      </w:r>
    </w:p>
    <w:p w:rsidR="00000000" w:rsidRPr="000A29AD" w:rsidP="000A29AD">
      <w:pPr>
        <w:pStyle w:val="AllowPageBreak"/>
      </w:pPr>
    </w:p>
    <w:p w:rsidR="00000000" w:rsidRPr="000A29AD" w:rsidP="000A29AD">
      <w:pPr>
        <w:pStyle w:val="Heading1"/>
      </w:pPr>
      <w:bookmarkStart w:id="4" w:name="O_320615"/>
      <w:bookmarkEnd w:id="4"/>
      <w:r w:rsidRPr="000A29AD">
        <w:t>Licensing/Regulatory Information</w:t>
      </w:r>
    </w:p>
    <w:p w:rsidR="00000000" w:rsidRPr="000A29AD" w:rsidP="000A29AD">
      <w:pPr>
        <w:pStyle w:val="BodyText"/>
      </w:pPr>
      <w:r w:rsidRPr="000A29AD">
        <w:t>Refer to Unit Descriptor</w:t>
      </w:r>
    </w:p>
    <w:p w:rsidR="00000000" w:rsidRPr="000A29AD" w:rsidP="000A29AD">
      <w:pPr>
        <w:pStyle w:val="AllowPageBreak"/>
      </w:pPr>
    </w:p>
    <w:p w:rsidR="00000000" w:rsidRPr="000A29AD" w:rsidP="000A29AD">
      <w:pPr>
        <w:pStyle w:val="Heading1"/>
      </w:pPr>
      <w:bookmarkStart w:id="5" w:name="O_320614"/>
      <w:bookmarkEnd w:id="5"/>
      <w:r w:rsidRPr="000A29AD">
        <w:t>Pre-Requisites</w:t>
      </w:r>
    </w:p>
    <w:p w:rsidR="00000000" w:rsidRPr="000A29AD" w:rsidP="000A29AD">
      <w:pPr>
        <w:pStyle w:val="BodyText"/>
      </w:pPr>
      <w:r w:rsidRPr="000A29AD">
        <w:t>Nil</w:t>
      </w:r>
    </w:p>
    <w:p w:rsidR="00000000" w:rsidRPr="000A29AD" w:rsidP="000A29AD">
      <w:pPr>
        <w:pStyle w:val="BodyText"/>
      </w:pPr>
      <w:r w:rsidRPr="000A29AD">
        <w:t>Nil</w:t>
      </w:r>
    </w:p>
    <w:p w:rsidR="00000000" w:rsidRPr="000A29AD" w:rsidP="000A29AD">
      <w:pPr>
        <w:pStyle w:val="AllowPageBreak"/>
      </w:pPr>
    </w:p>
    <w:p w:rsidR="00000000" w:rsidRPr="000A29AD" w:rsidP="000A29AD">
      <w:pPr>
        <w:pStyle w:val="Heading1"/>
      </w:pPr>
      <w:bookmarkStart w:id="6" w:name="O_320619"/>
      <w:bookmarkEnd w:id="6"/>
      <w:r w:rsidRPr="000A29AD">
        <w:t>Employability Skills Information</w:t>
      </w:r>
    </w:p>
    <w:p w:rsidR="00000000" w:rsidRPr="000A29AD" w:rsidP="000A29AD">
      <w:pPr>
        <w:pStyle w:val="BodyText"/>
      </w:pPr>
      <w:r w:rsidRPr="000A29AD">
        <w:t>This unit contains employability skills.</w:t>
      </w:r>
    </w:p>
    <w:p w:rsidR="00000000" w:rsidRPr="000A29AD" w:rsidP="000A29AD">
      <w:pPr>
        <w:pStyle w:val="BodyText"/>
      </w:pPr>
      <w:r w:rsidRPr="000A29AD">
        <w:t>This unit contains employability skills.</w:t>
      </w:r>
    </w:p>
    <w:p w:rsidR="00000000" w:rsidRPr="000A29AD" w:rsidP="000A29AD">
      <w:pPr>
        <w:pStyle w:val="AllowPageBreak"/>
      </w:pPr>
    </w:p>
    <w:p w:rsidR="00000000" w:rsidRPr="000A29AD" w:rsidP="000A29AD">
      <w:pPr>
        <w:pStyle w:val="Heading1"/>
      </w:pPr>
      <w:bookmarkStart w:id="7" w:name="O_320608"/>
      <w:bookmarkEnd w:id="7"/>
      <w:r w:rsidRPr="000A29AD">
        <w:t>Elements and Performance Criteria Pre-Content</w:t>
      </w:r>
    </w:p>
    <w:p w:rsidR="00000000" w:rsidRPr="000A29AD" w:rsidP="000A29AD">
      <w:pPr>
        <w:pStyle w:val="BodyText"/>
      </w:pPr>
      <w:r w:rsidRPr="000A29AD">
        <w:t>Elements describe the essential outcomes of a unit of competency.</w:t>
      </w:r>
    </w:p>
    <w:p w:rsidR="00000000" w:rsidRPr="000A29AD" w:rsidP="000A29AD">
      <w:pPr>
        <w:pStyle w:val="BodyText"/>
      </w:pPr>
      <w:r w:rsidRPr="000A29AD">
        <w:t xml:space="preserve">Performance criteria describe the performance needed to demonstrate achievement of the element. Where </w:t>
      </w:r>
      <w:r w:rsidRPr="000A29AD">
        <w:rPr>
          <w:rStyle w:val="SpecialBold"/>
        </w:rPr>
        <w:t xml:space="preserve">bold italicised </w:t>
      </w:r>
      <w:r w:rsidRPr="000A29AD">
        <w:t>text is used, further information is detailed in the required skills and knowledge section and the range statement. Assessment of performa</w:t>
      </w:r>
      <w:r w:rsidRPr="000A29AD">
        <w:t>nce is to be consistent with the evidence guide.</w:t>
      </w:r>
    </w:p>
    <w:p w:rsidR="00000000" w:rsidRPr="000A29AD" w:rsidP="000A29AD">
      <w:pPr>
        <w:pStyle w:val="BodyText"/>
      </w:pPr>
      <w:r w:rsidRPr="000A29AD">
        <w:t>Elements describe the essential outcomes of a unit of competency.</w:t>
      </w:r>
    </w:p>
    <w:p w:rsidR="00000000" w:rsidRPr="000A29AD" w:rsidP="000A29AD">
      <w:pPr>
        <w:pStyle w:val="BodyText"/>
      </w:pPr>
      <w:r w:rsidRPr="000A29AD">
        <w:t xml:space="preserve">Performance criteria describe the performance needed to demonstrate achievement of the element. Where </w:t>
      </w:r>
      <w:r w:rsidRPr="000A29AD">
        <w:rPr>
          <w:rStyle w:val="SpecialBold"/>
        </w:rPr>
        <w:t xml:space="preserve">bold italicised </w:t>
      </w:r>
      <w:r w:rsidRPr="000A29AD">
        <w:t>text is used, further i</w:t>
      </w:r>
      <w:r w:rsidRPr="000A29AD">
        <w:t>nformation is detailed in the required skills and knowledge section and the range statement. Assessment of performance is to be consistent with the evidence guide.</w:t>
      </w:r>
    </w:p>
    <w:p w:rsidR="00000000" w:rsidRPr="000A29AD" w:rsidP="000A29AD">
      <w:pPr>
        <w:pStyle w:val="AllowPageBreak"/>
      </w:pPr>
    </w:p>
    <w:p w:rsidR="00000000" w:rsidRPr="000A29AD" w:rsidP="000A29AD">
      <w:pPr>
        <w:pStyle w:val="Heading1"/>
      </w:pPr>
      <w:bookmarkStart w:id="8" w:name="O_320613"/>
      <w:bookmarkEnd w:id="8"/>
      <w:r w:rsidRPr="000A29A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93DB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rPr>
                <w:rStyle w:val="SpecialBold"/>
              </w:rPr>
              <w:t>Elements and Performance Criteria</w:t>
            </w:r>
          </w:p>
        </w:tc>
      </w:tr>
      <w:tr w:rsidTr="00B93DB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A29AD" w:rsidP="000A29AD">
            <w:pPr>
              <w:pStyle w:val="BodyText"/>
            </w:pPr>
            <w:r w:rsidRPr="000A29A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rPr>
                <w:rStyle w:val="SpecialBold"/>
              </w:rPr>
              <w:t>Performance Criteria</w:t>
            </w:r>
          </w:p>
        </w:tc>
      </w:tr>
      <w:tr w:rsidTr="00B93DB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A29AD" w:rsidP="000A29AD">
            <w:pPr>
              <w:pStyle w:val="BodyText"/>
            </w:pPr>
            <w:r w:rsidRPr="000A29AD">
              <w:t>1</w:t>
            </w:r>
          </w:p>
        </w:tc>
        <w:tc>
          <w:tcPr>
            <w:tcW w:w="3000" w:type="dxa"/>
            <w:vMerge w:val="restart"/>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rPr>
                <w:rStyle w:val="SpecialBold"/>
              </w:rPr>
              <w:t>Undertake on-site electronic routines</w:t>
            </w:r>
          </w:p>
        </w:tc>
        <w:tc>
          <w:tcPr>
            <w:tcW w:w="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1.1</w:t>
            </w:r>
          </w:p>
        </w:tc>
        <w:tc>
          <w:tcPr>
            <w:tcW w:w="51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Where equipment is located on premises not owned by enterprise, appropriate consultation with customer or property owner is undertaken in accordance with enterprise policy</w:t>
            </w:r>
          </w:p>
        </w:tc>
      </w:tr>
      <w:tr w:rsidTr="00B93D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1.2</w:t>
            </w:r>
          </w:p>
        </w:tc>
        <w:tc>
          <w:tcPr>
            <w:tcW w:w="51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Power equipment is monitored for voltage within manufacturer's stated limits and site power routine performed in accordance with enterprise guidelines</w:t>
            </w:r>
          </w:p>
        </w:tc>
      </w:tr>
      <w:tr w:rsidTr="00B93D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1.3</w:t>
            </w:r>
          </w:p>
        </w:tc>
        <w:tc>
          <w:tcPr>
            <w:tcW w:w="51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Ensure alarms operate in accordance with manufacturer's specifications and enterprise guidelines</w:t>
            </w:r>
          </w:p>
        </w:tc>
      </w:tr>
      <w:tr w:rsidTr="00B93D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1.4</w:t>
            </w:r>
          </w:p>
        </w:tc>
        <w:tc>
          <w:tcPr>
            <w:tcW w:w="51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All monitoring points are checked against installation records</w:t>
            </w:r>
          </w:p>
        </w:tc>
      </w:tr>
      <w:tr w:rsidTr="00B93D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1.5</w:t>
            </w:r>
          </w:p>
        </w:tc>
        <w:tc>
          <w:tcPr>
            <w:tcW w:w="51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If faults are detected, corrective action is taken in accordance with enterprise guidelines and manufacturer's specifications</w:t>
            </w:r>
          </w:p>
        </w:tc>
      </w:tr>
      <w:tr w:rsidTr="00B93D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1.6</w:t>
            </w:r>
          </w:p>
        </w:tc>
        <w:tc>
          <w:tcPr>
            <w:tcW w:w="51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Warranties and service agreements are checked to establish if any identified repair / alteration requirement is covered by such documents</w:t>
            </w:r>
          </w:p>
        </w:tc>
      </w:tr>
      <w:tr w:rsidTr="00B93D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1.7</w:t>
            </w:r>
          </w:p>
        </w:tc>
        <w:tc>
          <w:tcPr>
            <w:tcW w:w="51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Existing electronic configuration is copied and stored in accordance with enterprise guidelines</w:t>
            </w:r>
          </w:p>
        </w:tc>
      </w:tr>
      <w:tr w:rsidTr="00B93DB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A29AD" w:rsidP="000A29AD">
            <w:pPr>
              <w:pStyle w:val="BodyText"/>
            </w:pPr>
            <w:r w:rsidRPr="000A29AD">
              <w:t>2</w:t>
            </w:r>
          </w:p>
        </w:tc>
        <w:tc>
          <w:tcPr>
            <w:tcW w:w="3000" w:type="dxa"/>
            <w:vMerge w:val="restart"/>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rPr>
                <w:rStyle w:val="SpecialBold"/>
              </w:rPr>
              <w:t>Undertake re</w:t>
            </w:r>
            <w:r w:rsidRPr="000A29AD">
              <w:rPr>
                <w:rStyle w:val="SpecialBold"/>
              </w:rPr>
              <w:t>mote electronic routines</w:t>
            </w:r>
          </w:p>
        </w:tc>
        <w:tc>
          <w:tcPr>
            <w:tcW w:w="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2.1</w:t>
            </w:r>
          </w:p>
        </w:tc>
        <w:tc>
          <w:tcPr>
            <w:tcW w:w="51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Signal is generated to test for continuity and operation in accordance with manufacturer's specifications</w:t>
            </w:r>
          </w:p>
        </w:tc>
      </w:tr>
      <w:tr w:rsidTr="00B93D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2.2</w:t>
            </w:r>
          </w:p>
        </w:tc>
        <w:tc>
          <w:tcPr>
            <w:tcW w:w="51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Readings are taken from each significant portio</w:t>
            </w:r>
            <w:r w:rsidRPr="000A29AD">
              <w:t>n of line to test for continuity and operation in accordance with manufacturer's specifications</w:t>
            </w:r>
          </w:p>
        </w:tc>
      </w:tr>
      <w:tr w:rsidTr="00B93D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2.3</w:t>
            </w:r>
          </w:p>
        </w:tc>
        <w:tc>
          <w:tcPr>
            <w:tcW w:w="51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Ensure alarms operate in accordance with manuf-acturer's specifications and enterprise guidelines</w:t>
            </w:r>
          </w:p>
        </w:tc>
      </w:tr>
      <w:tr w:rsidTr="00B93D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2.4</w:t>
            </w:r>
          </w:p>
        </w:tc>
        <w:tc>
          <w:tcPr>
            <w:tcW w:w="51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All monitoring points are checked against system</w:t>
            </w:r>
            <w:r w:rsidRPr="000A29AD">
              <w:t xml:space="preserve"> records</w:t>
            </w:r>
          </w:p>
        </w:tc>
      </w:tr>
      <w:tr w:rsidTr="00B93D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2.5</w:t>
            </w:r>
          </w:p>
        </w:tc>
        <w:tc>
          <w:tcPr>
            <w:tcW w:w="51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If faults are detected, corrective action is taken in accordance with enterprise guidelines and manufacturer's specifications</w:t>
            </w:r>
          </w:p>
        </w:tc>
      </w:tr>
      <w:tr w:rsidTr="00B93DB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A29AD" w:rsidP="000A29AD">
            <w:pPr>
              <w:pStyle w:val="BodyText"/>
            </w:pPr>
            <w:r w:rsidRPr="000A29AD">
              <w:t>3</w:t>
            </w:r>
          </w:p>
        </w:tc>
        <w:tc>
          <w:tcPr>
            <w:tcW w:w="3000" w:type="dxa"/>
            <w:vMerge w:val="restart"/>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rPr>
                <w:rStyle w:val="SpecialBold"/>
              </w:rPr>
              <w:t>Update records</w:t>
            </w:r>
          </w:p>
        </w:tc>
        <w:tc>
          <w:tcPr>
            <w:tcW w:w="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3.1</w:t>
            </w:r>
          </w:p>
        </w:tc>
        <w:tc>
          <w:tcPr>
            <w:tcW w:w="51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Results of routine tests are detailed on system records</w:t>
            </w:r>
          </w:p>
        </w:tc>
      </w:tr>
      <w:tr w:rsidTr="00B93D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3.2</w:t>
            </w:r>
          </w:p>
        </w:tc>
        <w:tc>
          <w:tcPr>
            <w:tcW w:w="5100" w:type="dxa"/>
            <w:tcBorders>
              <w:top w:val="nil"/>
              <w:left w:val="nil"/>
              <w:bottom w:val="nil"/>
              <w:right w:val="nil"/>
            </w:tcBorders>
            <w:tcMar>
              <w:top w:w="0" w:type="dxa"/>
              <w:left w:w="62" w:type="dxa"/>
              <w:bottom w:w="0" w:type="dxa"/>
              <w:right w:w="62" w:type="dxa"/>
            </w:tcMar>
          </w:tcPr>
          <w:p w:rsidR="00000000" w:rsidRPr="000A29AD" w:rsidP="000A29AD">
            <w:pPr>
              <w:pStyle w:val="BodyText"/>
            </w:pPr>
            <w:r w:rsidRPr="000A29AD">
              <w:t>Records are stored in accordance with enterprise guidelines</w:t>
            </w:r>
          </w:p>
        </w:tc>
      </w:tr>
    </w:tbl>
    <w:p w:rsidR="00000000" w:rsidRPr="000A29AD" w:rsidP="000A29AD">
      <w:pPr>
        <w:pStyle w:val="BodyText"/>
      </w:pPr>
    </w:p>
    <w:p w:rsidR="00000000" w:rsidRPr="000A29AD" w:rsidP="000A29AD">
      <w:pPr>
        <w:pStyle w:val="AllowPageBreak"/>
      </w:pPr>
    </w:p>
    <w:p w:rsidR="00000000" w:rsidRPr="000A29AD" w:rsidP="000A29AD">
      <w:pPr>
        <w:pStyle w:val="Heading1"/>
      </w:pPr>
      <w:bookmarkStart w:id="9" w:name="O_320612"/>
      <w:bookmarkEnd w:id="9"/>
      <w:r w:rsidRPr="000A29AD">
        <w:t>Required Skills and Knowledge</w:t>
      </w:r>
    </w:p>
    <w:tbl>
      <w:tblPr>
        <w:tblW w:w="0" w:type="auto"/>
        <w:tblLayout w:type="fixed"/>
        <w:tblCellMar>
          <w:left w:w="62" w:type="dxa"/>
          <w:right w:w="62" w:type="dxa"/>
        </w:tblCellMar>
        <w:tblLook w:val="0000"/>
      </w:tblPr>
      <w:tblGrid>
        <w:gridCol w:w="4500"/>
        <w:gridCol w:w="4500"/>
      </w:tblGrid>
      <w:tr w:rsidTr="00B93DB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A29AD">
            <w:pPr>
              <w:pStyle w:val="BodyText"/>
              <w:rPr>
                <w:lang w:val="en-NZ"/>
              </w:rPr>
            </w:pPr>
          </w:p>
        </w:tc>
      </w:tr>
      <w:tr w:rsidTr="00B93DB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 xml:space="preserve">This section describes the skills and knowledge required for this unit. </w:t>
            </w:r>
          </w:p>
        </w:tc>
      </w:tr>
      <w:tr w:rsidTr="00B93DB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rPr>
                <w:rStyle w:val="SpecialBold"/>
              </w:rPr>
              <w:t>Required skills</w:t>
            </w:r>
          </w:p>
        </w:tc>
      </w:tr>
      <w:tr w:rsidTr="00B93DB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A29AD" w:rsidP="000A29AD">
            <w:pPr>
              <w:pStyle w:val="BodyText"/>
            </w:pPr>
            <w:r w:rsidRPr="000A29AD">
              <w:t>Select from the following list to suit the learning and assessment context</w:t>
            </w:r>
          </w:p>
          <w:p w:rsidR="00000000" w:rsidRPr="000A29AD" w:rsidP="000A29AD">
            <w:pPr>
              <w:pStyle w:val="BodyText"/>
            </w:pPr>
            <w:r w:rsidRPr="000A29AD">
              <w:t>Codes refer to the Skills and Knowledge Register in Volume 3 of this Training Package that has detailed content guidelines for each code outlined.</w:t>
            </w:r>
          </w:p>
          <w:p w:rsidR="00000000" w:rsidRPr="000A29AD" w:rsidP="000A29AD">
            <w:pPr>
              <w:pStyle w:val="BodyText"/>
            </w:pPr>
            <w:r w:rsidRPr="000A29AD">
              <w:t>CA375 Cable Installation Practices</w:t>
            </w:r>
            <w:r w:rsidRPr="000A29AD">
              <w:t xml:space="preserve"> for CAN</w:t>
            </w:r>
          </w:p>
          <w:p w:rsidR="00000000" w:rsidRPr="000A29AD" w:rsidP="000A29AD">
            <w:pPr>
              <w:pStyle w:val="BodyText"/>
            </w:pPr>
            <w:r w:rsidRPr="000A29AD">
              <w:t>CI310 Communication 3</w:t>
            </w:r>
          </w:p>
          <w:p w:rsidR="00000000" w:rsidRPr="000A29AD" w:rsidP="000A29AD">
            <w:pPr>
              <w:pStyle w:val="BodyText"/>
            </w:pPr>
            <w:r w:rsidRPr="000A29AD">
              <w:t>EN310 Enterprise Policy and Practice 3</w:t>
            </w:r>
          </w:p>
          <w:p w:rsidR="00000000" w:rsidRPr="000A29AD" w:rsidP="000A29AD">
            <w:pPr>
              <w:pStyle w:val="BodyText"/>
            </w:pPr>
            <w:r w:rsidRPr="000A29AD">
              <w:t>EN320 Enterprise Information Systems 3</w:t>
            </w:r>
          </w:p>
          <w:p w:rsidR="00000000" w:rsidRPr="000A29AD" w:rsidP="000A29AD">
            <w:pPr>
              <w:pStyle w:val="BodyText"/>
            </w:pPr>
            <w:r w:rsidRPr="000A29AD">
              <w:t>MA210 Basic Telecommunications Mathematics</w:t>
            </w:r>
          </w:p>
          <w:p w:rsidR="00000000" w:rsidRPr="000A29AD" w:rsidP="000A29AD">
            <w:pPr>
              <w:pStyle w:val="BodyText"/>
            </w:pPr>
            <w:r w:rsidRPr="000A29AD">
              <w:t>OH310 Occupational Health and Safety 3</w:t>
            </w:r>
          </w:p>
          <w:p w:rsidR="00000000" w:rsidRPr="000A29AD" w:rsidP="000A29AD">
            <w:pPr>
              <w:pStyle w:val="BodyText"/>
            </w:pPr>
            <w:r w:rsidRPr="000A29AD">
              <w:t>PS310 Plans and Specifications 3</w:t>
            </w:r>
          </w:p>
          <w:p w:rsidR="00000000" w:rsidRPr="000A29AD" w:rsidP="000A29AD">
            <w:pPr>
              <w:pStyle w:val="BodyText"/>
            </w:pPr>
            <w:r w:rsidRPr="000A29AD">
              <w:t>RA420 Radio Frequency Theory and</w:t>
            </w:r>
            <w:r w:rsidRPr="000A29AD">
              <w:t xml:space="preserve"> Hazards 4</w:t>
            </w:r>
          </w:p>
          <w:p w:rsidR="00000000" w:rsidRPr="000A29AD" w:rsidP="000A29AD">
            <w:pPr>
              <w:pStyle w:val="BodyText"/>
            </w:pPr>
            <w:r w:rsidRPr="000A29AD">
              <w:t>RE235 Regulations for CAN</w:t>
            </w:r>
          </w:p>
          <w:p w:rsidR="00000000" w:rsidRPr="000A29AD" w:rsidP="000A29AD">
            <w:pPr>
              <w:pStyle w:val="BodyText"/>
            </w:pPr>
            <w:r w:rsidRPr="000A29AD">
              <w:t>RE310 Working on Non-enterprise Land 3</w:t>
            </w:r>
          </w:p>
          <w:p w:rsidR="00000000" w:rsidRPr="000A29AD" w:rsidP="000A29AD">
            <w:pPr>
              <w:pStyle w:val="BodyText"/>
            </w:pPr>
            <w:r w:rsidRPr="000A29AD">
              <w:t>SU210 Basic Supervision</w:t>
            </w:r>
          </w:p>
          <w:p w:rsidR="00000000" w:rsidRPr="000A29AD" w:rsidP="000A29AD">
            <w:pPr>
              <w:pStyle w:val="BodyText"/>
            </w:pPr>
            <w:r w:rsidRPr="000A29AD">
              <w:t>TE310 Basic Telephony 3</w:t>
            </w:r>
          </w:p>
          <w:p w:rsidR="00000000" w:rsidRPr="000A29AD" w:rsidP="000A29AD">
            <w:pPr>
              <w:pStyle w:val="BodyText"/>
            </w:pPr>
            <w:r w:rsidRPr="000A29AD">
              <w:t>TF310 Test Equipment 3</w:t>
            </w:r>
          </w:p>
          <w:p w:rsidR="00000000" w:rsidRPr="000A29AD" w:rsidP="000A29AD">
            <w:pPr>
              <w:pStyle w:val="BodyText"/>
            </w:pPr>
            <w:r w:rsidRPr="000A29AD">
              <w:t>TF320 Test Analysis and Diagnosis 3</w:t>
            </w:r>
          </w:p>
          <w:p w:rsidR="00000000" w:rsidRPr="000A29AD" w:rsidP="000A29AD">
            <w:pPr>
              <w:pStyle w:val="BodyText"/>
            </w:pPr>
            <w:r w:rsidRPr="000A29AD">
              <w:t>TO310 Use of Too ls 3</w:t>
            </w:r>
          </w:p>
          <w:p w:rsidR="00000000" w:rsidP="000A29AD">
            <w:pPr>
              <w:pStyle w:val="BodyText"/>
              <w:rPr>
                <w:lang w:val="en-NZ"/>
              </w:rPr>
            </w:pPr>
            <w:r w:rsidRPr="000A29AD">
              <w:t xml:space="preserve">TO320 Anti-static Procedures 3 </w:t>
            </w:r>
          </w:p>
        </w:tc>
      </w:tr>
      <w:tr w:rsidTr="00B93D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p>
        </w:tc>
      </w:tr>
      <w:tr w:rsidTr="00B93DB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rPr>
                <w:rStyle w:val="SpecialBold"/>
              </w:rPr>
              <w:t>Required knowledge</w:t>
            </w:r>
          </w:p>
        </w:tc>
      </w:tr>
      <w:tr w:rsidTr="00B93DB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 xml:space="preserve">The relevant required knowledge is articulated in the above guidelines contained in the Skills and Knowledge Register included in this Training Package. </w:t>
            </w:r>
          </w:p>
        </w:tc>
      </w:tr>
      <w:tr w:rsidTr="00B93D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0A29AD" w:rsidP="000A29AD">
            <w:pPr>
              <w:pStyle w:val="BodyText"/>
            </w:pPr>
          </w:p>
        </w:tc>
      </w:tr>
    </w:tbl>
    <w:p w:rsidR="00000000" w:rsidRPr="000A29AD" w:rsidP="000A29AD">
      <w:pPr>
        <w:pStyle w:val="BodyText"/>
      </w:pPr>
    </w:p>
    <w:p w:rsidR="00000000" w:rsidRPr="000A29AD" w:rsidP="000A29AD">
      <w:pPr>
        <w:pStyle w:val="AllowPageBreak"/>
      </w:pPr>
    </w:p>
    <w:p w:rsidR="00000000" w:rsidRPr="000A29AD" w:rsidP="000A29AD">
      <w:pPr>
        <w:pStyle w:val="Heading1"/>
      </w:pPr>
      <w:bookmarkStart w:id="10" w:name="O_320611"/>
      <w:bookmarkEnd w:id="10"/>
      <w:r w:rsidRPr="000A29AD">
        <w:t>Evidence Guide</w:t>
      </w:r>
    </w:p>
    <w:tbl>
      <w:tblPr>
        <w:tblW w:w="0" w:type="auto"/>
        <w:tblLayout w:type="fixed"/>
        <w:tblCellMar>
          <w:left w:w="62" w:type="dxa"/>
          <w:right w:w="62" w:type="dxa"/>
        </w:tblCellMar>
        <w:tblLook w:val="0000"/>
      </w:tblPr>
      <w:tblGrid>
        <w:gridCol w:w="4500"/>
        <w:gridCol w:w="4500"/>
      </w:tblGrid>
      <w:tr w:rsidTr="00B93DB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A29AD">
            <w:pPr>
              <w:pStyle w:val="BodyText"/>
              <w:rPr>
                <w:lang w:val="en-NZ"/>
              </w:rPr>
            </w:pPr>
          </w:p>
        </w:tc>
      </w:tr>
      <w:tr w:rsidTr="00B93DB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 xml:space="preserve">The evidence guide provides advice on assessment and must be read in conjunction with the performance criteria, required skills and knowledge, range statement and the Assessment Guidelines for the Training Package. </w:t>
            </w:r>
          </w:p>
        </w:tc>
      </w:tr>
      <w:tr w:rsidTr="00B93D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rPr>
                <w:rStyle w:val="SpecialBold"/>
              </w:rPr>
              <w:t>Critical aspects for assessment and ev</w:t>
            </w:r>
            <w:r w:rsidRPr="000A29AD">
              <w:rPr>
                <w:rStyle w:val="SpecialBold"/>
              </w:rPr>
              <w:t>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0A29AD" w:rsidP="000A29AD">
            <w:pPr>
              <w:pStyle w:val="BodyText"/>
            </w:pPr>
            <w:r w:rsidRPr="000A29AD">
              <w:t xml:space="preserve">Evidence of the following is essential:    </w:t>
            </w:r>
          </w:p>
          <w:p w:rsidR="00000000" w:rsidRPr="000A29AD" w:rsidP="000A29AD">
            <w:pPr>
              <w:pStyle w:val="BodyText"/>
            </w:pPr>
            <w:r w:rsidRPr="000A29AD">
              <w:t>Identification of maintenance required.</w:t>
            </w:r>
          </w:p>
          <w:p w:rsidR="00000000" w:rsidRPr="000A29AD" w:rsidP="000A29AD">
            <w:pPr>
              <w:pStyle w:val="BodyText"/>
            </w:pPr>
            <w:r w:rsidRPr="000A29AD">
              <w:t xml:space="preserve">Conduct and interpret tests including:   </w:t>
            </w:r>
          </w:p>
          <w:p w:rsidR="00000000" w:rsidRPr="000A29AD" w:rsidP="000A29AD">
            <w:pPr>
              <w:pStyle w:val="BodyText"/>
            </w:pPr>
            <w:r w:rsidRPr="000A29AD">
              <w:t>Equipment and facilities checks</w:t>
            </w:r>
          </w:p>
          <w:p w:rsidR="00000000" w:rsidRPr="000A29AD" w:rsidP="000A29AD">
            <w:pPr>
              <w:pStyle w:val="BodyText"/>
            </w:pPr>
            <w:r w:rsidRPr="000A29AD">
              <w:t>Test of backup equipment such as batteries</w:t>
            </w:r>
          </w:p>
          <w:p w:rsidR="00000000" w:rsidRPr="000A29AD" w:rsidP="000A29AD">
            <w:pPr>
              <w:pStyle w:val="BodyText"/>
            </w:pPr>
            <w:r w:rsidRPr="000A29AD">
              <w:t>Filters</w:t>
            </w:r>
          </w:p>
          <w:p w:rsidR="00000000" w:rsidRPr="000A29AD" w:rsidP="000A29AD">
            <w:pPr>
              <w:pStyle w:val="BodyText"/>
            </w:pPr>
            <w:r w:rsidRPr="000A29AD">
              <w:t>System backup and alarms</w:t>
            </w:r>
          </w:p>
          <w:p w:rsidR="00000000" w:rsidRPr="000A29AD" w:rsidP="000A29AD">
            <w:pPr>
              <w:pStyle w:val="BodyText"/>
            </w:pPr>
          </w:p>
          <w:p w:rsidR="00000000" w:rsidRPr="000A29AD" w:rsidP="000A29AD">
            <w:pPr>
              <w:pStyle w:val="BodyText"/>
            </w:pPr>
            <w:r w:rsidRPr="000A29AD">
              <w:t xml:space="preserve">Repair of faults/problems in system, equipment and facilities either hardware or software.  </w:t>
            </w:r>
          </w:p>
          <w:p w:rsidR="00000000" w:rsidRPr="000A29AD" w:rsidP="000A29AD">
            <w:pPr>
              <w:pStyle w:val="BodyText"/>
            </w:pPr>
            <w:r w:rsidRPr="000A29AD">
              <w:t>Completion of documentation including: warranty details, system log books, pricing and billing forms.</w:t>
            </w:r>
          </w:p>
          <w:p w:rsidR="00000000" w:rsidRPr="000A29AD" w:rsidP="000A29AD">
            <w:pPr>
              <w:pStyle w:val="BodyText"/>
            </w:pPr>
            <w:r w:rsidRPr="000A29AD">
              <w:t>Safe use of any specialised</w:t>
            </w:r>
            <w:r w:rsidRPr="000A29AD">
              <w:t xml:space="preserve"> hand or power tools and/or equipment and application of all related OHS requirements and work practices.</w:t>
            </w:r>
          </w:p>
          <w:p w:rsidR="00000000" w:rsidRPr="000A29AD" w:rsidP="000A29AD">
            <w:pPr>
              <w:pStyle w:val="BodyText"/>
            </w:pPr>
            <w:r w:rsidRPr="000A29AD">
              <w:t>Correct interpretation and application of regulations and standards related to the maintenance.</w:t>
            </w:r>
          </w:p>
          <w:p w:rsidR="00000000" w:rsidP="000A29AD">
            <w:pPr>
              <w:pStyle w:val="BodyText"/>
              <w:rPr>
                <w:lang w:val="en-NZ"/>
              </w:rPr>
            </w:pPr>
            <w:r w:rsidRPr="000A29AD">
              <w:t>Communication of maintenance details with customers an</w:t>
            </w:r>
            <w:r w:rsidRPr="000A29AD">
              <w:t xml:space="preserve">d work associates. </w:t>
            </w:r>
          </w:p>
        </w:tc>
      </w:tr>
      <w:tr w:rsidTr="00B93D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p>
        </w:tc>
      </w:tr>
      <w:tr w:rsidTr="00B93D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0A29AD" w:rsidP="000A29AD">
            <w:pPr>
              <w:pStyle w:val="BodyText"/>
            </w:pPr>
            <w:r w:rsidRPr="000A29AD">
              <w:t xml:space="preserve">Assessment must ensure:    </w:t>
            </w:r>
          </w:p>
          <w:p w:rsidR="00000000" w:rsidRPr="000A29AD" w:rsidP="000A29AD">
            <w:pPr>
              <w:pStyle w:val="BodyText"/>
            </w:pPr>
            <w:r w:rsidRPr="000A29AD">
              <w:t>A workplace conducting the operations covered by this competency un</w:t>
            </w:r>
            <w:r w:rsidRPr="000A29AD">
              <w:t>it, equipment and resources relevant to the context of the work (See Range Statement) and support from a competent supervisor or mentor.</w:t>
            </w:r>
          </w:p>
          <w:p w:rsidR="00000000" w:rsidRPr="000A29AD" w:rsidP="000A29AD">
            <w:pPr>
              <w:pStyle w:val="BodyText"/>
            </w:pPr>
            <w:r w:rsidRPr="000A29AD">
              <w:t>OR</w:t>
            </w:r>
          </w:p>
          <w:p w:rsidR="00000000" w:rsidP="000A29AD">
            <w:pPr>
              <w:pStyle w:val="BodyText"/>
              <w:rPr>
                <w:lang w:val="en-NZ"/>
              </w:rPr>
            </w:pPr>
            <w:r w:rsidRPr="000A29AD">
              <w:t xml:space="preserve">A simulated environment with similar provisions which conforms to the Assessment Guidelines.   </w:t>
            </w:r>
          </w:p>
        </w:tc>
      </w:tr>
      <w:tr w:rsidTr="00B93D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p>
        </w:tc>
      </w:tr>
      <w:tr w:rsidTr="00B93D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rPr>
                <w:rStyle w:val="SpecialBold"/>
              </w:rPr>
              <w:t>Guidance informa</w:t>
            </w:r>
            <w:r w:rsidRPr="000A29AD">
              <w:rPr>
                <w:rStyle w:val="SpecialBold"/>
              </w:rPr>
              <w:t>tion for assessment</w:t>
            </w:r>
          </w:p>
        </w:tc>
        <w:tc>
          <w:tcPr>
            <w:tcW w:w="4500" w:type="dxa"/>
            <w:tcBorders>
              <w:top w:val="nil"/>
              <w:left w:val="nil"/>
              <w:bottom w:val="nil"/>
              <w:right w:val="nil"/>
            </w:tcBorders>
            <w:tcMar>
              <w:top w:w="0" w:type="dxa"/>
              <w:left w:w="62" w:type="dxa"/>
              <w:bottom w:w="0" w:type="dxa"/>
              <w:right w:w="62" w:type="dxa"/>
            </w:tcMar>
          </w:tcPr>
          <w:p w:rsidR="00000000" w:rsidRPr="000A29AD" w:rsidP="000A29AD">
            <w:pPr>
              <w:pStyle w:val="BodyText"/>
            </w:pPr>
            <w:r w:rsidRPr="000A29AD">
              <w:t xml:space="preserve">Access must be provided to appropriate learning and assessment support when required. </w:t>
            </w:r>
          </w:p>
          <w:p w:rsidR="00000000" w:rsidRPr="000A29AD" w:rsidP="000A29AD">
            <w:pPr>
              <w:pStyle w:val="BodyText"/>
            </w:pPr>
            <w:r w:rsidRPr="000A29AD">
              <w:t xml:space="preserve">Assessment processes and techniques must be culturally appropriate, and appropriate to the oral communication skill level, and language and literacy </w:t>
            </w:r>
            <w:r w:rsidRPr="000A29AD">
              <w:t>capacity of the candidate and the work being performed.</w:t>
            </w:r>
          </w:p>
          <w:p w:rsidR="00000000" w:rsidRPr="000A29AD" w:rsidP="000A29AD">
            <w:pPr>
              <w:pStyle w:val="BodyText"/>
            </w:pPr>
            <w:r w:rsidRPr="000A29AD">
              <w:t xml:space="preserve">In all cases where practical assessment is used it will be combined with targeted questioning to assess underpinning knowledge. </w:t>
            </w:r>
          </w:p>
        </w:tc>
      </w:tr>
    </w:tbl>
    <w:p w:rsidR="00000000" w:rsidRPr="000A29AD" w:rsidP="000A29AD">
      <w:pPr>
        <w:pStyle w:val="BodyText"/>
      </w:pPr>
    </w:p>
    <w:p w:rsidR="00000000" w:rsidRPr="000A29AD" w:rsidP="000A29AD">
      <w:pPr>
        <w:pStyle w:val="AllowPageBreak"/>
      </w:pPr>
    </w:p>
    <w:p w:rsidR="00000000" w:rsidRPr="000A29AD" w:rsidP="000A29AD">
      <w:pPr>
        <w:pStyle w:val="Heading1"/>
      </w:pPr>
      <w:bookmarkStart w:id="11" w:name="O_320609"/>
      <w:bookmarkEnd w:id="11"/>
      <w:r w:rsidRPr="000A29AD">
        <w:t>Range Statement</w:t>
      </w:r>
    </w:p>
    <w:tbl>
      <w:tblPr>
        <w:tblW w:w="0" w:type="auto"/>
        <w:tblLayout w:type="fixed"/>
        <w:tblCellMar>
          <w:left w:w="62" w:type="dxa"/>
          <w:right w:w="62" w:type="dxa"/>
        </w:tblCellMar>
        <w:tblLook w:val="0000"/>
      </w:tblPr>
      <w:tblGrid>
        <w:gridCol w:w="4500"/>
        <w:gridCol w:w="4500"/>
      </w:tblGrid>
      <w:tr w:rsidTr="00B93DB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A29AD">
            <w:pPr>
              <w:pStyle w:val="BodyText"/>
              <w:rPr>
                <w:lang w:val="en-NZ"/>
              </w:rPr>
            </w:pPr>
          </w:p>
        </w:tc>
      </w:tr>
      <w:tr w:rsidTr="00B93DB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 xml:space="preserve">The range statement relates to the unit of competency as a whole. It allows for different work environments and situations that may affect performance. </w:t>
            </w:r>
            <w:r w:rsidRPr="000A29AD">
              <w:rPr>
                <w:rStyle w:val="SpecialBold"/>
              </w:rPr>
              <w:t>Bold italicised</w:t>
            </w:r>
            <w:r w:rsidRPr="000A29AD">
              <w:t xml:space="preserve"> wording, if used in the performance criteria, is detailed below. Essential operating con</w:t>
            </w:r>
            <w:r w:rsidRPr="000A29AD">
              <w:t xml:space="preserve">ditions that may be present with training and assessment (depending on the work situation, needs of the candidate, accessibility of the item, and local industry and regional contexts) may also be included. </w:t>
            </w:r>
          </w:p>
        </w:tc>
      </w:tr>
      <w:tr w:rsidTr="00B93D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 xml:space="preserve">Cable </w:t>
            </w:r>
          </w:p>
        </w:tc>
        <w:tc>
          <w:tcPr>
            <w:tcW w:w="4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May include: copper, coaxial, optic fibr</w:t>
            </w:r>
            <w:r w:rsidRPr="000A29AD">
              <w:t xml:space="preserve">e, aluminium, wave guides </w:t>
            </w:r>
          </w:p>
        </w:tc>
      </w:tr>
      <w:tr w:rsidTr="00B93D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p>
        </w:tc>
      </w:tr>
      <w:tr w:rsidTr="00B93D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 xml:space="preserve">Consultation regarding maintenance procedures </w:t>
            </w:r>
          </w:p>
        </w:tc>
        <w:tc>
          <w:tcPr>
            <w:tcW w:w="4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 xml:space="preserve">May include discussions regarding: time, location, duration, nature of works, access arrangements </w:t>
            </w:r>
          </w:p>
        </w:tc>
      </w:tr>
      <w:tr w:rsidTr="00B93D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p>
        </w:tc>
      </w:tr>
      <w:tr w:rsidTr="00B93D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 xml:space="preserve">Corrective action </w:t>
            </w:r>
          </w:p>
        </w:tc>
        <w:tc>
          <w:tcPr>
            <w:tcW w:w="4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 xml:space="preserve">May include: electronic or physical adjustment or repair, replacement of parts or equipment, organising warranty replacement from manufacturer </w:t>
            </w:r>
          </w:p>
        </w:tc>
      </w:tr>
      <w:tr w:rsidTr="00B93D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p>
        </w:tc>
      </w:tr>
      <w:tr w:rsidTr="00B93D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 xml:space="preserve">Equipment </w:t>
            </w:r>
          </w:p>
        </w:tc>
        <w:tc>
          <w:tcPr>
            <w:tcW w:w="4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May include: line conditioning, optic transceiver, multiplexer, concentrator, antenna, radio syst</w:t>
            </w:r>
            <w:r w:rsidRPr="000A29AD">
              <w:t xml:space="preserve">em, transmission equipment, switching equipment, satellite receiver </w:t>
            </w:r>
          </w:p>
        </w:tc>
      </w:tr>
      <w:tr w:rsidTr="00B93D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p>
        </w:tc>
      </w:tr>
      <w:tr w:rsidTr="00B93D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 xml:space="preserve">Records </w:t>
            </w:r>
          </w:p>
        </w:tc>
        <w:tc>
          <w:tcPr>
            <w:tcW w:w="4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 xml:space="preserve">May be stored on either enterprise or customer premises and at equipment site or central enterprise location </w:t>
            </w:r>
          </w:p>
        </w:tc>
      </w:tr>
      <w:tr w:rsidTr="00B93D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p>
        </w:tc>
      </w:tr>
      <w:tr w:rsidTr="00B93D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 xml:space="preserve">System records </w:t>
            </w:r>
          </w:p>
        </w:tc>
        <w:tc>
          <w:tcPr>
            <w:tcW w:w="4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May be stored: on site, on paper / cards, el</w:t>
            </w:r>
            <w:r w:rsidRPr="000A29AD">
              <w:t xml:space="preserve">ectronically, at central recording point </w:t>
            </w:r>
          </w:p>
        </w:tc>
      </w:tr>
      <w:tr w:rsidTr="00B93D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p>
        </w:tc>
      </w:tr>
      <w:tr w:rsidTr="00B93D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29AD">
            <w:pPr>
              <w:pStyle w:val="BodyText"/>
              <w:rPr>
                <w:lang w:val="en-NZ"/>
              </w:rPr>
            </w:pPr>
            <w:r w:rsidRPr="000A29AD">
              <w:t xml:space="preserve">Relevant legislation, codes, regulations and standards may include: </w:t>
            </w:r>
          </w:p>
        </w:tc>
        <w:tc>
          <w:tcPr>
            <w:tcW w:w="4500" w:type="dxa"/>
            <w:tcBorders>
              <w:top w:val="nil"/>
              <w:left w:val="nil"/>
              <w:bottom w:val="nil"/>
              <w:right w:val="nil"/>
            </w:tcBorders>
            <w:tcMar>
              <w:top w:w="0" w:type="dxa"/>
              <w:left w:w="62" w:type="dxa"/>
              <w:bottom w:w="0" w:type="dxa"/>
              <w:right w:w="62" w:type="dxa"/>
            </w:tcMar>
          </w:tcPr>
          <w:p w:rsidR="00000000" w:rsidRPr="000A29AD" w:rsidP="000A29AD">
            <w:pPr>
              <w:pStyle w:val="BodyText"/>
            </w:pPr>
            <w:r w:rsidRPr="000A29AD">
              <w:t>Australian Standards</w:t>
            </w:r>
          </w:p>
          <w:p w:rsidR="00000000" w:rsidRPr="000A29AD" w:rsidP="000A29AD">
            <w:pPr>
              <w:pStyle w:val="BodyText"/>
            </w:pPr>
            <w:r w:rsidRPr="000A29AD">
              <w:t>Australian Building Codes and regulations</w:t>
            </w:r>
          </w:p>
          <w:p w:rsidR="00000000" w:rsidRPr="000A29AD" w:rsidP="000A29AD">
            <w:pPr>
              <w:pStyle w:val="BodyText"/>
            </w:pPr>
            <w:r w:rsidRPr="000A29AD">
              <w:t>Occupational Health and Safety</w:t>
            </w:r>
          </w:p>
          <w:p w:rsidR="00000000" w:rsidRPr="000A29AD" w:rsidP="000A29AD">
            <w:pPr>
              <w:pStyle w:val="BodyText"/>
            </w:pPr>
            <w:r w:rsidRPr="000A29AD">
              <w:t>Environmental Protection</w:t>
            </w:r>
          </w:p>
          <w:p w:rsidR="00000000" w:rsidP="000A29AD">
            <w:pPr>
              <w:pStyle w:val="BodyText"/>
              <w:rPr>
                <w:lang w:val="en-NZ"/>
              </w:rPr>
            </w:pPr>
            <w:r w:rsidRPr="000A29AD">
              <w:t xml:space="preserve">Heritage legislation </w:t>
            </w:r>
          </w:p>
        </w:tc>
      </w:tr>
      <w:tr w:rsidTr="00B93D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0A29AD" w:rsidP="000A29AD">
            <w:pPr>
              <w:pStyle w:val="BodyText"/>
            </w:pPr>
          </w:p>
        </w:tc>
      </w:tr>
    </w:tbl>
    <w:p w:rsidR="00000000" w:rsidRPr="000A29AD" w:rsidP="000A29AD">
      <w:pPr>
        <w:pStyle w:val="BodyText"/>
      </w:pPr>
    </w:p>
    <w:p w:rsidR="00000000" w:rsidRPr="000A29AD" w:rsidP="000A29AD">
      <w:pPr>
        <w:pStyle w:val="AllowPageBreak"/>
      </w:pPr>
    </w:p>
    <w:p w:rsidR="00000000" w:rsidRPr="000A29AD" w:rsidP="000A29AD">
      <w:pPr>
        <w:pStyle w:val="Heading1"/>
      </w:pPr>
      <w:bookmarkStart w:id="12" w:name="O_320610"/>
      <w:bookmarkEnd w:id="12"/>
      <w:r w:rsidRPr="000A29AD">
        <w:t>Unit Sector(s)</w:t>
      </w:r>
    </w:p>
    <w:p w:rsidR="00000000" w:rsidRPr="000A29AD" w:rsidP="000A29AD">
      <w:pPr>
        <w:pStyle w:val="BodyText"/>
      </w:pPr>
      <w:r w:rsidRPr="000A29AD">
        <w:t>Not applicable.</w:t>
      </w:r>
    </w:p>
    <w:p w:rsidR="00000000" w:rsidRPr="000A29AD" w:rsidP="000A29AD"/>
    <w:sectPr w:rsidSect="000A29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3DB4" w:rsidP="00B93D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DB4" w:rsidP="000A29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93DB4" w:rsidP="000A29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3DB4" w:rsidP="000A29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3DB4" w:rsidP="00B93D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DB4" w:rsidP="000A29AD">
    <w:pPr>
      <w:pStyle w:val="Header"/>
      <w:framePr w:wrap="around"/>
    </w:pPr>
    <w:r>
      <w:fldChar w:fldCharType="begin"/>
    </w:r>
    <w:r>
      <w:instrText xml:space="preserve"> TITLE   \* MERGEFORMAT </w:instrText>
    </w:r>
    <w:r>
      <w:fldChar w:fldCharType="separate"/>
    </w:r>
    <w:r>
      <w:t>ICTTC104D Maintain an electronic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93DB4" w:rsidP="000A29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9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29AD"/>
    <w:pPr>
      <w:spacing w:before="360" w:after="60"/>
      <w:outlineLvl w:val="0"/>
    </w:pPr>
    <w:rPr>
      <w:sz w:val="32"/>
    </w:rPr>
  </w:style>
  <w:style w:type="paragraph" w:styleId="Heading2">
    <w:name w:val="heading 2"/>
    <w:basedOn w:val="HeadingBase"/>
    <w:next w:val="BodyText"/>
    <w:link w:val="Heading2Char"/>
    <w:qFormat/>
    <w:rsid w:val="000A29AD"/>
    <w:pPr>
      <w:keepLines/>
      <w:spacing w:before="240" w:after="120"/>
      <w:outlineLvl w:val="1"/>
    </w:pPr>
    <w:rPr>
      <w:sz w:val="28"/>
      <w:szCs w:val="40"/>
    </w:rPr>
  </w:style>
  <w:style w:type="paragraph" w:styleId="Heading3">
    <w:name w:val="heading 3"/>
    <w:basedOn w:val="HeadingBase"/>
    <w:next w:val="BodyText"/>
    <w:link w:val="Heading3Char"/>
    <w:qFormat/>
    <w:rsid w:val="000A29AD"/>
    <w:pPr>
      <w:spacing w:before="180" w:after="120"/>
      <w:outlineLvl w:val="2"/>
    </w:pPr>
    <w:rPr>
      <w:spacing w:val="-10"/>
      <w:kern w:val="32"/>
    </w:rPr>
  </w:style>
  <w:style w:type="paragraph" w:styleId="Heading4">
    <w:name w:val="heading 4"/>
    <w:basedOn w:val="HeadingBase"/>
    <w:next w:val="BodyText"/>
    <w:link w:val="Heading4Char"/>
    <w:qFormat/>
    <w:rsid w:val="000A29AD"/>
    <w:pPr>
      <w:spacing w:before="160" w:after="120"/>
      <w:outlineLvl w:val="3"/>
    </w:pPr>
    <w:rPr>
      <w:sz w:val="22"/>
    </w:rPr>
  </w:style>
  <w:style w:type="paragraph" w:styleId="Heading5">
    <w:name w:val="heading 5"/>
    <w:basedOn w:val="HeadingBase"/>
    <w:next w:val="Normal"/>
    <w:link w:val="Heading5Char"/>
    <w:qFormat/>
    <w:rsid w:val="000A29AD"/>
    <w:pPr>
      <w:spacing w:before="80"/>
      <w:outlineLvl w:val="4"/>
    </w:pPr>
    <w:rPr>
      <w:color w:val="918585"/>
      <w:sz w:val="20"/>
    </w:rPr>
  </w:style>
  <w:style w:type="paragraph" w:styleId="Heading6">
    <w:name w:val="heading 6"/>
    <w:basedOn w:val="HeadingBase"/>
    <w:next w:val="Normal"/>
    <w:link w:val="Heading6Char"/>
    <w:qFormat/>
    <w:rsid w:val="000A29AD"/>
    <w:pPr>
      <w:spacing w:before="60"/>
      <w:outlineLvl w:val="5"/>
    </w:pPr>
    <w:rPr>
      <w:color w:val="918585"/>
      <w:sz w:val="20"/>
    </w:rPr>
  </w:style>
  <w:style w:type="paragraph" w:styleId="Heading7">
    <w:name w:val="heading 7"/>
    <w:basedOn w:val="Normal"/>
    <w:next w:val="Normal"/>
    <w:link w:val="Heading7Char"/>
    <w:qFormat/>
    <w:rsid w:val="000A29AD"/>
    <w:pPr>
      <w:ind w:left="720"/>
      <w:outlineLvl w:val="6"/>
    </w:pPr>
    <w:rPr>
      <w:i/>
    </w:rPr>
  </w:style>
  <w:style w:type="paragraph" w:styleId="Heading8">
    <w:name w:val="heading 8"/>
    <w:basedOn w:val="Normal"/>
    <w:next w:val="Normal"/>
    <w:link w:val="Heading8Char"/>
    <w:qFormat/>
    <w:rsid w:val="000A29AD"/>
    <w:pPr>
      <w:ind w:left="720"/>
      <w:outlineLvl w:val="7"/>
    </w:pPr>
    <w:rPr>
      <w:i/>
    </w:rPr>
  </w:style>
  <w:style w:type="paragraph" w:styleId="Heading9">
    <w:name w:val="heading 9"/>
    <w:basedOn w:val="Normal"/>
    <w:next w:val="Normal"/>
    <w:link w:val="Heading9Char"/>
    <w:qFormat/>
    <w:rsid w:val="000A29AD"/>
    <w:pPr>
      <w:ind w:left="720"/>
      <w:outlineLvl w:val="8"/>
    </w:pPr>
    <w:rPr>
      <w:i/>
    </w:rPr>
  </w:style>
  <w:style w:type="character" w:default="1" w:styleId="DefaultParagraphFont">
    <w:name w:val="Default Paragraph Font"/>
    <w:uiPriority w:val="1"/>
    <w:unhideWhenUsed/>
    <w:rsid w:val="000A29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9AD"/>
  </w:style>
  <w:style w:type="character" w:customStyle="1" w:styleId="Heading1Char">
    <w:name w:val="Heading 1 Char"/>
    <w:basedOn w:val="DefaultParagraphFont"/>
    <w:link w:val="Heading1"/>
    <w:rsid w:val="000A29AD"/>
    <w:rPr>
      <w:rFonts w:ascii="Times New Roman" w:eastAsia="Times New Roman" w:hAnsi="Times New Roman" w:cs="Times New Roman"/>
      <w:b/>
      <w:sz w:val="32"/>
      <w:szCs w:val="20"/>
      <w:lang w:eastAsia="en-US"/>
    </w:rPr>
  </w:style>
  <w:style w:type="paragraph" w:styleId="BodyText">
    <w:name w:val="Body Text"/>
    <w:basedOn w:val="Normal"/>
    <w:link w:val="BodyTextChar"/>
    <w:rsid w:val="000A29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29AD"/>
    <w:rPr>
      <w:rFonts w:ascii="Times New Roman" w:eastAsia="Times New Roman" w:hAnsi="Times New Roman" w:cs="Times New Roman"/>
      <w:sz w:val="24"/>
      <w:lang w:val="en-US" w:eastAsia="en-US"/>
    </w:rPr>
  </w:style>
  <w:style w:type="paragraph" w:styleId="Footer">
    <w:name w:val="footer"/>
    <w:basedOn w:val="Normal"/>
    <w:link w:val="FooterChar"/>
    <w:rsid w:val="000A29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9A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A29AD"/>
    <w:rPr>
      <w:b/>
      <w:spacing w:val="0"/>
    </w:rPr>
  </w:style>
  <w:style w:type="paragraph" w:styleId="Header">
    <w:name w:val="header"/>
    <w:basedOn w:val="Normal"/>
    <w:link w:val="HeaderChar"/>
    <w:rsid w:val="000A29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9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29AD"/>
    <w:pPr>
      <w:spacing w:before="240" w:after="120"/>
      <w:outlineLvl w:val="0"/>
    </w:pPr>
    <w:rPr>
      <w:rFonts w:ascii="Times New Roman" w:hAnsi="Times New Roman"/>
      <w:b/>
      <w:sz w:val="28"/>
    </w:rPr>
  </w:style>
  <w:style w:type="paragraph" w:customStyle="1" w:styleId="AllowPageBreak">
    <w:name w:val="AllowPageBreak"/>
    <w:rsid w:val="000A29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29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9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9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9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9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9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29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29AD"/>
    <w:rPr>
      <w:rFonts w:ascii="Courier New" w:eastAsia="Times New Roman" w:hAnsi="Courier New" w:cs="Times New Roman"/>
      <w:i/>
      <w:szCs w:val="20"/>
      <w:lang w:val="en-US" w:eastAsia="en-US"/>
    </w:rPr>
  </w:style>
  <w:style w:type="paragraph" w:customStyle="1" w:styleId="HeadingBase">
    <w:name w:val="Heading Base"/>
    <w:rsid w:val="000A29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9AD"/>
    <w:pPr>
      <w:tabs>
        <w:tab w:val="right" w:leader="dot" w:pos="9072"/>
      </w:tabs>
      <w:ind w:left="567"/>
    </w:pPr>
    <w:rPr>
      <w:szCs w:val="22"/>
    </w:rPr>
  </w:style>
  <w:style w:type="paragraph" w:customStyle="1" w:styleId="TOCBase">
    <w:name w:val="TOC Base"/>
    <w:rsid w:val="000A29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9AD"/>
    <w:pPr>
      <w:tabs>
        <w:tab w:val="right" w:leader="dot" w:pos="9072"/>
      </w:tabs>
      <w:spacing w:before="40" w:after="40"/>
      <w:ind w:left="284"/>
    </w:pPr>
    <w:rPr>
      <w:rFonts w:ascii="Times New Roman" w:hAnsi="Times New Roman"/>
    </w:rPr>
  </w:style>
  <w:style w:type="paragraph" w:styleId="TOC1">
    <w:name w:val="toc 1"/>
    <w:basedOn w:val="TOCBase"/>
    <w:next w:val="Normal"/>
    <w:rsid w:val="000A29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29AD"/>
    <w:pPr>
      <w:spacing w:before="5040"/>
      <w:jc w:val="center"/>
    </w:pPr>
    <w:rPr>
      <w:sz w:val="48"/>
      <w:szCs w:val="72"/>
      <w:lang w:val="en-US"/>
    </w:rPr>
  </w:style>
  <w:style w:type="character" w:customStyle="1" w:styleId="TitleChar">
    <w:name w:val="Title Char"/>
    <w:basedOn w:val="DefaultParagraphFont"/>
    <w:link w:val="Title"/>
    <w:rsid w:val="000A29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9AD"/>
    <w:pPr>
      <w:tabs>
        <w:tab w:val="left" w:pos="3600"/>
        <w:tab w:val="left" w:pos="3958"/>
      </w:tabs>
    </w:pPr>
  </w:style>
  <w:style w:type="paragraph" w:styleId="List">
    <w:name w:val="List"/>
    <w:basedOn w:val="BodyText"/>
    <w:next w:val="BodyText"/>
    <w:rsid w:val="000A29AD"/>
    <w:pPr>
      <w:tabs>
        <w:tab w:val="left" w:pos="340"/>
      </w:tabs>
      <w:spacing w:before="60" w:after="60"/>
      <w:ind w:left="340" w:hanging="340"/>
    </w:pPr>
  </w:style>
  <w:style w:type="paragraph" w:styleId="ListBullet">
    <w:name w:val="List Bullet"/>
    <w:basedOn w:val="List"/>
    <w:rsid w:val="000A29AD"/>
    <w:pPr>
      <w:numPr>
        <w:numId w:val="11"/>
      </w:numPr>
      <w:tabs>
        <w:tab w:val="clear" w:pos="340"/>
      </w:tabs>
      <w:spacing w:before="40" w:after="40"/>
    </w:pPr>
  </w:style>
  <w:style w:type="paragraph" w:customStyle="1" w:styleId="Note">
    <w:name w:val="Note"/>
    <w:basedOn w:val="BodyText"/>
    <w:rsid w:val="000A29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29AD"/>
    <w:pPr>
      <w:framePr w:wrap="auto" w:hAnchor="text" w:y="6049"/>
    </w:pPr>
    <w:rPr>
      <w:color w:val="000000"/>
      <w:sz w:val="40"/>
    </w:rPr>
  </w:style>
  <w:style w:type="paragraph" w:customStyle="1" w:styleId="TOCTitle">
    <w:name w:val="TOCTitle"/>
    <w:basedOn w:val="Heading1"/>
    <w:rsid w:val="000A29AD"/>
    <w:pPr>
      <w:spacing w:after="240"/>
      <w:jc w:val="center"/>
      <w:outlineLvl w:val="9"/>
    </w:pPr>
    <w:rPr>
      <w:caps/>
    </w:rPr>
  </w:style>
  <w:style w:type="paragraph" w:customStyle="1" w:styleId="Version">
    <w:name w:val="Version"/>
    <w:rsid w:val="000A29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29AD"/>
    <w:pPr>
      <w:numPr>
        <w:numId w:val="12"/>
      </w:numPr>
      <w:tabs>
        <w:tab w:val="clear" w:pos="680"/>
      </w:tabs>
    </w:pPr>
  </w:style>
  <w:style w:type="paragraph" w:styleId="Index1">
    <w:name w:val="index 1"/>
    <w:basedOn w:val="Normal"/>
    <w:next w:val="Normal"/>
    <w:semiHidden/>
    <w:rsid w:val="000A29AD"/>
    <w:pPr>
      <w:keepNext w:val="0"/>
      <w:tabs>
        <w:tab w:val="right" w:pos="4176"/>
      </w:tabs>
      <w:ind w:left="198" w:hanging="198"/>
    </w:pPr>
    <w:rPr>
      <w:rFonts w:ascii="Garamond" w:hAnsi="Garamond"/>
    </w:rPr>
  </w:style>
  <w:style w:type="paragraph" w:styleId="IndexHeading">
    <w:name w:val="index heading"/>
    <w:basedOn w:val="Normal"/>
    <w:next w:val="Index1"/>
    <w:semiHidden/>
    <w:rsid w:val="000A29AD"/>
    <w:pPr>
      <w:spacing w:before="120" w:after="120"/>
    </w:pPr>
    <w:rPr>
      <w:rFonts w:ascii="Arial" w:hAnsi="Arial"/>
      <w:b/>
      <w:color w:val="918585"/>
      <w:sz w:val="24"/>
    </w:rPr>
  </w:style>
  <w:style w:type="paragraph" w:customStyle="1" w:styleId="Chapter">
    <w:name w:val="Chapter"/>
    <w:basedOn w:val="Normal"/>
    <w:rsid w:val="000A29AD"/>
    <w:pPr>
      <w:spacing w:before="240"/>
    </w:pPr>
    <w:rPr>
      <w:rFonts w:ascii="Times New Roman" w:hAnsi="Times New Roman"/>
      <w:smallCaps/>
      <w:spacing w:val="80"/>
      <w:sz w:val="28"/>
    </w:rPr>
  </w:style>
  <w:style w:type="paragraph" w:customStyle="1" w:styleId="InChapter">
    <w:name w:val="InChapter"/>
    <w:basedOn w:val="Heading3"/>
    <w:rsid w:val="000A29AD"/>
    <w:pPr>
      <w:spacing w:after="240"/>
      <w:outlineLvl w:val="9"/>
    </w:pPr>
    <w:rPr>
      <w:noProof/>
    </w:rPr>
  </w:style>
  <w:style w:type="paragraph" w:styleId="Index2">
    <w:name w:val="index 2"/>
    <w:basedOn w:val="Normal"/>
    <w:next w:val="Normal"/>
    <w:semiHidden/>
    <w:rsid w:val="000A29AD"/>
    <w:pPr>
      <w:tabs>
        <w:tab w:val="right" w:pos="4176"/>
      </w:tabs>
      <w:ind w:left="568" w:hanging="284"/>
    </w:pPr>
    <w:rPr>
      <w:rFonts w:ascii="Garamond" w:hAnsi="Garamond"/>
    </w:rPr>
  </w:style>
  <w:style w:type="paragraph" w:customStyle="1" w:styleId="Byline">
    <w:name w:val="Byline"/>
    <w:rsid w:val="000A29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9AD"/>
    <w:pPr>
      <w:tabs>
        <w:tab w:val="clear" w:pos="3600"/>
        <w:tab w:val="clear" w:pos="3958"/>
      </w:tabs>
      <w:jc w:val="right"/>
    </w:pPr>
  </w:style>
  <w:style w:type="character" w:styleId="Emphasis">
    <w:name w:val="Emphasis"/>
    <w:basedOn w:val="DefaultParagraphFont"/>
    <w:qFormat/>
    <w:rsid w:val="000A29AD"/>
    <w:rPr>
      <w:i/>
    </w:rPr>
  </w:style>
  <w:style w:type="paragraph" w:styleId="Caption">
    <w:name w:val="caption"/>
    <w:basedOn w:val="BodyText"/>
    <w:next w:val="Normal"/>
    <w:qFormat/>
    <w:rsid w:val="000A29AD"/>
    <w:pPr>
      <w:framePr w:w="2268" w:hSpace="181" w:vSpace="181" w:wrap="around" w:vAnchor="text" w:hAnchor="page" w:x="1135" w:y="285" w:anchorLock="1"/>
    </w:pPr>
    <w:rPr>
      <w:i/>
    </w:rPr>
  </w:style>
  <w:style w:type="paragraph" w:customStyle="1" w:styleId="MiniTOCTitle">
    <w:name w:val="MiniTOCTitle"/>
    <w:basedOn w:val="Heading4"/>
    <w:rsid w:val="000A29AD"/>
    <w:pPr>
      <w:spacing w:before="240"/>
      <w:outlineLvl w:val="9"/>
    </w:pPr>
    <w:rPr>
      <w:noProof/>
      <w:sz w:val="24"/>
    </w:rPr>
  </w:style>
  <w:style w:type="paragraph" w:customStyle="1" w:styleId="MiniTOCItem">
    <w:name w:val="MiniTOCItem"/>
    <w:basedOn w:val="ListBullet"/>
    <w:rsid w:val="000A29AD"/>
    <w:pPr>
      <w:numPr>
        <w:numId w:val="0"/>
      </w:numPr>
      <w:tabs>
        <w:tab w:val="right" w:leader="dot" w:pos="6521"/>
      </w:tabs>
      <w:spacing w:before="0" w:after="0"/>
    </w:pPr>
  </w:style>
  <w:style w:type="paragraph" w:customStyle="1" w:styleId="TOFTitle">
    <w:name w:val="TOFTitle"/>
    <w:basedOn w:val="TOCTitle"/>
    <w:rsid w:val="000A29AD"/>
  </w:style>
  <w:style w:type="paragraph" w:styleId="TableofFigures">
    <w:name w:val="table of figures"/>
    <w:basedOn w:val="Normal"/>
    <w:next w:val="Normal"/>
    <w:semiHidden/>
    <w:rsid w:val="000A29AD"/>
    <w:pPr>
      <w:tabs>
        <w:tab w:val="right" w:leader="dot" w:pos="9072"/>
      </w:tabs>
      <w:ind w:left="970" w:hanging="403"/>
    </w:pPr>
    <w:rPr>
      <w:rFonts w:ascii="Times New Roman" w:hAnsi="Times New Roman"/>
      <w:b/>
    </w:rPr>
  </w:style>
  <w:style w:type="paragraph" w:styleId="ListNumber">
    <w:name w:val="List Number"/>
    <w:basedOn w:val="List"/>
    <w:rsid w:val="000A29AD"/>
    <w:pPr>
      <w:numPr>
        <w:numId w:val="9"/>
      </w:numPr>
    </w:pPr>
  </w:style>
  <w:style w:type="character" w:customStyle="1" w:styleId="WingdingSymbols">
    <w:name w:val="Wingding Symbols"/>
    <w:rsid w:val="000A29AD"/>
    <w:rPr>
      <w:rFonts w:ascii="Wingdings" w:hAnsi="Wingdings"/>
    </w:rPr>
  </w:style>
  <w:style w:type="paragraph" w:customStyle="1" w:styleId="TableHeading">
    <w:name w:val="Table Heading"/>
    <w:basedOn w:val="HeadingBase"/>
    <w:rsid w:val="000A29AD"/>
    <w:pPr>
      <w:keepLines/>
      <w:pBdr>
        <w:bottom w:val="single" w:sz="6" w:space="1" w:color="918585"/>
      </w:pBdr>
      <w:spacing w:before="240"/>
    </w:pPr>
  </w:style>
  <w:style w:type="character" w:customStyle="1" w:styleId="HotSpot">
    <w:name w:val="HotSpot"/>
    <w:rsid w:val="000A29AD"/>
    <w:rPr>
      <w:color w:val="0033CC"/>
      <w:u w:val="none"/>
    </w:rPr>
  </w:style>
  <w:style w:type="paragraph" w:customStyle="1" w:styleId="BodyTextRight">
    <w:name w:val="Body Text Right"/>
    <w:basedOn w:val="BodyText"/>
    <w:rsid w:val="000A29AD"/>
    <w:pPr>
      <w:spacing w:before="0" w:after="0"/>
      <w:jc w:val="right"/>
    </w:pPr>
  </w:style>
  <w:style w:type="paragraph" w:styleId="Index3">
    <w:name w:val="index 3"/>
    <w:basedOn w:val="ListNumber2"/>
    <w:next w:val="Normal"/>
    <w:semiHidden/>
    <w:rsid w:val="000A29AD"/>
    <w:pPr>
      <w:numPr>
        <w:numId w:val="0"/>
      </w:numPr>
      <w:tabs>
        <w:tab w:val="right" w:leader="dot" w:pos="4176"/>
      </w:tabs>
    </w:pPr>
  </w:style>
  <w:style w:type="paragraph" w:styleId="ListNumber2">
    <w:name w:val="List Number 2"/>
    <w:basedOn w:val="List2"/>
    <w:rsid w:val="000A29AD"/>
    <w:pPr>
      <w:numPr>
        <w:numId w:val="8"/>
      </w:numPr>
      <w:tabs>
        <w:tab w:val="clear" w:pos="1060"/>
      </w:tabs>
    </w:pPr>
  </w:style>
  <w:style w:type="paragraph" w:customStyle="1" w:styleId="MarginNote">
    <w:name w:val="Margin Note"/>
    <w:basedOn w:val="BodyText"/>
    <w:rsid w:val="000A29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9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9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29AD"/>
    <w:rPr>
      <w:sz w:val="32"/>
    </w:rPr>
  </w:style>
  <w:style w:type="paragraph" w:customStyle="1" w:styleId="HeadingProcedure">
    <w:name w:val="Heading Procedure"/>
    <w:basedOn w:val="HeadingBase"/>
    <w:next w:val="Normal"/>
    <w:rsid w:val="000A29AD"/>
    <w:pPr>
      <w:tabs>
        <w:tab w:val="left" w:pos="0"/>
      </w:tabs>
      <w:spacing w:before="120" w:after="60"/>
    </w:pPr>
    <w:rPr>
      <w:i/>
      <w:color w:val="918585"/>
      <w:sz w:val="22"/>
    </w:rPr>
  </w:style>
  <w:style w:type="paragraph" w:customStyle="1" w:styleId="TableBodyText">
    <w:name w:val="Table Body Text"/>
    <w:basedOn w:val="BodyText"/>
    <w:rsid w:val="000A29AD"/>
    <w:pPr>
      <w:spacing w:before="60" w:after="60"/>
    </w:pPr>
  </w:style>
  <w:style w:type="paragraph" w:styleId="ListContinue">
    <w:name w:val="List Continue"/>
    <w:basedOn w:val="List"/>
    <w:rsid w:val="000A29AD"/>
    <w:pPr>
      <w:ind w:firstLine="0"/>
    </w:pPr>
  </w:style>
  <w:style w:type="paragraph" w:customStyle="1" w:styleId="ListNote">
    <w:name w:val="List Note"/>
    <w:basedOn w:val="List"/>
    <w:rsid w:val="000A29AD"/>
    <w:pPr>
      <w:pBdr>
        <w:top w:val="single" w:sz="6" w:space="2" w:color="918585"/>
        <w:bottom w:val="single" w:sz="6" w:space="2" w:color="918585"/>
      </w:pBdr>
      <w:tabs>
        <w:tab w:val="left" w:pos="1021"/>
      </w:tabs>
      <w:ind w:firstLine="0"/>
    </w:pPr>
  </w:style>
  <w:style w:type="paragraph" w:customStyle="1" w:styleId="Warning">
    <w:name w:val="Warning"/>
    <w:basedOn w:val="BodyText"/>
    <w:rsid w:val="000A29AD"/>
    <w:pPr>
      <w:shd w:val="clear" w:color="auto" w:fill="D9D9D9"/>
      <w:tabs>
        <w:tab w:val="left" w:pos="992"/>
      </w:tabs>
      <w:ind w:left="119" w:right="119"/>
    </w:pPr>
    <w:rPr>
      <w:sz w:val="20"/>
    </w:rPr>
  </w:style>
  <w:style w:type="paragraph" w:customStyle="1" w:styleId="MarginIcons">
    <w:name w:val="Margin Icons"/>
    <w:basedOn w:val="BodyText"/>
    <w:rsid w:val="000A29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9AD"/>
    <w:rPr>
      <w:rFonts w:ascii="Courier New" w:hAnsi="Courier New"/>
    </w:rPr>
  </w:style>
  <w:style w:type="paragraph" w:customStyle="1" w:styleId="NoteBullet">
    <w:name w:val="Note Bullet"/>
    <w:basedOn w:val="Note"/>
    <w:rsid w:val="000A29AD"/>
    <w:pPr>
      <w:tabs>
        <w:tab w:val="clear" w:pos="680"/>
      </w:tabs>
      <w:spacing w:before="60" w:after="60"/>
    </w:pPr>
  </w:style>
  <w:style w:type="paragraph" w:customStyle="1" w:styleId="SubHeading2">
    <w:name w:val="SubHeading2"/>
    <w:basedOn w:val="HeadingBase"/>
    <w:rsid w:val="000A29AD"/>
    <w:pPr>
      <w:spacing w:before="240" w:after="60"/>
    </w:pPr>
    <w:rPr>
      <w:sz w:val="20"/>
    </w:rPr>
  </w:style>
  <w:style w:type="paragraph" w:customStyle="1" w:styleId="SubHeading1">
    <w:name w:val="SubHeading1"/>
    <w:basedOn w:val="HeadingBase"/>
    <w:rsid w:val="000A29AD"/>
    <w:pPr>
      <w:spacing w:before="240" w:after="60"/>
    </w:pPr>
    <w:rPr>
      <w:color w:val="918585"/>
      <w:sz w:val="22"/>
    </w:rPr>
  </w:style>
  <w:style w:type="paragraph" w:customStyle="1" w:styleId="SideHeading">
    <w:name w:val="Side Heading"/>
    <w:basedOn w:val="HeadingBase"/>
    <w:rsid w:val="000A29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9AD"/>
    <w:pPr>
      <w:numPr>
        <w:numId w:val="10"/>
      </w:numPr>
    </w:pPr>
  </w:style>
  <w:style w:type="paragraph" w:styleId="PlainText">
    <w:name w:val="Plain Text"/>
    <w:basedOn w:val="Normal"/>
    <w:link w:val="PlainTextChar"/>
    <w:rsid w:val="000A29AD"/>
    <w:rPr>
      <w:sz w:val="20"/>
    </w:rPr>
  </w:style>
  <w:style w:type="character" w:customStyle="1" w:styleId="PlainTextChar">
    <w:name w:val="Plain Text Char"/>
    <w:basedOn w:val="DefaultParagraphFont"/>
    <w:link w:val="PlainText"/>
    <w:rsid w:val="000A29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29AD"/>
    <w:rPr>
      <w:b/>
      <w:smallCaps/>
    </w:rPr>
  </w:style>
  <w:style w:type="paragraph" w:customStyle="1" w:styleId="TableListNumber">
    <w:name w:val="Table List Number"/>
    <w:basedOn w:val="ListNumber"/>
    <w:rsid w:val="000A29AD"/>
    <w:pPr>
      <w:numPr>
        <w:numId w:val="0"/>
      </w:numPr>
    </w:pPr>
  </w:style>
  <w:style w:type="paragraph" w:styleId="TOC4">
    <w:name w:val="toc 4"/>
    <w:basedOn w:val="TOCBase"/>
    <w:next w:val="Normal"/>
    <w:semiHidden/>
    <w:rsid w:val="000A29AD"/>
    <w:pPr>
      <w:tabs>
        <w:tab w:val="right" w:leader="dot" w:pos="9071"/>
      </w:tabs>
      <w:ind w:left="1701"/>
    </w:pPr>
  </w:style>
  <w:style w:type="paragraph" w:customStyle="1" w:styleId="ListAlpha">
    <w:name w:val="List Alpha"/>
    <w:basedOn w:val="List"/>
    <w:rsid w:val="000A29AD"/>
    <w:pPr>
      <w:numPr>
        <w:numId w:val="7"/>
      </w:numPr>
    </w:pPr>
  </w:style>
  <w:style w:type="paragraph" w:customStyle="1" w:styleId="ListAlpha2">
    <w:name w:val="List Alpha 2"/>
    <w:basedOn w:val="List2"/>
    <w:rsid w:val="000A29AD"/>
    <w:pPr>
      <w:numPr>
        <w:numId w:val="6"/>
      </w:numPr>
    </w:pPr>
  </w:style>
  <w:style w:type="paragraph" w:styleId="List2">
    <w:name w:val="List 2"/>
    <w:basedOn w:val="BodyText"/>
    <w:rsid w:val="000A29AD"/>
    <w:pPr>
      <w:tabs>
        <w:tab w:val="left" w:pos="680"/>
      </w:tabs>
      <w:spacing w:before="60" w:after="60"/>
      <w:ind w:left="680" w:hanging="340"/>
    </w:pPr>
  </w:style>
  <w:style w:type="paragraph" w:styleId="List3">
    <w:name w:val="List 3"/>
    <w:basedOn w:val="BodyText"/>
    <w:rsid w:val="000A29AD"/>
    <w:pPr>
      <w:tabs>
        <w:tab w:val="left" w:pos="1021"/>
      </w:tabs>
      <w:spacing w:before="60" w:after="60"/>
      <w:ind w:left="1020" w:hanging="340"/>
    </w:pPr>
  </w:style>
  <w:style w:type="paragraph" w:styleId="List4">
    <w:name w:val="List 4"/>
    <w:basedOn w:val="BodyText"/>
    <w:rsid w:val="000A29AD"/>
    <w:pPr>
      <w:tabs>
        <w:tab w:val="left" w:pos="1361"/>
      </w:tabs>
      <w:spacing w:before="60" w:after="60"/>
      <w:ind w:left="1361" w:hanging="340"/>
    </w:pPr>
  </w:style>
  <w:style w:type="paragraph" w:styleId="List5">
    <w:name w:val="List 5"/>
    <w:basedOn w:val="BodyText"/>
    <w:rsid w:val="000A29AD"/>
    <w:pPr>
      <w:tabs>
        <w:tab w:val="left" w:pos="1701"/>
      </w:tabs>
      <w:spacing w:before="60" w:after="60"/>
      <w:ind w:left="1701" w:hanging="340"/>
    </w:pPr>
  </w:style>
  <w:style w:type="paragraph" w:styleId="ListBullet3">
    <w:name w:val="List Bullet 3"/>
    <w:basedOn w:val="List3"/>
    <w:rsid w:val="000A29AD"/>
    <w:pPr>
      <w:numPr>
        <w:numId w:val="13"/>
      </w:numPr>
      <w:tabs>
        <w:tab w:val="clear" w:pos="1021"/>
      </w:tabs>
      <w:ind w:left="1037" w:hanging="357"/>
    </w:pPr>
  </w:style>
  <w:style w:type="paragraph" w:styleId="ListBullet4">
    <w:name w:val="List Bullet 4"/>
    <w:basedOn w:val="List4"/>
    <w:rsid w:val="000A29AD"/>
    <w:pPr>
      <w:numPr>
        <w:numId w:val="1"/>
      </w:numPr>
    </w:pPr>
  </w:style>
  <w:style w:type="paragraph" w:styleId="ListBullet5">
    <w:name w:val="List Bullet 5"/>
    <w:basedOn w:val="List5"/>
    <w:rsid w:val="000A29AD"/>
    <w:pPr>
      <w:numPr>
        <w:numId w:val="2"/>
      </w:numPr>
    </w:pPr>
  </w:style>
  <w:style w:type="paragraph" w:styleId="ListContinue2">
    <w:name w:val="List Continue 2"/>
    <w:basedOn w:val="List2"/>
    <w:rsid w:val="000A29AD"/>
    <w:pPr>
      <w:ind w:firstLine="0"/>
    </w:pPr>
  </w:style>
  <w:style w:type="paragraph" w:styleId="ListContinue3">
    <w:name w:val="List Continue 3"/>
    <w:basedOn w:val="List3"/>
    <w:rsid w:val="000A29AD"/>
    <w:pPr>
      <w:ind w:left="1021" w:firstLine="0"/>
    </w:pPr>
  </w:style>
  <w:style w:type="paragraph" w:styleId="ListContinue4">
    <w:name w:val="List Continue 4"/>
    <w:basedOn w:val="List4"/>
    <w:rsid w:val="000A29AD"/>
    <w:pPr>
      <w:ind w:firstLine="0"/>
    </w:pPr>
  </w:style>
  <w:style w:type="paragraph" w:styleId="ListContinue5">
    <w:name w:val="List Continue 5"/>
    <w:basedOn w:val="List5"/>
    <w:rsid w:val="000A29AD"/>
    <w:pPr>
      <w:ind w:firstLine="0"/>
    </w:pPr>
  </w:style>
  <w:style w:type="paragraph" w:styleId="ListNumber3">
    <w:name w:val="List Number 3"/>
    <w:basedOn w:val="List3"/>
    <w:rsid w:val="000A29AD"/>
    <w:pPr>
      <w:numPr>
        <w:numId w:val="3"/>
      </w:numPr>
    </w:pPr>
  </w:style>
  <w:style w:type="paragraph" w:styleId="ListNumber4">
    <w:name w:val="List Number 4"/>
    <w:basedOn w:val="List4"/>
    <w:rsid w:val="000A29AD"/>
    <w:pPr>
      <w:numPr>
        <w:numId w:val="4"/>
      </w:numPr>
    </w:pPr>
  </w:style>
  <w:style w:type="paragraph" w:styleId="ListNumber5">
    <w:name w:val="List Number 5"/>
    <w:basedOn w:val="List5"/>
    <w:rsid w:val="000A29AD"/>
    <w:pPr>
      <w:numPr>
        <w:numId w:val="5"/>
      </w:numPr>
    </w:pPr>
  </w:style>
  <w:style w:type="paragraph" w:styleId="BlockText">
    <w:name w:val="Block Text"/>
    <w:basedOn w:val="Normal"/>
    <w:rsid w:val="000A29AD"/>
    <w:pPr>
      <w:spacing w:after="120"/>
      <w:ind w:left="1440" w:right="1440"/>
    </w:pPr>
  </w:style>
  <w:style w:type="character" w:customStyle="1" w:styleId="Subscript">
    <w:name w:val="Subscript"/>
    <w:basedOn w:val="DefaultParagraphFont"/>
    <w:rsid w:val="000A29AD"/>
    <w:rPr>
      <w:sz w:val="16"/>
      <w:vertAlign w:val="subscript"/>
    </w:rPr>
  </w:style>
  <w:style w:type="character" w:customStyle="1" w:styleId="Superscript">
    <w:name w:val="Superscript"/>
    <w:basedOn w:val="DefaultParagraphFont"/>
    <w:rsid w:val="000A29AD"/>
    <w:rPr>
      <w:sz w:val="16"/>
      <w:vertAlign w:val="superscript"/>
    </w:rPr>
  </w:style>
  <w:style w:type="character" w:customStyle="1" w:styleId="Symbols">
    <w:name w:val="Symbols"/>
    <w:basedOn w:val="DefaultParagraphFont"/>
    <w:rsid w:val="000A29AD"/>
    <w:rPr>
      <w:rFonts w:ascii="Symbol" w:hAnsi="Symbol"/>
    </w:rPr>
  </w:style>
  <w:style w:type="character" w:customStyle="1" w:styleId="MenuOptions">
    <w:name w:val="Menu Options"/>
    <w:basedOn w:val="DefaultParagraphFont"/>
    <w:rsid w:val="000A29AD"/>
    <w:rPr>
      <w:rFonts w:ascii="Arial Narrow" w:hAnsi="Arial Narrow"/>
      <w:smallCaps/>
    </w:rPr>
  </w:style>
  <w:style w:type="character" w:customStyle="1" w:styleId="Buttons">
    <w:name w:val="Buttons"/>
    <w:basedOn w:val="DefaultParagraphFont"/>
    <w:rsid w:val="000A29AD"/>
    <w:rPr>
      <w:b/>
    </w:rPr>
  </w:style>
  <w:style w:type="character" w:customStyle="1" w:styleId="Underlined">
    <w:name w:val="Underlined"/>
    <w:basedOn w:val="DefaultParagraphFont"/>
    <w:rsid w:val="000A29AD"/>
    <w:rPr>
      <w:u w:val="single"/>
    </w:rPr>
  </w:style>
  <w:style w:type="paragraph" w:customStyle="1" w:styleId="TableBodyTextRight">
    <w:name w:val="Table Body Text Right"/>
    <w:basedOn w:val="TableBodyText"/>
    <w:rsid w:val="000A29AD"/>
    <w:pPr>
      <w:widowControl w:val="0"/>
      <w:autoSpaceDE w:val="0"/>
      <w:autoSpaceDN w:val="0"/>
      <w:adjustRightInd w:val="0"/>
      <w:jc w:val="right"/>
    </w:pPr>
    <w:rPr>
      <w:rFonts w:cs="Arial"/>
      <w:szCs w:val="18"/>
    </w:rPr>
  </w:style>
  <w:style w:type="paragraph" w:customStyle="1" w:styleId="CopyrightText">
    <w:name w:val="Copyright Text"/>
    <w:basedOn w:val="BodyText"/>
    <w:rsid w:val="000A29AD"/>
    <w:rPr>
      <w:sz w:val="18"/>
    </w:rPr>
  </w:style>
  <w:style w:type="paragraph" w:customStyle="1" w:styleId="BodySmallRight">
    <w:name w:val="Body Small Right"/>
    <w:basedOn w:val="BodyTextRight"/>
    <w:rsid w:val="000A29AD"/>
    <w:rPr>
      <w:sz w:val="18"/>
      <w:szCs w:val="18"/>
    </w:rPr>
  </w:style>
  <w:style w:type="paragraph" w:customStyle="1" w:styleId="MarginEdition">
    <w:name w:val="Margin Edition"/>
    <w:basedOn w:val="MarginNote"/>
    <w:rsid w:val="000A29AD"/>
    <w:pPr>
      <w:spacing w:before="0" w:after="0"/>
    </w:pPr>
    <w:rPr>
      <w:rFonts w:ascii="Times New Roman" w:hAnsi="Times New Roman"/>
      <w:color w:val="999999"/>
    </w:rPr>
  </w:style>
  <w:style w:type="paragraph" w:customStyle="1" w:styleId="Spacer">
    <w:name w:val="Spacer"/>
    <w:basedOn w:val="Normal"/>
    <w:rsid w:val="000A29AD"/>
    <w:rPr>
      <w:sz w:val="2"/>
      <w:szCs w:val="2"/>
    </w:rPr>
  </w:style>
  <w:style w:type="character" w:customStyle="1" w:styleId="Small">
    <w:name w:val="Small"/>
    <w:basedOn w:val="DefaultParagraphFont"/>
    <w:rsid w:val="000A29AD"/>
    <w:rPr>
      <w:sz w:val="16"/>
    </w:rPr>
  </w:style>
  <w:style w:type="paragraph" w:customStyle="1" w:styleId="WideTable">
    <w:name w:val="Wide Table"/>
    <w:basedOn w:val="Normal"/>
    <w:rsid w:val="000A29AD"/>
    <w:pPr>
      <w:ind w:left="-1418"/>
    </w:pPr>
    <w:rPr>
      <w:sz w:val="2"/>
      <w:szCs w:val="2"/>
    </w:rPr>
  </w:style>
  <w:style w:type="character" w:styleId="PageNumber">
    <w:name w:val="page number"/>
    <w:basedOn w:val="DefaultParagraphFont"/>
    <w:rsid w:val="000A29AD"/>
  </w:style>
  <w:style w:type="paragraph" w:styleId="Quote">
    <w:name w:val="Quote"/>
    <w:basedOn w:val="Heading1"/>
    <w:link w:val="QuoteChar"/>
    <w:qFormat/>
    <w:rsid w:val="000A29AD"/>
    <w:rPr>
      <w:b w:val="0"/>
      <w:sz w:val="72"/>
      <w:szCs w:val="72"/>
      <w:lang w:val="en-NZ"/>
    </w:rPr>
  </w:style>
  <w:style w:type="character" w:customStyle="1" w:styleId="QuoteChar">
    <w:name w:val="Quote Char"/>
    <w:basedOn w:val="DefaultParagraphFont"/>
    <w:link w:val="Quote"/>
    <w:rsid w:val="000A29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9AD"/>
    <w:pPr>
      <w:pageBreakBefore/>
    </w:pPr>
  </w:style>
  <w:style w:type="paragraph" w:customStyle="1" w:styleId="Border">
    <w:name w:val="Border"/>
    <w:basedOn w:val="Normal"/>
    <w:qFormat/>
    <w:rsid w:val="000A29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9AD"/>
    <w:rPr>
      <w:b/>
      <w:bCs/>
      <w:i/>
      <w:iCs/>
      <w:color w:val="auto"/>
    </w:rPr>
  </w:style>
  <w:style w:type="paragraph" w:styleId="IntenseQuote">
    <w:name w:val="Intense Quote"/>
    <w:basedOn w:val="Normal"/>
    <w:next w:val="Normal"/>
    <w:link w:val="IntenseQuoteChar"/>
    <w:uiPriority w:val="30"/>
    <w:qFormat/>
    <w:rsid w:val="000A29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9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29AD"/>
    <w:rPr>
      <w:smallCaps/>
      <w:color w:val="auto"/>
      <w:u w:val="single"/>
    </w:rPr>
  </w:style>
  <w:style w:type="character" w:styleId="IntenseReference">
    <w:name w:val="Intense Reference"/>
    <w:basedOn w:val="DefaultParagraphFont"/>
    <w:uiPriority w:val="32"/>
    <w:qFormat/>
    <w:rsid w:val="000A29AD"/>
    <w:rPr>
      <w:b/>
      <w:bCs/>
      <w:smallCaps/>
      <w:color w:val="auto"/>
      <w:spacing w:val="5"/>
      <w:u w:val="single"/>
    </w:rPr>
  </w:style>
  <w:style w:type="paragraph" w:customStyle="1" w:styleId="2ColumnHeading">
    <w:name w:val="2Column Heading"/>
    <w:basedOn w:val="BodyText"/>
    <w:qFormat/>
    <w:rsid w:val="000A29AD"/>
    <w:pPr>
      <w:spacing w:after="60"/>
      <w:ind w:left="-2268"/>
    </w:pPr>
    <w:rPr>
      <w:b/>
    </w:rPr>
  </w:style>
  <w:style w:type="paragraph" w:customStyle="1" w:styleId="Heading1TOC">
    <w:name w:val="Heading1 TOC"/>
    <w:basedOn w:val="Normal"/>
    <w:qFormat/>
    <w:rsid w:val="000A29AD"/>
    <w:pPr>
      <w:spacing w:before="240" w:after="120"/>
    </w:pPr>
    <w:rPr>
      <w:rFonts w:ascii="Times New Roman" w:hAnsi="Times New Roman"/>
      <w:b/>
      <w:sz w:val="32"/>
    </w:rPr>
  </w:style>
  <w:style w:type="paragraph" w:customStyle="1" w:styleId="Heading2TOC">
    <w:name w:val="Heading2 TOC"/>
    <w:basedOn w:val="Normal"/>
    <w:qFormat/>
    <w:rsid w:val="000A29AD"/>
    <w:pPr>
      <w:spacing w:before="240" w:after="60"/>
    </w:pPr>
    <w:rPr>
      <w:rFonts w:ascii="Times New Roman" w:hAnsi="Times New Roman"/>
      <w:b/>
      <w:sz w:val="28"/>
    </w:rPr>
  </w:style>
  <w:style w:type="character" w:customStyle="1" w:styleId="Underline">
    <w:name w:val="Underline"/>
    <w:basedOn w:val="DefaultParagraphFont"/>
    <w:qFormat/>
    <w:rsid w:val="000A29AD"/>
    <w:rPr>
      <w:u w:val="single"/>
    </w:rPr>
  </w:style>
  <w:style w:type="character" w:customStyle="1" w:styleId="BoldandItalics">
    <w:name w:val="Bold and Italics"/>
    <w:qFormat/>
    <w:rsid w:val="000A29AD"/>
    <w:rPr>
      <w:b/>
      <w:i/>
      <w:u w:val="none"/>
    </w:rPr>
  </w:style>
  <w:style w:type="paragraph" w:styleId="BalloonText">
    <w:name w:val="Balloon Text"/>
    <w:basedOn w:val="Normal"/>
    <w:link w:val="BalloonTextChar"/>
    <w:rsid w:val="000A29AD"/>
    <w:rPr>
      <w:rFonts w:ascii="Tahoma" w:hAnsi="Tahoma" w:cs="Tahoma"/>
      <w:sz w:val="16"/>
      <w:szCs w:val="16"/>
    </w:rPr>
  </w:style>
  <w:style w:type="character" w:customStyle="1" w:styleId="BalloonTextChar">
    <w:name w:val="Balloon Text Char"/>
    <w:basedOn w:val="DefaultParagraphFont"/>
    <w:link w:val="BalloonText"/>
    <w:rsid w:val="000A29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29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29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1109</Words>
  <Characters>6880</Characters>
  <Application>Microsoft Office Word</Application>
  <DocSecurity>0</DocSecurity>
  <Lines>288</Lines>
  <Paragraphs>134</Paragraphs>
  <ScaleCrop>false</ScaleCrop>
  <Company>Author-it Software Corporation Ltd.</Company>
  <LinksUpToDate>false</LinksUpToDate>
  <CharactersWithSpaces>7892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ICTTC104D Maintain an electronic system</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2012-05-27T01:25:00Z</dcterms:created>
  <dcterms:modified xsi:type="dcterms:W3CDTF">2012-05-27T01:25:00Z</dcterms:modified>
</cp:coreProperties>
</file>