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43CB6" w:rsidP="00B43CB6">
      <w:pPr>
        <w:pStyle w:val="Title"/>
      </w:pPr>
      <w:r>
        <w:fldChar w:fldCharType="begin"/>
      </w:r>
      <w:r>
        <w:instrText xml:space="preserve"> TITLE   \* MERGEFORMAT </w:instrText>
      </w:r>
      <w:r>
        <w:fldChar w:fldCharType="separate"/>
      </w:r>
      <w:r>
        <w:t>ICTTC013D Perform an accurate customer premises cable and system test</w:t>
      </w:r>
      <w:r>
        <w:fldChar w:fldCharType="end"/>
      </w:r>
    </w:p>
    <w:p w:rsidR="00B43CB6" w:rsidP="00B43CB6">
      <w:pPr>
        <w:pStyle w:val="Version"/>
        <w:sectPr w:rsidSect="009B6EE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B6EE6" w:rsidP="009B6EE6">
      <w:pPr>
        <w:pStyle w:val="SuperHeading"/>
      </w:pPr>
      <w:r w:rsidRPr="009B6EE6">
        <w:t>ICTTC013D Perform an accurate customer premises cable and system test</w:t>
      </w:r>
    </w:p>
    <w:p w:rsidR="00000000" w:rsidRPr="009B6EE6" w:rsidP="009B6EE6">
      <w:pPr>
        <w:pStyle w:val="Heading1"/>
      </w:pPr>
      <w:bookmarkStart w:id="1" w:name="O_320570"/>
      <w:bookmarkEnd w:id="1"/>
      <w:r w:rsidRPr="009B6EE6">
        <w:t>Modification History</w:t>
      </w:r>
    </w:p>
    <w:p w:rsidR="00000000" w:rsidRPr="009B6EE6" w:rsidP="009B6EE6">
      <w:pPr>
        <w:pStyle w:val="BodyText"/>
      </w:pPr>
      <w:r w:rsidRPr="009B6EE6">
        <w:t>Not applicable.</w:t>
      </w:r>
    </w:p>
    <w:p w:rsidR="00000000" w:rsidRPr="009B6EE6" w:rsidP="009B6EE6">
      <w:pPr>
        <w:pStyle w:val="AllowPageBreak"/>
      </w:pPr>
    </w:p>
    <w:p w:rsidR="00000000" w:rsidRPr="009B6EE6" w:rsidP="009B6EE6">
      <w:pPr>
        <w:pStyle w:val="Heading1"/>
      </w:pPr>
      <w:bookmarkStart w:id="2" w:name="O_320569"/>
      <w:bookmarkEnd w:id="2"/>
      <w:r w:rsidRPr="009B6EE6">
        <w:t>Unit Descriptor</w:t>
      </w:r>
    </w:p>
    <w:p w:rsidR="00000000" w:rsidRPr="009B6EE6" w:rsidP="009B6EE6">
      <w:pPr>
        <w:pStyle w:val="BodyText"/>
      </w:pPr>
      <w:r w:rsidRPr="009B6EE6">
        <w:t>This unit applies to all contexts for indoor and outdoor installation within a customer premises</w:t>
      </w:r>
      <w:r w:rsidRPr="009B6EE6">
        <w:t xml:space="preserve"> and applies to both customer premises cabling and customer premises equipment.</w:t>
      </w:r>
    </w:p>
    <w:p w:rsidR="00000000" w:rsidRPr="009B6EE6" w:rsidP="009B6EE6">
      <w:pPr>
        <w:pStyle w:val="BodyText"/>
      </w:pPr>
      <w:r w:rsidRPr="009B6EE6">
        <w:t>This unit applies to all communications applications whether digital or analogue including telephony, data, video including digital broadcasting, computer networks including LA</w:t>
      </w:r>
      <w:r w:rsidRPr="009B6EE6">
        <w:t>Ns and WANs, and multi media.</w:t>
      </w:r>
    </w:p>
    <w:p w:rsidR="00000000" w:rsidRPr="009B6EE6" w:rsidP="009B6EE6">
      <w:pPr>
        <w:pStyle w:val="BodyText"/>
      </w:pPr>
      <w:r w:rsidRPr="009B6EE6">
        <w:t>This unit may be applied to domestic, commercial or industrial installations.</w:t>
      </w:r>
    </w:p>
    <w:p w:rsidR="00000000" w:rsidRPr="009B6EE6" w:rsidP="009B6EE6">
      <w:pPr>
        <w:pStyle w:val="BodyText"/>
      </w:pPr>
      <w:r w:rsidRPr="009B6EE6">
        <w:t>Assessment by a TITAB registered assessor is recommended.</w:t>
      </w:r>
    </w:p>
    <w:p w:rsidR="00000000" w:rsidRPr="009B6EE6" w:rsidP="009B6EE6">
      <w:pPr>
        <w:pStyle w:val="BodyText"/>
      </w:pPr>
      <w:r w:rsidRPr="009B6EE6">
        <w:t xml:space="preserve">No licensing, legislative, regulatory or certification requirements apply to this unit at </w:t>
      </w:r>
      <w:r w:rsidRPr="009B6EE6">
        <w:t>the time of publication.</w:t>
      </w:r>
    </w:p>
    <w:p w:rsidR="00000000" w:rsidRPr="009B6EE6" w:rsidP="009B6EE6">
      <w:pPr>
        <w:pStyle w:val="BodyText"/>
      </w:pPr>
      <w:r w:rsidRPr="009B6EE6">
        <w:t>This unit applies to all contexts for indoor and outdoor installation within a customer premises and applies to both customer premises cabling and customer premises equipment.</w:t>
      </w:r>
    </w:p>
    <w:p w:rsidR="00000000" w:rsidRPr="009B6EE6" w:rsidP="009B6EE6">
      <w:pPr>
        <w:pStyle w:val="BodyText"/>
      </w:pPr>
      <w:r w:rsidRPr="009B6EE6">
        <w:t>This unit applies to all communications applications wh</w:t>
      </w:r>
      <w:r w:rsidRPr="009B6EE6">
        <w:t>ether digital or analogue including telephony, data, video including digital broadcasting, computer networks including LANs and WANs, and multi media.</w:t>
      </w:r>
    </w:p>
    <w:p w:rsidR="00000000" w:rsidRPr="009B6EE6" w:rsidP="009B6EE6">
      <w:pPr>
        <w:pStyle w:val="BodyText"/>
      </w:pPr>
      <w:r w:rsidRPr="009B6EE6">
        <w:t>This unit may be applied to domestic, commercial or industrial installations.</w:t>
      </w:r>
    </w:p>
    <w:p w:rsidR="00000000" w:rsidRPr="009B6EE6" w:rsidP="009B6EE6">
      <w:pPr>
        <w:pStyle w:val="BodyText"/>
      </w:pPr>
      <w:r w:rsidRPr="009B6EE6">
        <w:t>Assessment by a TITAB registered assessor is recommended.</w:t>
      </w:r>
    </w:p>
    <w:p w:rsidR="00000000" w:rsidRPr="009B6EE6" w:rsidP="009B6EE6">
      <w:pPr>
        <w:pStyle w:val="BodyText"/>
      </w:pPr>
      <w:r w:rsidRPr="009B6EE6">
        <w:t>No licensing, legislative, regulatory or certification requirements apply to this unit at the time of publication.</w:t>
      </w:r>
    </w:p>
    <w:p w:rsidR="00000000" w:rsidRPr="009B6EE6" w:rsidP="009B6EE6">
      <w:pPr>
        <w:pStyle w:val="AllowPageBreak"/>
      </w:pPr>
    </w:p>
    <w:p w:rsidR="00000000" w:rsidRPr="009B6EE6" w:rsidP="009B6EE6">
      <w:pPr>
        <w:pStyle w:val="Heading1"/>
      </w:pPr>
      <w:bookmarkStart w:id="3" w:name="O_320568"/>
      <w:bookmarkEnd w:id="3"/>
      <w:r w:rsidRPr="009B6EE6">
        <w:t>Application of the Unit</w:t>
      </w:r>
    </w:p>
    <w:p w:rsidR="00000000" w:rsidRPr="009B6EE6" w:rsidP="009B6EE6">
      <w:pPr>
        <w:pStyle w:val="BodyText"/>
      </w:pPr>
      <w:r w:rsidRPr="009B6EE6">
        <w:t>Not applicable.</w:t>
      </w:r>
    </w:p>
    <w:p w:rsidR="00000000" w:rsidRPr="009B6EE6" w:rsidP="009B6EE6">
      <w:pPr>
        <w:pStyle w:val="AllowPageBreak"/>
      </w:pPr>
    </w:p>
    <w:p w:rsidR="00000000" w:rsidRPr="009B6EE6" w:rsidP="009B6EE6">
      <w:pPr>
        <w:pStyle w:val="Heading1"/>
      </w:pPr>
      <w:bookmarkStart w:id="4" w:name="O_320567"/>
      <w:bookmarkEnd w:id="4"/>
      <w:r w:rsidRPr="009B6EE6">
        <w:t>Licensing</w:t>
      </w:r>
      <w:r w:rsidRPr="009B6EE6">
        <w:t>/Regulatory Information</w:t>
      </w:r>
    </w:p>
    <w:p w:rsidR="00000000" w:rsidRPr="009B6EE6" w:rsidP="009B6EE6">
      <w:pPr>
        <w:pStyle w:val="BodyText"/>
      </w:pPr>
      <w:r w:rsidRPr="009B6EE6">
        <w:t>Refer to Unit Descriptor</w:t>
      </w:r>
    </w:p>
    <w:p w:rsidR="00000000" w:rsidRPr="009B6EE6" w:rsidP="009B6EE6">
      <w:pPr>
        <w:pStyle w:val="AllowPageBreak"/>
      </w:pPr>
    </w:p>
    <w:p w:rsidR="00000000" w:rsidRPr="009B6EE6" w:rsidP="009B6EE6">
      <w:pPr>
        <w:pStyle w:val="Heading1"/>
      </w:pPr>
      <w:bookmarkStart w:id="5" w:name="O_320566"/>
      <w:bookmarkEnd w:id="5"/>
      <w:r w:rsidRPr="009B6EE6">
        <w:t>Pre-Requisites</w:t>
      </w:r>
    </w:p>
    <w:p w:rsidR="00000000" w:rsidRPr="009B6EE6" w:rsidP="009B6EE6">
      <w:pPr>
        <w:pStyle w:val="BodyText"/>
      </w:pPr>
      <w:r w:rsidRPr="009B6EE6">
        <w:t>Nil</w:t>
      </w:r>
    </w:p>
    <w:p w:rsidR="00000000" w:rsidRPr="009B6EE6" w:rsidP="009B6EE6">
      <w:pPr>
        <w:pStyle w:val="BodyText"/>
      </w:pPr>
      <w:r w:rsidRPr="009B6EE6">
        <w:t>Nil</w:t>
      </w:r>
    </w:p>
    <w:p w:rsidR="00000000" w:rsidRPr="009B6EE6" w:rsidP="009B6EE6">
      <w:pPr>
        <w:pStyle w:val="AllowPageBreak"/>
      </w:pPr>
    </w:p>
    <w:p w:rsidR="00000000" w:rsidRPr="009B6EE6" w:rsidP="009B6EE6">
      <w:pPr>
        <w:pStyle w:val="Heading1"/>
      </w:pPr>
      <w:bookmarkStart w:id="6" w:name="O_320571"/>
      <w:bookmarkEnd w:id="6"/>
      <w:r w:rsidRPr="009B6EE6">
        <w:t>Employability Skills Information</w:t>
      </w:r>
    </w:p>
    <w:p w:rsidR="00000000" w:rsidRPr="009B6EE6" w:rsidP="009B6EE6">
      <w:pPr>
        <w:pStyle w:val="BodyText"/>
      </w:pPr>
      <w:r w:rsidRPr="009B6EE6">
        <w:t>This unit contains employability skills.</w:t>
      </w:r>
    </w:p>
    <w:p w:rsidR="00000000" w:rsidRPr="009B6EE6" w:rsidP="009B6EE6">
      <w:pPr>
        <w:pStyle w:val="BodyText"/>
      </w:pPr>
      <w:r w:rsidRPr="009B6EE6">
        <w:t>This unit contains employability skills.</w:t>
      </w:r>
    </w:p>
    <w:p w:rsidR="00000000" w:rsidRPr="009B6EE6" w:rsidP="009B6EE6">
      <w:pPr>
        <w:pStyle w:val="AllowPageBreak"/>
      </w:pPr>
    </w:p>
    <w:p w:rsidR="00000000" w:rsidRPr="009B6EE6" w:rsidP="009B6EE6">
      <w:pPr>
        <w:pStyle w:val="Heading1"/>
      </w:pPr>
      <w:bookmarkStart w:id="7" w:name="O_320565"/>
      <w:bookmarkEnd w:id="7"/>
      <w:r w:rsidRPr="009B6EE6">
        <w:t>Elements and Performance Criteria Pre-Content</w:t>
      </w:r>
    </w:p>
    <w:p w:rsidR="00000000" w:rsidRPr="009B6EE6" w:rsidP="009B6EE6">
      <w:pPr>
        <w:pStyle w:val="BodyText"/>
      </w:pPr>
      <w:r w:rsidRPr="009B6EE6">
        <w:t>Elements describe the essential outcomes of a unit of competency.</w:t>
      </w:r>
    </w:p>
    <w:p w:rsidR="00000000" w:rsidRPr="009B6EE6" w:rsidP="009B6EE6">
      <w:pPr>
        <w:pStyle w:val="BodyText"/>
      </w:pPr>
      <w:r w:rsidRPr="009B6EE6">
        <w:t xml:space="preserve">Performance criteria describe the performance needed to demonstrate achievement of the element. Where </w:t>
      </w:r>
      <w:r w:rsidRPr="009B6EE6">
        <w:rPr>
          <w:rStyle w:val="SpecialBold"/>
        </w:rPr>
        <w:t xml:space="preserve">bold italicised </w:t>
      </w:r>
      <w:r w:rsidRPr="009B6EE6">
        <w:t>text is used, further info</w:t>
      </w:r>
      <w:r w:rsidRPr="009B6EE6">
        <w:t>rmation is detailed in the required skills and knowledge section and the range statement. Assessment of performance is to be consistent with the evidence guide.</w:t>
      </w:r>
    </w:p>
    <w:p w:rsidR="00000000" w:rsidRPr="009B6EE6" w:rsidP="009B6EE6">
      <w:pPr>
        <w:pStyle w:val="BodyText"/>
      </w:pPr>
      <w:r w:rsidRPr="009B6EE6">
        <w:t>Elements describe the essential outcomes of a unit of competency.</w:t>
      </w:r>
    </w:p>
    <w:p w:rsidR="00000000" w:rsidRPr="009B6EE6" w:rsidP="009B6EE6">
      <w:pPr>
        <w:pStyle w:val="BodyText"/>
      </w:pPr>
      <w:r w:rsidRPr="009B6EE6">
        <w:t>Performance criteria describe</w:t>
      </w:r>
      <w:r w:rsidRPr="009B6EE6">
        <w:t xml:space="preserve"> the performance needed to demonstrate achievement of the element. Where </w:t>
      </w:r>
      <w:r w:rsidRPr="009B6EE6">
        <w:rPr>
          <w:rStyle w:val="SpecialBold"/>
        </w:rPr>
        <w:t xml:space="preserve">bold italicised </w:t>
      </w:r>
      <w:r w:rsidRPr="009B6EE6">
        <w:t xml:space="preserve">text is used, further information is detailed in the required skills and knowledge section and the range statement. Assessment of performance is to be consistent with </w:t>
      </w:r>
      <w:r w:rsidRPr="009B6EE6">
        <w:t>the evidence guide.</w:t>
      </w:r>
    </w:p>
    <w:p w:rsidR="00000000" w:rsidRPr="009B6EE6" w:rsidP="009B6EE6">
      <w:pPr>
        <w:pStyle w:val="AllowPageBreak"/>
      </w:pPr>
    </w:p>
    <w:p w:rsidR="00000000" w:rsidRPr="009B6EE6" w:rsidP="009B6EE6">
      <w:pPr>
        <w:pStyle w:val="Heading1"/>
      </w:pPr>
      <w:bookmarkStart w:id="8" w:name="O_320564"/>
      <w:bookmarkEnd w:id="8"/>
      <w:r w:rsidRPr="009B6EE6">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B43CB6">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9B6EE6">
            <w:pPr>
              <w:pStyle w:val="BodyText"/>
              <w:rPr>
                <w:lang w:val="en-NZ"/>
              </w:rPr>
            </w:pPr>
            <w:r w:rsidRPr="009B6EE6">
              <w:rPr>
                <w:rStyle w:val="SpecialBold"/>
              </w:rPr>
              <w:t>Elements and Performance Criteria</w:t>
            </w:r>
          </w:p>
        </w:tc>
      </w:tr>
      <w:tr w:rsidTr="00B43CB6">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9B6EE6" w:rsidP="009B6EE6">
            <w:pPr>
              <w:pStyle w:val="BodyText"/>
            </w:pPr>
            <w:r w:rsidRPr="009B6EE6">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9B6EE6">
            <w:pPr>
              <w:pStyle w:val="BodyText"/>
              <w:rPr>
                <w:lang w:val="en-NZ"/>
              </w:rPr>
            </w:pPr>
            <w:r w:rsidRPr="009B6EE6">
              <w:rPr>
                <w:rStyle w:val="SpecialBold"/>
              </w:rPr>
              <w:t>Performance Criteria</w:t>
            </w:r>
          </w:p>
        </w:tc>
      </w:tr>
      <w:tr w:rsidTr="00B43CB6">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9B6EE6" w:rsidP="009B6EE6">
            <w:pPr>
              <w:pStyle w:val="BodyText"/>
            </w:pPr>
            <w:r w:rsidRPr="009B6EE6">
              <w:t>1</w:t>
            </w:r>
          </w:p>
        </w:tc>
        <w:tc>
          <w:tcPr>
            <w:tcW w:w="3000" w:type="dxa"/>
            <w:vMerge w:val="restart"/>
            <w:tcBorders>
              <w:top w:val="nil"/>
              <w:left w:val="nil"/>
              <w:bottom w:val="nil"/>
              <w:right w:val="nil"/>
            </w:tcBorders>
            <w:tcMar>
              <w:top w:w="0" w:type="dxa"/>
              <w:left w:w="62" w:type="dxa"/>
              <w:bottom w:w="0" w:type="dxa"/>
              <w:right w:w="62" w:type="dxa"/>
            </w:tcMar>
          </w:tcPr>
          <w:p w:rsidR="00000000" w:rsidP="009B6EE6">
            <w:pPr>
              <w:pStyle w:val="BodyText"/>
              <w:rPr>
                <w:lang w:val="en-NZ"/>
              </w:rPr>
            </w:pPr>
            <w:r w:rsidRPr="009B6EE6">
              <w:rPr>
                <w:rStyle w:val="SpecialBold"/>
              </w:rPr>
              <w:t>Confirm site and service access for testing</w:t>
            </w:r>
          </w:p>
        </w:tc>
        <w:tc>
          <w:tcPr>
            <w:tcW w:w="500" w:type="dxa"/>
            <w:tcBorders>
              <w:top w:val="nil"/>
              <w:left w:val="nil"/>
              <w:bottom w:val="nil"/>
              <w:right w:val="nil"/>
            </w:tcBorders>
            <w:tcMar>
              <w:top w:w="0" w:type="dxa"/>
              <w:left w:w="62" w:type="dxa"/>
              <w:bottom w:w="0" w:type="dxa"/>
              <w:right w:w="62" w:type="dxa"/>
            </w:tcMar>
          </w:tcPr>
          <w:p w:rsidR="00000000" w:rsidP="009B6EE6">
            <w:pPr>
              <w:pStyle w:val="BodyText"/>
              <w:rPr>
                <w:lang w:val="en-NZ"/>
              </w:rPr>
            </w:pPr>
            <w:r w:rsidRPr="009B6EE6">
              <w:t>1.1</w:t>
            </w:r>
          </w:p>
        </w:tc>
        <w:tc>
          <w:tcPr>
            <w:tcW w:w="5100" w:type="dxa"/>
            <w:tcBorders>
              <w:top w:val="nil"/>
              <w:left w:val="nil"/>
              <w:bottom w:val="nil"/>
              <w:right w:val="nil"/>
            </w:tcBorders>
            <w:tcMar>
              <w:top w:w="0" w:type="dxa"/>
              <w:left w:w="62" w:type="dxa"/>
              <w:bottom w:w="0" w:type="dxa"/>
              <w:right w:w="62" w:type="dxa"/>
            </w:tcMar>
          </w:tcPr>
          <w:p w:rsidR="00000000" w:rsidP="009B6EE6">
            <w:pPr>
              <w:pStyle w:val="BodyText"/>
              <w:rPr>
                <w:lang w:val="en-NZ"/>
              </w:rPr>
            </w:pPr>
            <w:r w:rsidRPr="009B6EE6">
              <w:t>Confirm approval for site access with customer prior to site entry</w:t>
            </w:r>
          </w:p>
        </w:tc>
      </w:tr>
      <w:tr w:rsidTr="00B43CB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B6EE6">
            <w:pPr>
              <w:pStyle w:val="BodyText"/>
              <w:rPr>
                <w:lang w:val="en-NZ"/>
              </w:rPr>
            </w:pPr>
            <w:r w:rsidRPr="009B6EE6">
              <w:t>1.2</w:t>
            </w:r>
          </w:p>
        </w:tc>
        <w:tc>
          <w:tcPr>
            <w:tcW w:w="5100" w:type="dxa"/>
            <w:tcBorders>
              <w:top w:val="nil"/>
              <w:left w:val="nil"/>
              <w:bottom w:val="nil"/>
              <w:right w:val="nil"/>
            </w:tcBorders>
            <w:tcMar>
              <w:top w:w="0" w:type="dxa"/>
              <w:left w:w="62" w:type="dxa"/>
              <w:bottom w:w="0" w:type="dxa"/>
              <w:right w:w="62" w:type="dxa"/>
            </w:tcMar>
          </w:tcPr>
          <w:p w:rsidR="00000000" w:rsidP="009B6EE6">
            <w:pPr>
              <w:pStyle w:val="BodyText"/>
              <w:rPr>
                <w:lang w:val="en-NZ"/>
              </w:rPr>
            </w:pPr>
            <w:r w:rsidRPr="009B6EE6">
              <w:t>Identify and comply with site security arrangements</w:t>
            </w:r>
          </w:p>
        </w:tc>
      </w:tr>
      <w:tr w:rsidTr="00B43CB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B6EE6">
            <w:pPr>
              <w:pStyle w:val="BodyText"/>
              <w:rPr>
                <w:lang w:val="en-NZ"/>
              </w:rPr>
            </w:pPr>
            <w:r w:rsidRPr="009B6EE6">
              <w:t>1.3</w:t>
            </w:r>
          </w:p>
        </w:tc>
        <w:tc>
          <w:tcPr>
            <w:tcW w:w="5100" w:type="dxa"/>
            <w:tcBorders>
              <w:top w:val="nil"/>
              <w:left w:val="nil"/>
              <w:bottom w:val="nil"/>
              <w:right w:val="nil"/>
            </w:tcBorders>
            <w:tcMar>
              <w:top w:w="0" w:type="dxa"/>
              <w:left w:w="62" w:type="dxa"/>
              <w:bottom w:w="0" w:type="dxa"/>
              <w:right w:w="62" w:type="dxa"/>
            </w:tcMar>
          </w:tcPr>
          <w:p w:rsidR="00000000" w:rsidP="009B6EE6">
            <w:pPr>
              <w:pStyle w:val="BodyText"/>
              <w:rPr>
                <w:lang w:val="en-NZ"/>
              </w:rPr>
            </w:pPr>
            <w:r w:rsidRPr="009B6EE6">
              <w:t>Confirm access times and methods to comply with customers requirements and relevant legislation</w:t>
            </w:r>
          </w:p>
        </w:tc>
      </w:tr>
      <w:tr w:rsidTr="00B43CB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B6EE6">
            <w:pPr>
              <w:pStyle w:val="BodyText"/>
              <w:rPr>
                <w:lang w:val="en-NZ"/>
              </w:rPr>
            </w:pPr>
            <w:r w:rsidRPr="009B6EE6">
              <w:t>1.4</w:t>
            </w:r>
          </w:p>
        </w:tc>
        <w:tc>
          <w:tcPr>
            <w:tcW w:w="5100" w:type="dxa"/>
            <w:tcBorders>
              <w:top w:val="nil"/>
              <w:left w:val="nil"/>
              <w:bottom w:val="nil"/>
              <w:right w:val="nil"/>
            </w:tcBorders>
            <w:tcMar>
              <w:top w:w="0" w:type="dxa"/>
              <w:left w:w="62" w:type="dxa"/>
              <w:bottom w:w="0" w:type="dxa"/>
              <w:right w:w="62" w:type="dxa"/>
            </w:tcMar>
          </w:tcPr>
          <w:p w:rsidR="00000000" w:rsidP="009B6EE6">
            <w:pPr>
              <w:pStyle w:val="BodyText"/>
              <w:rPr>
                <w:lang w:val="en-NZ"/>
              </w:rPr>
            </w:pPr>
            <w:r w:rsidRPr="009B6EE6">
              <w:t>Confirm service is available for testing</w:t>
            </w:r>
          </w:p>
        </w:tc>
      </w:tr>
      <w:tr w:rsidTr="00B43CB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B6EE6">
            <w:pPr>
              <w:pStyle w:val="BodyText"/>
              <w:rPr>
                <w:lang w:val="en-NZ"/>
              </w:rPr>
            </w:pPr>
            <w:r w:rsidRPr="009B6EE6">
              <w:t>1.5</w:t>
            </w:r>
          </w:p>
        </w:tc>
        <w:tc>
          <w:tcPr>
            <w:tcW w:w="5100" w:type="dxa"/>
            <w:tcBorders>
              <w:top w:val="nil"/>
              <w:left w:val="nil"/>
              <w:bottom w:val="nil"/>
              <w:right w:val="nil"/>
            </w:tcBorders>
            <w:tcMar>
              <w:top w:w="0" w:type="dxa"/>
              <w:left w:w="62" w:type="dxa"/>
              <w:bottom w:w="0" w:type="dxa"/>
              <w:right w:w="62" w:type="dxa"/>
            </w:tcMar>
          </w:tcPr>
          <w:p w:rsidR="00000000" w:rsidP="009B6EE6">
            <w:pPr>
              <w:pStyle w:val="BodyText"/>
              <w:rPr>
                <w:lang w:val="en-NZ"/>
              </w:rPr>
            </w:pPr>
            <w:r w:rsidRPr="009B6EE6">
              <w:t>Isolate or disconnect service from use and from carriers network/equipment to ensure no equipment damage can occur during testing</w:t>
            </w:r>
          </w:p>
        </w:tc>
      </w:tr>
      <w:tr w:rsidTr="00B43CB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B6EE6">
            <w:pPr>
              <w:pStyle w:val="BodyText"/>
              <w:rPr>
                <w:lang w:val="en-NZ"/>
              </w:rPr>
            </w:pPr>
            <w:r w:rsidRPr="009B6EE6">
              <w:t>1.6</w:t>
            </w:r>
          </w:p>
        </w:tc>
        <w:tc>
          <w:tcPr>
            <w:tcW w:w="5100" w:type="dxa"/>
            <w:tcBorders>
              <w:top w:val="nil"/>
              <w:left w:val="nil"/>
              <w:bottom w:val="nil"/>
              <w:right w:val="nil"/>
            </w:tcBorders>
            <w:tcMar>
              <w:top w:w="0" w:type="dxa"/>
              <w:left w:w="62" w:type="dxa"/>
              <w:bottom w:w="0" w:type="dxa"/>
              <w:right w:w="62" w:type="dxa"/>
            </w:tcMar>
          </w:tcPr>
          <w:p w:rsidR="00000000" w:rsidP="009B6EE6">
            <w:pPr>
              <w:pStyle w:val="BodyText"/>
              <w:rPr>
                <w:lang w:val="en-NZ"/>
              </w:rPr>
            </w:pPr>
            <w:r w:rsidRPr="009B6EE6">
              <w:t>Make work area and cable system safe for testing</w:t>
            </w:r>
          </w:p>
        </w:tc>
      </w:tr>
      <w:tr w:rsidTr="00B43CB6">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9B6EE6" w:rsidP="009B6EE6">
            <w:pPr>
              <w:pStyle w:val="BodyText"/>
            </w:pPr>
            <w:r w:rsidRPr="009B6EE6">
              <w:t>2</w:t>
            </w:r>
          </w:p>
        </w:tc>
        <w:tc>
          <w:tcPr>
            <w:tcW w:w="3000" w:type="dxa"/>
            <w:vMerge w:val="restart"/>
            <w:tcBorders>
              <w:top w:val="nil"/>
              <w:left w:val="nil"/>
              <w:bottom w:val="nil"/>
              <w:right w:val="nil"/>
            </w:tcBorders>
            <w:tcMar>
              <w:top w:w="0" w:type="dxa"/>
              <w:left w:w="62" w:type="dxa"/>
              <w:bottom w:w="0" w:type="dxa"/>
              <w:right w:w="62" w:type="dxa"/>
            </w:tcMar>
          </w:tcPr>
          <w:p w:rsidR="00000000" w:rsidP="009B6EE6">
            <w:pPr>
              <w:pStyle w:val="BodyText"/>
              <w:rPr>
                <w:lang w:val="en-NZ"/>
              </w:rPr>
            </w:pPr>
            <w:r w:rsidRPr="009B6EE6">
              <w:rPr>
                <w:rStyle w:val="SpecialBold"/>
              </w:rPr>
              <w:t>Establish what tests are to be performed</w:t>
            </w:r>
          </w:p>
        </w:tc>
        <w:tc>
          <w:tcPr>
            <w:tcW w:w="500" w:type="dxa"/>
            <w:tcBorders>
              <w:top w:val="nil"/>
              <w:left w:val="nil"/>
              <w:bottom w:val="nil"/>
              <w:right w:val="nil"/>
            </w:tcBorders>
            <w:tcMar>
              <w:top w:w="0" w:type="dxa"/>
              <w:left w:w="62" w:type="dxa"/>
              <w:bottom w:w="0" w:type="dxa"/>
              <w:right w:w="62" w:type="dxa"/>
            </w:tcMar>
          </w:tcPr>
          <w:p w:rsidR="00000000" w:rsidP="009B6EE6">
            <w:pPr>
              <w:pStyle w:val="BodyText"/>
              <w:rPr>
                <w:lang w:val="en-NZ"/>
              </w:rPr>
            </w:pPr>
            <w:r w:rsidRPr="009B6EE6">
              <w:t>2.1</w:t>
            </w:r>
          </w:p>
        </w:tc>
        <w:tc>
          <w:tcPr>
            <w:tcW w:w="5100" w:type="dxa"/>
            <w:tcBorders>
              <w:top w:val="nil"/>
              <w:left w:val="nil"/>
              <w:bottom w:val="nil"/>
              <w:right w:val="nil"/>
            </w:tcBorders>
            <w:tcMar>
              <w:top w:w="0" w:type="dxa"/>
              <w:left w:w="62" w:type="dxa"/>
              <w:bottom w:w="0" w:type="dxa"/>
              <w:right w:w="62" w:type="dxa"/>
            </w:tcMar>
          </w:tcPr>
          <w:p w:rsidR="00000000" w:rsidP="009B6EE6">
            <w:pPr>
              <w:pStyle w:val="BodyText"/>
              <w:rPr>
                <w:lang w:val="en-NZ"/>
              </w:rPr>
            </w:pPr>
            <w:r w:rsidRPr="009B6EE6">
              <w:t>Identify the purpose of the test and the performance to be measured</w:t>
            </w:r>
          </w:p>
        </w:tc>
      </w:tr>
      <w:tr w:rsidTr="00B43CB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B6EE6">
            <w:pPr>
              <w:pStyle w:val="BodyText"/>
              <w:rPr>
                <w:lang w:val="en-NZ"/>
              </w:rPr>
            </w:pPr>
            <w:r w:rsidRPr="009B6EE6">
              <w:t>2.2</w:t>
            </w:r>
          </w:p>
        </w:tc>
        <w:tc>
          <w:tcPr>
            <w:tcW w:w="5100" w:type="dxa"/>
            <w:tcBorders>
              <w:top w:val="nil"/>
              <w:left w:val="nil"/>
              <w:bottom w:val="nil"/>
              <w:right w:val="nil"/>
            </w:tcBorders>
            <w:tcMar>
              <w:top w:w="0" w:type="dxa"/>
              <w:left w:w="62" w:type="dxa"/>
              <w:bottom w:w="0" w:type="dxa"/>
              <w:right w:w="62" w:type="dxa"/>
            </w:tcMar>
          </w:tcPr>
          <w:p w:rsidR="00000000" w:rsidP="009B6EE6">
            <w:pPr>
              <w:pStyle w:val="BodyText"/>
              <w:rPr>
                <w:lang w:val="en-NZ"/>
              </w:rPr>
            </w:pPr>
            <w:r w:rsidRPr="009B6EE6">
              <w:t>Identify required tests from site conditions, client documentation and manufacturer specifications</w:t>
            </w:r>
          </w:p>
        </w:tc>
      </w:tr>
      <w:tr w:rsidTr="00B43CB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B6EE6">
            <w:pPr>
              <w:pStyle w:val="BodyText"/>
              <w:rPr>
                <w:lang w:val="en-NZ"/>
              </w:rPr>
            </w:pPr>
            <w:r w:rsidRPr="009B6EE6">
              <w:t>2.3</w:t>
            </w:r>
          </w:p>
        </w:tc>
        <w:tc>
          <w:tcPr>
            <w:tcW w:w="5100" w:type="dxa"/>
            <w:tcBorders>
              <w:top w:val="nil"/>
              <w:left w:val="nil"/>
              <w:bottom w:val="nil"/>
              <w:right w:val="nil"/>
            </w:tcBorders>
            <w:tcMar>
              <w:top w:w="0" w:type="dxa"/>
              <w:left w:w="62" w:type="dxa"/>
              <w:bottom w:w="0" w:type="dxa"/>
              <w:right w:w="62" w:type="dxa"/>
            </w:tcMar>
          </w:tcPr>
          <w:p w:rsidR="00000000" w:rsidP="009B6EE6">
            <w:pPr>
              <w:pStyle w:val="BodyText"/>
              <w:rPr>
                <w:lang w:val="en-NZ"/>
              </w:rPr>
            </w:pPr>
            <w:r w:rsidRPr="009B6EE6">
              <w:t>Tests are relevant to cable and system type installed</w:t>
            </w:r>
          </w:p>
        </w:tc>
      </w:tr>
      <w:tr w:rsidTr="00B43CB6">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9B6EE6" w:rsidP="009B6EE6">
            <w:pPr>
              <w:pStyle w:val="BodyText"/>
            </w:pPr>
            <w:r w:rsidRPr="009B6EE6">
              <w:t>3</w:t>
            </w:r>
          </w:p>
        </w:tc>
        <w:tc>
          <w:tcPr>
            <w:tcW w:w="3000" w:type="dxa"/>
            <w:vMerge w:val="restart"/>
            <w:tcBorders>
              <w:top w:val="nil"/>
              <w:left w:val="nil"/>
              <w:bottom w:val="nil"/>
              <w:right w:val="nil"/>
            </w:tcBorders>
            <w:tcMar>
              <w:top w:w="0" w:type="dxa"/>
              <w:left w:w="62" w:type="dxa"/>
              <w:bottom w:w="0" w:type="dxa"/>
              <w:right w:w="62" w:type="dxa"/>
            </w:tcMar>
          </w:tcPr>
          <w:p w:rsidR="00000000" w:rsidP="009B6EE6">
            <w:pPr>
              <w:pStyle w:val="BodyText"/>
              <w:rPr>
                <w:lang w:val="en-NZ"/>
              </w:rPr>
            </w:pPr>
            <w:r w:rsidRPr="009B6EE6">
              <w:rPr>
                <w:rStyle w:val="SpecialBold"/>
              </w:rPr>
              <w:t>Obtain and set up test equipment</w:t>
            </w:r>
          </w:p>
        </w:tc>
        <w:tc>
          <w:tcPr>
            <w:tcW w:w="500" w:type="dxa"/>
            <w:tcBorders>
              <w:top w:val="nil"/>
              <w:left w:val="nil"/>
              <w:bottom w:val="nil"/>
              <w:right w:val="nil"/>
            </w:tcBorders>
            <w:tcMar>
              <w:top w:w="0" w:type="dxa"/>
              <w:left w:w="62" w:type="dxa"/>
              <w:bottom w:w="0" w:type="dxa"/>
              <w:right w:w="62" w:type="dxa"/>
            </w:tcMar>
          </w:tcPr>
          <w:p w:rsidR="00000000" w:rsidP="009B6EE6">
            <w:pPr>
              <w:pStyle w:val="BodyText"/>
              <w:rPr>
                <w:lang w:val="en-NZ"/>
              </w:rPr>
            </w:pPr>
            <w:r w:rsidRPr="009B6EE6">
              <w:t>3.1</w:t>
            </w:r>
          </w:p>
        </w:tc>
        <w:tc>
          <w:tcPr>
            <w:tcW w:w="5100" w:type="dxa"/>
            <w:tcBorders>
              <w:top w:val="nil"/>
              <w:left w:val="nil"/>
              <w:bottom w:val="nil"/>
              <w:right w:val="nil"/>
            </w:tcBorders>
            <w:tcMar>
              <w:top w:w="0" w:type="dxa"/>
              <w:left w:w="62" w:type="dxa"/>
              <w:bottom w:w="0" w:type="dxa"/>
              <w:right w:w="62" w:type="dxa"/>
            </w:tcMar>
          </w:tcPr>
          <w:p w:rsidR="00000000" w:rsidP="009B6EE6">
            <w:pPr>
              <w:pStyle w:val="BodyText"/>
              <w:rPr>
                <w:lang w:val="en-NZ"/>
              </w:rPr>
            </w:pPr>
            <w:r w:rsidRPr="009B6EE6">
              <w:t>Select equipment suitable for the tests to be performed to ensure relevance of test data</w:t>
            </w:r>
          </w:p>
        </w:tc>
      </w:tr>
      <w:tr w:rsidTr="00B43CB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B6EE6">
            <w:pPr>
              <w:pStyle w:val="BodyText"/>
              <w:rPr>
                <w:lang w:val="en-NZ"/>
              </w:rPr>
            </w:pPr>
            <w:r w:rsidRPr="009B6EE6">
              <w:t>3.2</w:t>
            </w:r>
          </w:p>
        </w:tc>
        <w:tc>
          <w:tcPr>
            <w:tcW w:w="5100" w:type="dxa"/>
            <w:tcBorders>
              <w:top w:val="nil"/>
              <w:left w:val="nil"/>
              <w:bottom w:val="nil"/>
              <w:right w:val="nil"/>
            </w:tcBorders>
            <w:tcMar>
              <w:top w:w="0" w:type="dxa"/>
              <w:left w:w="62" w:type="dxa"/>
              <w:bottom w:w="0" w:type="dxa"/>
              <w:right w:w="62" w:type="dxa"/>
            </w:tcMar>
          </w:tcPr>
          <w:p w:rsidR="00000000" w:rsidP="009B6EE6">
            <w:pPr>
              <w:pStyle w:val="BodyText"/>
              <w:rPr>
                <w:lang w:val="en-NZ"/>
              </w:rPr>
            </w:pPr>
            <w:r w:rsidRPr="009B6EE6">
              <w:t>Set up test equipment in accordance with manufacturers specifications</w:t>
            </w:r>
          </w:p>
        </w:tc>
      </w:tr>
      <w:tr w:rsidTr="00B43CB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B6EE6">
            <w:pPr>
              <w:pStyle w:val="BodyText"/>
              <w:rPr>
                <w:lang w:val="en-NZ"/>
              </w:rPr>
            </w:pPr>
            <w:r w:rsidRPr="009B6EE6">
              <w:t>3.3</w:t>
            </w:r>
          </w:p>
        </w:tc>
        <w:tc>
          <w:tcPr>
            <w:tcW w:w="5100" w:type="dxa"/>
            <w:tcBorders>
              <w:top w:val="nil"/>
              <w:left w:val="nil"/>
              <w:bottom w:val="nil"/>
              <w:right w:val="nil"/>
            </w:tcBorders>
            <w:tcMar>
              <w:top w:w="0" w:type="dxa"/>
              <w:left w:w="62" w:type="dxa"/>
              <w:bottom w:w="0" w:type="dxa"/>
              <w:right w:w="62" w:type="dxa"/>
            </w:tcMar>
          </w:tcPr>
          <w:p w:rsidR="00000000" w:rsidP="009B6EE6">
            <w:pPr>
              <w:pStyle w:val="BodyText"/>
              <w:rPr>
                <w:lang w:val="en-NZ"/>
              </w:rPr>
            </w:pPr>
            <w:r w:rsidRPr="009B6EE6">
              <w:t>Set test reading error against a known reference where appropriate</w:t>
            </w:r>
          </w:p>
        </w:tc>
      </w:tr>
      <w:tr w:rsidTr="00B43CB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B6EE6">
            <w:pPr>
              <w:pStyle w:val="BodyText"/>
              <w:rPr>
                <w:lang w:val="en-NZ"/>
              </w:rPr>
            </w:pPr>
            <w:r w:rsidRPr="009B6EE6">
              <w:t>3.4</w:t>
            </w:r>
          </w:p>
        </w:tc>
        <w:tc>
          <w:tcPr>
            <w:tcW w:w="5100" w:type="dxa"/>
            <w:tcBorders>
              <w:top w:val="nil"/>
              <w:left w:val="nil"/>
              <w:bottom w:val="nil"/>
              <w:right w:val="nil"/>
            </w:tcBorders>
            <w:tcMar>
              <w:top w:w="0" w:type="dxa"/>
              <w:left w:w="62" w:type="dxa"/>
              <w:bottom w:w="0" w:type="dxa"/>
              <w:right w:w="62" w:type="dxa"/>
            </w:tcMar>
          </w:tcPr>
          <w:p w:rsidR="00000000" w:rsidP="009B6EE6">
            <w:pPr>
              <w:pStyle w:val="BodyText"/>
              <w:rPr>
                <w:lang w:val="en-NZ"/>
              </w:rPr>
            </w:pPr>
            <w:r w:rsidRPr="009B6EE6">
              <w:t>NATA calibration certification is current where approp</w:t>
            </w:r>
            <w:r w:rsidRPr="009B6EE6">
              <w:t>riate to reduce possibility of unreliable test data and ensure traceability</w:t>
            </w:r>
          </w:p>
        </w:tc>
      </w:tr>
      <w:tr w:rsidTr="00B43CB6">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9B6EE6" w:rsidP="009B6EE6">
            <w:pPr>
              <w:pStyle w:val="BodyText"/>
            </w:pPr>
            <w:r w:rsidRPr="009B6EE6">
              <w:t>4</w:t>
            </w:r>
          </w:p>
        </w:tc>
        <w:tc>
          <w:tcPr>
            <w:tcW w:w="3000" w:type="dxa"/>
            <w:vMerge w:val="restart"/>
            <w:tcBorders>
              <w:top w:val="nil"/>
              <w:left w:val="nil"/>
              <w:bottom w:val="nil"/>
              <w:right w:val="nil"/>
            </w:tcBorders>
            <w:tcMar>
              <w:top w:w="0" w:type="dxa"/>
              <w:left w:w="62" w:type="dxa"/>
              <w:bottom w:w="0" w:type="dxa"/>
              <w:right w:w="62" w:type="dxa"/>
            </w:tcMar>
          </w:tcPr>
          <w:p w:rsidR="00000000" w:rsidP="009B6EE6">
            <w:pPr>
              <w:pStyle w:val="BodyText"/>
              <w:rPr>
                <w:lang w:val="en-NZ"/>
              </w:rPr>
            </w:pPr>
            <w:r w:rsidRPr="009B6EE6">
              <w:rPr>
                <w:rStyle w:val="SpecialBold"/>
              </w:rPr>
              <w:t>Perform tests</w:t>
            </w:r>
          </w:p>
        </w:tc>
        <w:tc>
          <w:tcPr>
            <w:tcW w:w="500" w:type="dxa"/>
            <w:tcBorders>
              <w:top w:val="nil"/>
              <w:left w:val="nil"/>
              <w:bottom w:val="nil"/>
              <w:right w:val="nil"/>
            </w:tcBorders>
            <w:tcMar>
              <w:top w:w="0" w:type="dxa"/>
              <w:left w:w="62" w:type="dxa"/>
              <w:bottom w:w="0" w:type="dxa"/>
              <w:right w:w="62" w:type="dxa"/>
            </w:tcMar>
          </w:tcPr>
          <w:p w:rsidR="00000000" w:rsidP="009B6EE6">
            <w:pPr>
              <w:pStyle w:val="BodyText"/>
              <w:rPr>
                <w:lang w:val="en-NZ"/>
              </w:rPr>
            </w:pPr>
            <w:r w:rsidRPr="009B6EE6">
              <w:t>4.1</w:t>
            </w:r>
          </w:p>
        </w:tc>
        <w:tc>
          <w:tcPr>
            <w:tcW w:w="5100" w:type="dxa"/>
            <w:tcBorders>
              <w:top w:val="nil"/>
              <w:left w:val="nil"/>
              <w:bottom w:val="nil"/>
              <w:right w:val="nil"/>
            </w:tcBorders>
            <w:tcMar>
              <w:top w:w="0" w:type="dxa"/>
              <w:left w:w="62" w:type="dxa"/>
              <w:bottom w:w="0" w:type="dxa"/>
              <w:right w:w="62" w:type="dxa"/>
            </w:tcMar>
          </w:tcPr>
          <w:p w:rsidR="00000000" w:rsidP="009B6EE6">
            <w:pPr>
              <w:pStyle w:val="BodyText"/>
              <w:rPr>
                <w:lang w:val="en-NZ"/>
              </w:rPr>
            </w:pPr>
            <w:r w:rsidRPr="009B6EE6">
              <w:t>Use tools and test equipment in accordance with manufacturers specifications</w:t>
            </w:r>
          </w:p>
        </w:tc>
      </w:tr>
      <w:tr w:rsidTr="00B43CB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B6EE6">
            <w:pPr>
              <w:pStyle w:val="BodyText"/>
              <w:rPr>
                <w:lang w:val="en-NZ"/>
              </w:rPr>
            </w:pPr>
            <w:r w:rsidRPr="009B6EE6">
              <w:t>4.2</w:t>
            </w:r>
          </w:p>
        </w:tc>
        <w:tc>
          <w:tcPr>
            <w:tcW w:w="5100" w:type="dxa"/>
            <w:tcBorders>
              <w:top w:val="nil"/>
              <w:left w:val="nil"/>
              <w:bottom w:val="nil"/>
              <w:right w:val="nil"/>
            </w:tcBorders>
            <w:tcMar>
              <w:top w:w="0" w:type="dxa"/>
              <w:left w:w="62" w:type="dxa"/>
              <w:bottom w:w="0" w:type="dxa"/>
              <w:right w:w="62" w:type="dxa"/>
            </w:tcMar>
          </w:tcPr>
          <w:p w:rsidR="00000000" w:rsidP="009B6EE6">
            <w:pPr>
              <w:pStyle w:val="BodyText"/>
              <w:rPr>
                <w:lang w:val="en-NZ"/>
              </w:rPr>
            </w:pPr>
            <w:r w:rsidRPr="009B6EE6">
              <w:t>Perform work safely to remove risk of injury to operator, other users and/o</w:t>
            </w:r>
            <w:r w:rsidRPr="009B6EE6">
              <w:t>r equipment</w:t>
            </w:r>
          </w:p>
        </w:tc>
      </w:tr>
      <w:tr w:rsidTr="00B43CB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B6EE6">
            <w:pPr>
              <w:pStyle w:val="BodyText"/>
              <w:rPr>
                <w:lang w:val="en-NZ"/>
              </w:rPr>
            </w:pPr>
            <w:r w:rsidRPr="009B6EE6">
              <w:t>4.3</w:t>
            </w:r>
          </w:p>
        </w:tc>
        <w:tc>
          <w:tcPr>
            <w:tcW w:w="5100" w:type="dxa"/>
            <w:tcBorders>
              <w:top w:val="nil"/>
              <w:left w:val="nil"/>
              <w:bottom w:val="nil"/>
              <w:right w:val="nil"/>
            </w:tcBorders>
            <w:tcMar>
              <w:top w:w="0" w:type="dxa"/>
              <w:left w:w="62" w:type="dxa"/>
              <w:bottom w:w="0" w:type="dxa"/>
              <w:right w:w="62" w:type="dxa"/>
            </w:tcMar>
          </w:tcPr>
          <w:p w:rsidR="00000000" w:rsidP="009B6EE6">
            <w:pPr>
              <w:pStyle w:val="BodyText"/>
              <w:rPr>
                <w:lang w:val="en-NZ"/>
              </w:rPr>
            </w:pPr>
            <w:r w:rsidRPr="009B6EE6">
              <w:t>Perform checks and adjustments to ensure operating environment will not prejudice test results</w:t>
            </w:r>
          </w:p>
        </w:tc>
      </w:tr>
      <w:tr w:rsidTr="00B43CB6">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9B6EE6" w:rsidP="009B6EE6">
            <w:pPr>
              <w:pStyle w:val="BodyText"/>
            </w:pPr>
            <w:r w:rsidRPr="009B6EE6">
              <w:t>5</w:t>
            </w:r>
          </w:p>
        </w:tc>
        <w:tc>
          <w:tcPr>
            <w:tcW w:w="3000" w:type="dxa"/>
            <w:vMerge w:val="restart"/>
            <w:tcBorders>
              <w:top w:val="nil"/>
              <w:left w:val="nil"/>
              <w:bottom w:val="nil"/>
              <w:right w:val="nil"/>
            </w:tcBorders>
            <w:tcMar>
              <w:top w:w="0" w:type="dxa"/>
              <w:left w:w="62" w:type="dxa"/>
              <w:bottom w:w="0" w:type="dxa"/>
              <w:right w:w="62" w:type="dxa"/>
            </w:tcMar>
          </w:tcPr>
          <w:p w:rsidR="00000000" w:rsidP="009B6EE6">
            <w:pPr>
              <w:pStyle w:val="BodyText"/>
              <w:rPr>
                <w:lang w:val="en-NZ"/>
              </w:rPr>
            </w:pPr>
            <w:r w:rsidRPr="009B6EE6">
              <w:rPr>
                <w:rStyle w:val="SpecialBold"/>
              </w:rPr>
              <w:t>Interpret test results and determine action</w:t>
            </w:r>
          </w:p>
        </w:tc>
        <w:tc>
          <w:tcPr>
            <w:tcW w:w="500" w:type="dxa"/>
            <w:tcBorders>
              <w:top w:val="nil"/>
              <w:left w:val="nil"/>
              <w:bottom w:val="nil"/>
              <w:right w:val="nil"/>
            </w:tcBorders>
            <w:tcMar>
              <w:top w:w="0" w:type="dxa"/>
              <w:left w:w="62" w:type="dxa"/>
              <w:bottom w:w="0" w:type="dxa"/>
              <w:right w:w="62" w:type="dxa"/>
            </w:tcMar>
          </w:tcPr>
          <w:p w:rsidR="00000000" w:rsidP="009B6EE6">
            <w:pPr>
              <w:pStyle w:val="BodyText"/>
              <w:rPr>
                <w:lang w:val="en-NZ"/>
              </w:rPr>
            </w:pPr>
            <w:r w:rsidRPr="009B6EE6">
              <w:t>5.1</w:t>
            </w:r>
          </w:p>
        </w:tc>
        <w:tc>
          <w:tcPr>
            <w:tcW w:w="5100" w:type="dxa"/>
            <w:tcBorders>
              <w:top w:val="nil"/>
              <w:left w:val="nil"/>
              <w:bottom w:val="nil"/>
              <w:right w:val="nil"/>
            </w:tcBorders>
            <w:tcMar>
              <w:top w:w="0" w:type="dxa"/>
              <w:left w:w="62" w:type="dxa"/>
              <w:bottom w:w="0" w:type="dxa"/>
              <w:right w:w="62" w:type="dxa"/>
            </w:tcMar>
          </w:tcPr>
          <w:p w:rsidR="00000000" w:rsidP="009B6EE6">
            <w:pPr>
              <w:pStyle w:val="BodyText"/>
              <w:rPr>
                <w:lang w:val="en-NZ"/>
              </w:rPr>
            </w:pPr>
            <w:r w:rsidRPr="009B6EE6">
              <w:t>Read test results accurately and compare with manufacturer and site specifications for cable performance</w:t>
            </w:r>
          </w:p>
        </w:tc>
      </w:tr>
      <w:tr w:rsidTr="00B43CB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B6EE6">
            <w:pPr>
              <w:pStyle w:val="BodyText"/>
              <w:rPr>
                <w:lang w:val="en-NZ"/>
              </w:rPr>
            </w:pPr>
            <w:r w:rsidRPr="009B6EE6">
              <w:t>5.2</w:t>
            </w:r>
          </w:p>
        </w:tc>
        <w:tc>
          <w:tcPr>
            <w:tcW w:w="5100" w:type="dxa"/>
            <w:tcBorders>
              <w:top w:val="nil"/>
              <w:left w:val="nil"/>
              <w:bottom w:val="nil"/>
              <w:right w:val="nil"/>
            </w:tcBorders>
            <w:tcMar>
              <w:top w:w="0" w:type="dxa"/>
              <w:left w:w="62" w:type="dxa"/>
              <w:bottom w:w="0" w:type="dxa"/>
              <w:right w:w="62" w:type="dxa"/>
            </w:tcMar>
          </w:tcPr>
          <w:p w:rsidR="00000000" w:rsidP="009B6EE6">
            <w:pPr>
              <w:pStyle w:val="BodyText"/>
              <w:rPr>
                <w:lang w:val="en-NZ"/>
              </w:rPr>
            </w:pPr>
            <w:r w:rsidRPr="009B6EE6">
              <w:t>Evaluate test results considering all test requirements and parameters</w:t>
            </w:r>
          </w:p>
        </w:tc>
      </w:tr>
      <w:tr w:rsidTr="00B43CB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B6EE6">
            <w:pPr>
              <w:pStyle w:val="BodyText"/>
              <w:rPr>
                <w:lang w:val="en-NZ"/>
              </w:rPr>
            </w:pPr>
            <w:r w:rsidRPr="009B6EE6">
              <w:t>5.3</w:t>
            </w:r>
          </w:p>
        </w:tc>
        <w:tc>
          <w:tcPr>
            <w:tcW w:w="5100" w:type="dxa"/>
            <w:tcBorders>
              <w:top w:val="nil"/>
              <w:left w:val="nil"/>
              <w:bottom w:val="nil"/>
              <w:right w:val="nil"/>
            </w:tcBorders>
            <w:tcMar>
              <w:top w:w="0" w:type="dxa"/>
              <w:left w:w="62" w:type="dxa"/>
              <w:bottom w:w="0" w:type="dxa"/>
              <w:right w:w="62" w:type="dxa"/>
            </w:tcMar>
          </w:tcPr>
          <w:p w:rsidR="00000000" w:rsidP="009B6EE6">
            <w:pPr>
              <w:pStyle w:val="BodyText"/>
              <w:rPr>
                <w:lang w:val="en-NZ"/>
              </w:rPr>
            </w:pPr>
            <w:r w:rsidRPr="009B6EE6">
              <w:t>Assess test results fairly and accurately using verifiable data</w:t>
            </w:r>
          </w:p>
        </w:tc>
      </w:tr>
      <w:tr w:rsidTr="00B43CB6">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9B6EE6" w:rsidP="009B6EE6">
            <w:pPr>
              <w:pStyle w:val="BodyText"/>
            </w:pPr>
            <w:r w:rsidRPr="009B6EE6">
              <w:t>6</w:t>
            </w:r>
          </w:p>
        </w:tc>
        <w:tc>
          <w:tcPr>
            <w:tcW w:w="3000" w:type="dxa"/>
            <w:vMerge w:val="restart"/>
            <w:tcBorders>
              <w:top w:val="nil"/>
              <w:left w:val="nil"/>
              <w:bottom w:val="nil"/>
              <w:right w:val="nil"/>
            </w:tcBorders>
            <w:tcMar>
              <w:top w:w="0" w:type="dxa"/>
              <w:left w:w="62" w:type="dxa"/>
              <w:bottom w:w="0" w:type="dxa"/>
              <w:right w:w="62" w:type="dxa"/>
            </w:tcMar>
          </w:tcPr>
          <w:p w:rsidR="00000000" w:rsidP="009B6EE6">
            <w:pPr>
              <w:pStyle w:val="BodyText"/>
              <w:rPr>
                <w:lang w:val="en-NZ"/>
              </w:rPr>
            </w:pPr>
            <w:r w:rsidRPr="009B6EE6">
              <w:rPr>
                <w:rStyle w:val="SpecialBold"/>
              </w:rPr>
              <w:t>Document test results</w:t>
            </w:r>
          </w:p>
        </w:tc>
        <w:tc>
          <w:tcPr>
            <w:tcW w:w="500" w:type="dxa"/>
            <w:tcBorders>
              <w:top w:val="nil"/>
              <w:left w:val="nil"/>
              <w:bottom w:val="nil"/>
              <w:right w:val="nil"/>
            </w:tcBorders>
            <w:tcMar>
              <w:top w:w="0" w:type="dxa"/>
              <w:left w:w="62" w:type="dxa"/>
              <w:bottom w:w="0" w:type="dxa"/>
              <w:right w:w="62" w:type="dxa"/>
            </w:tcMar>
          </w:tcPr>
          <w:p w:rsidR="00000000" w:rsidP="009B6EE6">
            <w:pPr>
              <w:pStyle w:val="BodyText"/>
              <w:rPr>
                <w:lang w:val="en-NZ"/>
              </w:rPr>
            </w:pPr>
            <w:r w:rsidRPr="009B6EE6">
              <w:t>6.1</w:t>
            </w:r>
          </w:p>
        </w:tc>
        <w:tc>
          <w:tcPr>
            <w:tcW w:w="5100" w:type="dxa"/>
            <w:tcBorders>
              <w:top w:val="nil"/>
              <w:left w:val="nil"/>
              <w:bottom w:val="nil"/>
              <w:right w:val="nil"/>
            </w:tcBorders>
            <w:tcMar>
              <w:top w:w="0" w:type="dxa"/>
              <w:left w:w="62" w:type="dxa"/>
              <w:bottom w:w="0" w:type="dxa"/>
              <w:right w:w="62" w:type="dxa"/>
            </w:tcMar>
          </w:tcPr>
          <w:p w:rsidR="00000000" w:rsidP="009B6EE6">
            <w:pPr>
              <w:pStyle w:val="BodyText"/>
              <w:rPr>
                <w:lang w:val="en-NZ"/>
              </w:rPr>
            </w:pPr>
            <w:r w:rsidRPr="009B6EE6">
              <w:t>Document results of tests accurately and promptly to ensure test results remain current</w:t>
            </w:r>
          </w:p>
        </w:tc>
      </w:tr>
      <w:tr w:rsidTr="00B43CB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B6EE6">
            <w:pPr>
              <w:pStyle w:val="BodyText"/>
              <w:rPr>
                <w:lang w:val="en-NZ"/>
              </w:rPr>
            </w:pPr>
            <w:r w:rsidRPr="009B6EE6">
              <w:t>6.2</w:t>
            </w:r>
          </w:p>
        </w:tc>
        <w:tc>
          <w:tcPr>
            <w:tcW w:w="5100" w:type="dxa"/>
            <w:tcBorders>
              <w:top w:val="nil"/>
              <w:left w:val="nil"/>
              <w:bottom w:val="nil"/>
              <w:right w:val="nil"/>
            </w:tcBorders>
            <w:tcMar>
              <w:top w:w="0" w:type="dxa"/>
              <w:left w:w="62" w:type="dxa"/>
              <w:bottom w:w="0" w:type="dxa"/>
              <w:right w:w="62" w:type="dxa"/>
            </w:tcMar>
          </w:tcPr>
          <w:p w:rsidR="00000000" w:rsidP="009B6EE6">
            <w:pPr>
              <w:pStyle w:val="BodyText"/>
              <w:rPr>
                <w:lang w:val="en-NZ"/>
              </w:rPr>
            </w:pPr>
            <w:r w:rsidRPr="009B6EE6">
              <w:t>Verify test results and provide to client where required</w:t>
            </w:r>
          </w:p>
        </w:tc>
      </w:tr>
      <w:tr w:rsidTr="00B43CB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B6EE6">
            <w:pPr>
              <w:pStyle w:val="BodyText"/>
              <w:rPr>
                <w:lang w:val="en-NZ"/>
              </w:rPr>
            </w:pPr>
            <w:r w:rsidRPr="009B6EE6">
              <w:t>6.3</w:t>
            </w:r>
          </w:p>
        </w:tc>
        <w:tc>
          <w:tcPr>
            <w:tcW w:w="5100" w:type="dxa"/>
            <w:tcBorders>
              <w:top w:val="nil"/>
              <w:left w:val="nil"/>
              <w:bottom w:val="nil"/>
              <w:right w:val="nil"/>
            </w:tcBorders>
            <w:tcMar>
              <w:top w:w="0" w:type="dxa"/>
              <w:left w:w="62" w:type="dxa"/>
              <w:bottom w:w="0" w:type="dxa"/>
              <w:right w:w="62" w:type="dxa"/>
            </w:tcMar>
          </w:tcPr>
          <w:p w:rsidR="00000000" w:rsidRPr="009B6EE6" w:rsidP="009B6EE6">
            <w:pPr>
              <w:pStyle w:val="BodyText"/>
            </w:pPr>
            <w:r w:rsidRPr="009B6EE6">
              <w:t>Update site and installation files to ensure information on system performance is traceable</w:t>
            </w:r>
          </w:p>
        </w:tc>
      </w:tr>
    </w:tbl>
    <w:p w:rsidR="00000000" w:rsidRPr="009B6EE6" w:rsidP="009B6EE6">
      <w:pPr>
        <w:pStyle w:val="BodyText"/>
      </w:pPr>
    </w:p>
    <w:p w:rsidR="00000000" w:rsidRPr="009B6EE6" w:rsidP="009B6EE6">
      <w:pPr>
        <w:pStyle w:val="AllowPageBreak"/>
      </w:pPr>
    </w:p>
    <w:p w:rsidR="00000000" w:rsidRPr="009B6EE6" w:rsidP="009B6EE6">
      <w:pPr>
        <w:pStyle w:val="Heading1"/>
      </w:pPr>
      <w:bookmarkStart w:id="9" w:name="O_320563"/>
      <w:bookmarkEnd w:id="9"/>
      <w:r w:rsidRPr="009B6EE6">
        <w:t>Required Skills and Knowledge</w:t>
      </w:r>
    </w:p>
    <w:tbl>
      <w:tblPr>
        <w:tblW w:w="0" w:type="auto"/>
        <w:tblLayout w:type="fixed"/>
        <w:tblCellMar>
          <w:left w:w="62" w:type="dxa"/>
          <w:right w:w="62" w:type="dxa"/>
        </w:tblCellMar>
        <w:tblLook w:val="0000"/>
      </w:tblPr>
      <w:tblGrid>
        <w:gridCol w:w="4500"/>
        <w:gridCol w:w="4500"/>
      </w:tblGrid>
      <w:tr w:rsidTr="00B43CB6">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9B6EE6">
            <w:pPr>
              <w:pStyle w:val="BodyText"/>
              <w:rPr>
                <w:lang w:val="en-NZ"/>
              </w:rPr>
            </w:pPr>
          </w:p>
        </w:tc>
      </w:tr>
      <w:tr w:rsidTr="00B43CB6">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9B6EE6">
            <w:pPr>
              <w:pStyle w:val="BodyText"/>
              <w:rPr>
                <w:lang w:val="en-NZ"/>
              </w:rPr>
            </w:pPr>
            <w:r w:rsidRPr="009B6EE6">
              <w:t xml:space="preserve">This section describes the skills and knowledge required for this unit. </w:t>
            </w:r>
          </w:p>
        </w:tc>
      </w:tr>
      <w:tr w:rsidTr="00B43CB6">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9B6EE6">
            <w:pPr>
              <w:pStyle w:val="BodyText"/>
              <w:rPr>
                <w:lang w:val="en-NZ"/>
              </w:rPr>
            </w:pPr>
            <w:r w:rsidRPr="009B6EE6">
              <w:rPr>
                <w:rStyle w:val="SpecialBold"/>
              </w:rPr>
              <w:t>Required skills</w:t>
            </w:r>
          </w:p>
        </w:tc>
      </w:tr>
      <w:tr w:rsidTr="00B43CB6">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9B6EE6" w:rsidP="009B6EE6">
            <w:pPr>
              <w:pStyle w:val="BodyText"/>
            </w:pPr>
            <w:r w:rsidRPr="009B6EE6">
              <w:t>Select from the following list to suit the learning and assessment context</w:t>
            </w:r>
          </w:p>
          <w:p w:rsidR="00000000" w:rsidRPr="009B6EE6" w:rsidP="009B6EE6">
            <w:pPr>
              <w:pStyle w:val="BodyText"/>
            </w:pPr>
            <w:r w:rsidRPr="009B6EE6">
              <w:t>Codes refer to the Skills and Knowledge Register in Volume 3 of this Training Package that has detailed content guidelines for each code outlined.</w:t>
            </w:r>
          </w:p>
          <w:p w:rsidR="00000000" w:rsidRPr="009B6EE6" w:rsidP="009B6EE6">
            <w:pPr>
              <w:pStyle w:val="BodyText"/>
            </w:pPr>
            <w:r w:rsidRPr="009B6EE6">
              <w:t>CA315 Cabling Techniques for CAN</w:t>
            </w:r>
          </w:p>
          <w:p w:rsidR="00000000" w:rsidRPr="009B6EE6" w:rsidP="009B6EE6">
            <w:pPr>
              <w:pStyle w:val="BodyText"/>
            </w:pPr>
            <w:r w:rsidRPr="009B6EE6">
              <w:t>C</w:t>
            </w:r>
            <w:r w:rsidRPr="009B6EE6">
              <w:t>A340 Cable Systems and Products</w:t>
            </w:r>
          </w:p>
          <w:p w:rsidR="00000000" w:rsidRPr="009B6EE6" w:rsidP="009B6EE6">
            <w:pPr>
              <w:pStyle w:val="BodyText"/>
            </w:pPr>
            <w:r w:rsidRPr="009B6EE6">
              <w:t>CI310 Communication 3</w:t>
            </w:r>
          </w:p>
          <w:p w:rsidR="00000000" w:rsidRPr="009B6EE6" w:rsidP="009B6EE6">
            <w:pPr>
              <w:pStyle w:val="BodyText"/>
            </w:pPr>
            <w:r w:rsidRPr="009B6EE6">
              <w:t>EL310 AC/DC Theory 3</w:t>
            </w:r>
          </w:p>
          <w:p w:rsidR="00000000" w:rsidRPr="009B6EE6" w:rsidP="009B6EE6">
            <w:pPr>
              <w:pStyle w:val="BodyText"/>
            </w:pPr>
            <w:r w:rsidRPr="009B6EE6">
              <w:t>PR310 Problem Solving 3</w:t>
            </w:r>
          </w:p>
          <w:p w:rsidR="00000000" w:rsidRPr="009B6EE6" w:rsidP="009B6EE6">
            <w:pPr>
              <w:pStyle w:val="BodyText"/>
            </w:pPr>
            <w:r w:rsidRPr="009B6EE6">
              <w:t>TE310 Basic Telephony 3</w:t>
            </w:r>
          </w:p>
          <w:p w:rsidR="00000000" w:rsidRPr="009B6EE6" w:rsidP="009B6EE6">
            <w:pPr>
              <w:pStyle w:val="BodyText"/>
            </w:pPr>
            <w:r w:rsidRPr="009B6EE6">
              <w:t>TF310 Test Equipment 3</w:t>
            </w:r>
          </w:p>
          <w:p w:rsidR="00000000" w:rsidP="009B6EE6">
            <w:pPr>
              <w:pStyle w:val="BodyText"/>
              <w:rPr>
                <w:lang w:val="en-NZ"/>
              </w:rPr>
            </w:pPr>
            <w:r w:rsidRPr="009B6EE6">
              <w:t xml:space="preserve">TR420 Light/Laser Theory 4 </w:t>
            </w:r>
          </w:p>
        </w:tc>
      </w:tr>
      <w:tr w:rsidTr="00B43CB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9B6EE6">
            <w:pPr>
              <w:pStyle w:val="BodyText"/>
              <w:rPr>
                <w:lang w:val="en-NZ"/>
              </w:rPr>
            </w:pPr>
          </w:p>
        </w:tc>
      </w:tr>
      <w:tr w:rsidTr="00B43CB6">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9B6EE6">
            <w:pPr>
              <w:pStyle w:val="BodyText"/>
              <w:rPr>
                <w:lang w:val="en-NZ"/>
              </w:rPr>
            </w:pPr>
            <w:r w:rsidRPr="009B6EE6">
              <w:rPr>
                <w:rStyle w:val="SpecialBold"/>
              </w:rPr>
              <w:t>Required knowledge</w:t>
            </w:r>
          </w:p>
        </w:tc>
      </w:tr>
      <w:tr w:rsidTr="00B43CB6">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9B6EE6">
            <w:pPr>
              <w:pStyle w:val="BodyText"/>
              <w:rPr>
                <w:lang w:val="en-NZ"/>
              </w:rPr>
            </w:pPr>
            <w:r w:rsidRPr="009B6EE6">
              <w:t xml:space="preserve">The relevant required knowledge is articulated in the above guidelines contained in the Skills and Knowledge Register included in this Training Package. </w:t>
            </w:r>
          </w:p>
        </w:tc>
      </w:tr>
      <w:tr w:rsidTr="00B43CB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9B6EE6" w:rsidP="009B6EE6">
            <w:pPr>
              <w:pStyle w:val="BodyText"/>
            </w:pPr>
          </w:p>
        </w:tc>
      </w:tr>
    </w:tbl>
    <w:p w:rsidR="00000000" w:rsidRPr="009B6EE6" w:rsidP="009B6EE6">
      <w:pPr>
        <w:pStyle w:val="BodyText"/>
      </w:pPr>
    </w:p>
    <w:p w:rsidR="00000000" w:rsidRPr="009B6EE6" w:rsidP="009B6EE6">
      <w:pPr>
        <w:pStyle w:val="AllowPageBreak"/>
      </w:pPr>
    </w:p>
    <w:p w:rsidR="00000000" w:rsidRPr="009B6EE6" w:rsidP="009B6EE6">
      <w:pPr>
        <w:pStyle w:val="Heading1"/>
      </w:pPr>
      <w:bookmarkStart w:id="10" w:name="O_320562"/>
      <w:bookmarkEnd w:id="10"/>
      <w:r w:rsidRPr="009B6EE6">
        <w:t>Evidence Guide</w:t>
      </w:r>
    </w:p>
    <w:tbl>
      <w:tblPr>
        <w:tblW w:w="0" w:type="auto"/>
        <w:tblLayout w:type="fixed"/>
        <w:tblCellMar>
          <w:left w:w="62" w:type="dxa"/>
          <w:right w:w="62" w:type="dxa"/>
        </w:tblCellMar>
        <w:tblLook w:val="0000"/>
      </w:tblPr>
      <w:tblGrid>
        <w:gridCol w:w="4500"/>
        <w:gridCol w:w="4500"/>
      </w:tblGrid>
      <w:tr w:rsidTr="00B43CB6">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9B6EE6">
            <w:pPr>
              <w:pStyle w:val="BodyText"/>
              <w:rPr>
                <w:lang w:val="en-NZ"/>
              </w:rPr>
            </w:pPr>
          </w:p>
        </w:tc>
      </w:tr>
      <w:tr w:rsidTr="00B43CB6">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9B6EE6">
            <w:pPr>
              <w:pStyle w:val="BodyText"/>
              <w:rPr>
                <w:lang w:val="en-NZ"/>
              </w:rPr>
            </w:pPr>
            <w:r w:rsidRPr="009B6EE6">
              <w:t xml:space="preserve">The evidence guide provides advice on assessment and must be </w:t>
            </w:r>
            <w:r w:rsidRPr="009B6EE6">
              <w:t xml:space="preserve">read in conjunction with the performance criteria, required skills and knowledge, range statement and the Assessment Guidelines for the Training Package. </w:t>
            </w:r>
          </w:p>
        </w:tc>
      </w:tr>
      <w:tr w:rsidTr="00B43CB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B6EE6">
            <w:pPr>
              <w:pStyle w:val="BodyText"/>
              <w:rPr>
                <w:lang w:val="en-NZ"/>
              </w:rPr>
            </w:pPr>
            <w:r w:rsidRPr="009B6EE6">
              <w:rPr>
                <w:rStyle w:val="SpecialBold"/>
              </w:rPr>
              <w:t>Critical aspects for assessment and evidence required to demonstrate competency in this unit</w:t>
            </w:r>
          </w:p>
        </w:tc>
        <w:tc>
          <w:tcPr>
            <w:tcW w:w="4500" w:type="dxa"/>
            <w:tcBorders>
              <w:top w:val="nil"/>
              <w:left w:val="nil"/>
              <w:bottom w:val="nil"/>
              <w:right w:val="nil"/>
            </w:tcBorders>
            <w:tcMar>
              <w:top w:w="0" w:type="dxa"/>
              <w:left w:w="62" w:type="dxa"/>
              <w:bottom w:w="0" w:type="dxa"/>
              <w:right w:w="62" w:type="dxa"/>
            </w:tcMar>
          </w:tcPr>
          <w:p w:rsidR="00000000" w:rsidRPr="009B6EE6" w:rsidP="009B6EE6">
            <w:pPr>
              <w:pStyle w:val="BodyText"/>
            </w:pPr>
            <w:r w:rsidRPr="009B6EE6">
              <w:t xml:space="preserve">Evidence of the following is essential:    </w:t>
            </w:r>
          </w:p>
          <w:p w:rsidR="00000000" w:rsidRPr="009B6EE6" w:rsidP="009B6EE6">
            <w:pPr>
              <w:pStyle w:val="BodyText"/>
            </w:pPr>
            <w:r w:rsidRPr="009B6EE6">
              <w:t>Identification of required test - 100%</w:t>
            </w:r>
          </w:p>
          <w:p w:rsidR="00000000" w:rsidRPr="009B6EE6" w:rsidP="009B6EE6">
            <w:pPr>
              <w:pStyle w:val="BodyText"/>
            </w:pPr>
            <w:r w:rsidRPr="009B6EE6">
              <w:t>Systematic sampling, random sampling and random assessment of continuity.</w:t>
            </w:r>
          </w:p>
          <w:p w:rsidR="00000000" w:rsidRPr="009B6EE6" w:rsidP="009B6EE6">
            <w:pPr>
              <w:pStyle w:val="BodyText"/>
            </w:pPr>
            <w:r w:rsidRPr="009B6EE6">
              <w:t>Use of at least six test devices which may include for example -OTDR (Optical Time Domain Reflectom</w:t>
            </w:r>
            <w:r w:rsidRPr="009B6EE6">
              <w:t>eter), multimeter, proprietary devices, oscillator and probe set, insulation resistance tester, pulse echo, hand held cable testers, signal level meter, spectrum analyser, signal generator - on both metallic and optical fibre.</w:t>
            </w:r>
          </w:p>
          <w:p w:rsidR="00000000" w:rsidRPr="009B6EE6" w:rsidP="009B6EE6">
            <w:pPr>
              <w:pStyle w:val="BodyText"/>
            </w:pPr>
            <w:r w:rsidRPr="009B6EE6">
              <w:t>Identification of at least si</w:t>
            </w:r>
            <w:r w:rsidRPr="009B6EE6">
              <w:t>x different faults to be addressed via the test which may include for example - near end cross talk, attenuation, length, balance, noise levels, pair assignment, reversals, short circuits, open circuits, insulation resistance, reflection, signal loss, resp</w:t>
            </w:r>
            <w:r w:rsidRPr="009B6EE6">
              <w:t>onse times, speed.</w:t>
            </w:r>
          </w:p>
          <w:p w:rsidR="00000000" w:rsidRPr="009B6EE6" w:rsidP="009B6EE6">
            <w:pPr>
              <w:pStyle w:val="BodyText"/>
            </w:pPr>
            <w:r w:rsidRPr="009B6EE6">
              <w:t>Interpret test results for at least three different tests.</w:t>
            </w:r>
          </w:p>
          <w:p w:rsidR="00000000" w:rsidRPr="009B6EE6" w:rsidP="009B6EE6">
            <w:pPr>
              <w:pStyle w:val="BodyText"/>
            </w:pPr>
            <w:r w:rsidRPr="009B6EE6">
              <w:t>Application of all related OHS requirements and work practices (including protective clothing and personal safety items).</w:t>
            </w:r>
          </w:p>
          <w:p w:rsidR="00000000" w:rsidRPr="009B6EE6" w:rsidP="009B6EE6">
            <w:pPr>
              <w:pStyle w:val="BodyText"/>
            </w:pPr>
            <w:r w:rsidRPr="009B6EE6">
              <w:t>Safe use of general hand and power tools and general equ</w:t>
            </w:r>
            <w:r w:rsidRPr="009B6EE6">
              <w:t>ipment normally related to these tasks.</w:t>
            </w:r>
          </w:p>
          <w:p w:rsidR="00000000" w:rsidRPr="009B6EE6" w:rsidP="009B6EE6">
            <w:pPr>
              <w:pStyle w:val="BodyText"/>
            </w:pPr>
            <w:r w:rsidRPr="009B6EE6">
              <w:t>Correct interpretation and application of relevant regulations and standards.</w:t>
            </w:r>
          </w:p>
          <w:p w:rsidR="00000000" w:rsidP="009B6EE6">
            <w:pPr>
              <w:pStyle w:val="BodyText"/>
              <w:rPr>
                <w:lang w:val="en-NZ"/>
              </w:rPr>
            </w:pPr>
            <w:r w:rsidRPr="009B6EE6">
              <w:t xml:space="preserve">Communicate test procedure and test interpretation effectively with customers, work associates </w:t>
            </w:r>
          </w:p>
        </w:tc>
      </w:tr>
      <w:tr w:rsidTr="00B43CB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9B6EE6">
            <w:pPr>
              <w:pStyle w:val="BodyText"/>
              <w:rPr>
                <w:lang w:val="en-NZ"/>
              </w:rPr>
            </w:pPr>
          </w:p>
        </w:tc>
      </w:tr>
      <w:tr w:rsidTr="00B43CB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B6EE6">
            <w:pPr>
              <w:pStyle w:val="BodyText"/>
              <w:rPr>
                <w:lang w:val="en-NZ"/>
              </w:rPr>
            </w:pPr>
            <w:r w:rsidRPr="009B6EE6">
              <w:rPr>
                <w:rStyle w:val="SpecialBold"/>
              </w:rPr>
              <w:t>Context of and specific resources for assessment</w:t>
            </w:r>
          </w:p>
        </w:tc>
        <w:tc>
          <w:tcPr>
            <w:tcW w:w="4500" w:type="dxa"/>
            <w:tcBorders>
              <w:top w:val="nil"/>
              <w:left w:val="nil"/>
              <w:bottom w:val="nil"/>
              <w:right w:val="nil"/>
            </w:tcBorders>
            <w:tcMar>
              <w:top w:w="0" w:type="dxa"/>
              <w:left w:w="62" w:type="dxa"/>
              <w:bottom w:w="0" w:type="dxa"/>
              <w:right w:w="62" w:type="dxa"/>
            </w:tcMar>
          </w:tcPr>
          <w:p w:rsidR="00000000" w:rsidRPr="009B6EE6" w:rsidP="009B6EE6">
            <w:pPr>
              <w:pStyle w:val="BodyText"/>
            </w:pPr>
            <w:r w:rsidRPr="009B6EE6">
              <w:t xml:space="preserve">Assessment must ensure:    </w:t>
            </w:r>
          </w:p>
          <w:p w:rsidR="00000000" w:rsidRPr="009B6EE6" w:rsidP="009B6EE6">
            <w:pPr>
              <w:pStyle w:val="BodyText"/>
            </w:pPr>
            <w:r w:rsidRPr="009B6EE6">
              <w:t>A workplace conducting the operations covered by this competency unit, equipment and resources relevant to the context of the work (See Range Statement) and support from a compete</w:t>
            </w:r>
            <w:r w:rsidRPr="009B6EE6">
              <w:t>nt supervisor or mentor.</w:t>
            </w:r>
          </w:p>
          <w:p w:rsidR="00000000" w:rsidRPr="009B6EE6" w:rsidP="009B6EE6">
            <w:pPr>
              <w:pStyle w:val="BodyText"/>
            </w:pPr>
            <w:r w:rsidRPr="009B6EE6">
              <w:t>OR</w:t>
            </w:r>
          </w:p>
          <w:p w:rsidR="00000000" w:rsidP="009B6EE6">
            <w:pPr>
              <w:pStyle w:val="BodyText"/>
              <w:rPr>
                <w:lang w:val="en-NZ"/>
              </w:rPr>
            </w:pPr>
            <w:r w:rsidRPr="009B6EE6">
              <w:t xml:space="preserve">A simulated environment with similar provisions which conforms to the Assessment Guidelines.   </w:t>
            </w:r>
          </w:p>
        </w:tc>
      </w:tr>
      <w:tr w:rsidTr="00B43CB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9B6EE6">
            <w:pPr>
              <w:pStyle w:val="BodyText"/>
              <w:rPr>
                <w:lang w:val="en-NZ"/>
              </w:rPr>
            </w:pPr>
          </w:p>
        </w:tc>
      </w:tr>
      <w:tr w:rsidTr="00B43CB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B6EE6">
            <w:pPr>
              <w:pStyle w:val="BodyText"/>
              <w:rPr>
                <w:lang w:val="en-NZ"/>
              </w:rPr>
            </w:pPr>
            <w:r w:rsidRPr="009B6EE6">
              <w:rPr>
                <w:rStyle w:val="SpecialBold"/>
              </w:rPr>
              <w:t>Guidance information for assessment</w:t>
            </w:r>
          </w:p>
        </w:tc>
        <w:tc>
          <w:tcPr>
            <w:tcW w:w="4500" w:type="dxa"/>
            <w:tcBorders>
              <w:top w:val="nil"/>
              <w:left w:val="nil"/>
              <w:bottom w:val="nil"/>
              <w:right w:val="nil"/>
            </w:tcBorders>
            <w:tcMar>
              <w:top w:w="0" w:type="dxa"/>
              <w:left w:w="62" w:type="dxa"/>
              <w:bottom w:w="0" w:type="dxa"/>
              <w:right w:w="62" w:type="dxa"/>
            </w:tcMar>
          </w:tcPr>
          <w:p w:rsidR="00000000" w:rsidRPr="009B6EE6" w:rsidP="009B6EE6">
            <w:pPr>
              <w:pStyle w:val="BodyText"/>
            </w:pPr>
            <w:r w:rsidRPr="009B6EE6">
              <w:t xml:space="preserve">Access must be provided to appropriate learning and assessment support when required. </w:t>
            </w:r>
          </w:p>
          <w:p w:rsidR="00000000" w:rsidRPr="009B6EE6" w:rsidP="009B6EE6">
            <w:pPr>
              <w:pStyle w:val="BodyText"/>
            </w:pPr>
            <w:r w:rsidRPr="009B6EE6">
              <w:t>Asses</w:t>
            </w:r>
            <w:r w:rsidRPr="009B6EE6">
              <w:t>sment processes and techniques must be culturally appropriate, and appropriate to the oral communication skill level, and language and literacy capacity of the candidate and the work being performed.</w:t>
            </w:r>
          </w:p>
          <w:p w:rsidR="00000000" w:rsidRPr="009B6EE6" w:rsidP="009B6EE6">
            <w:pPr>
              <w:pStyle w:val="BodyText"/>
            </w:pPr>
            <w:r w:rsidRPr="009B6EE6">
              <w:t xml:space="preserve">In all cases where practical assessment is used it will </w:t>
            </w:r>
            <w:r w:rsidRPr="009B6EE6">
              <w:t xml:space="preserve">be combined with targeted questioning to assess underpinning knowledge. </w:t>
            </w:r>
          </w:p>
        </w:tc>
      </w:tr>
    </w:tbl>
    <w:p w:rsidR="00000000" w:rsidRPr="009B6EE6" w:rsidP="009B6EE6">
      <w:pPr>
        <w:pStyle w:val="BodyText"/>
      </w:pPr>
    </w:p>
    <w:p w:rsidR="00000000" w:rsidRPr="009B6EE6" w:rsidP="009B6EE6">
      <w:pPr>
        <w:pStyle w:val="AllowPageBreak"/>
      </w:pPr>
    </w:p>
    <w:p w:rsidR="00000000" w:rsidRPr="009B6EE6" w:rsidP="009B6EE6">
      <w:pPr>
        <w:pStyle w:val="Heading1"/>
      </w:pPr>
      <w:bookmarkStart w:id="11" w:name="O_320560"/>
      <w:bookmarkEnd w:id="11"/>
      <w:r w:rsidRPr="009B6EE6">
        <w:t>Range Statement</w:t>
      </w:r>
    </w:p>
    <w:tbl>
      <w:tblPr>
        <w:tblW w:w="0" w:type="auto"/>
        <w:tblLayout w:type="fixed"/>
        <w:tblCellMar>
          <w:left w:w="62" w:type="dxa"/>
          <w:right w:w="62" w:type="dxa"/>
        </w:tblCellMar>
        <w:tblLook w:val="0000"/>
      </w:tblPr>
      <w:tblGrid>
        <w:gridCol w:w="4500"/>
        <w:gridCol w:w="4500"/>
      </w:tblGrid>
      <w:tr w:rsidTr="00B43CB6">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9B6EE6">
            <w:pPr>
              <w:pStyle w:val="BodyText"/>
              <w:rPr>
                <w:lang w:val="en-NZ"/>
              </w:rPr>
            </w:pPr>
          </w:p>
        </w:tc>
      </w:tr>
      <w:tr w:rsidTr="00B43CB6">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9B6EE6">
            <w:pPr>
              <w:pStyle w:val="BodyText"/>
              <w:rPr>
                <w:lang w:val="en-NZ"/>
              </w:rPr>
            </w:pPr>
            <w:r w:rsidRPr="009B6EE6">
              <w:t xml:space="preserve">The range statement relates to the unit of competency as a whole. It allows for different work environments and situations that may affect </w:t>
            </w:r>
            <w:r w:rsidRPr="009B6EE6">
              <w:t xml:space="preserve">performance. </w:t>
            </w:r>
            <w:r w:rsidRPr="009B6EE6">
              <w:rPr>
                <w:rStyle w:val="SpecialBold"/>
              </w:rPr>
              <w:t>Bold italicised</w:t>
            </w:r>
            <w:r w:rsidRPr="009B6EE6">
              <w:t xml:space="preserve"> wording, if used in the performance criteria, is detailed below. Essential operating conditions that may be present with training and assessment (depending on the work situation, needs of the candidate, accessibility of the ite</w:t>
            </w:r>
            <w:r w:rsidRPr="009B6EE6">
              <w:t xml:space="preserve">m, and local industry and regional contexts) may also be included. </w:t>
            </w:r>
          </w:p>
        </w:tc>
      </w:tr>
      <w:tr w:rsidTr="00B43CB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B6EE6">
            <w:pPr>
              <w:pStyle w:val="BodyText"/>
              <w:rPr>
                <w:lang w:val="en-NZ"/>
              </w:rPr>
            </w:pPr>
            <w:r w:rsidRPr="009B6EE6">
              <w:t xml:space="preserve">Testing  </w:t>
            </w:r>
          </w:p>
        </w:tc>
        <w:tc>
          <w:tcPr>
            <w:tcW w:w="4500" w:type="dxa"/>
            <w:tcBorders>
              <w:top w:val="nil"/>
              <w:left w:val="nil"/>
              <w:bottom w:val="nil"/>
              <w:right w:val="nil"/>
            </w:tcBorders>
            <w:tcMar>
              <w:top w:w="0" w:type="dxa"/>
              <w:left w:w="62" w:type="dxa"/>
              <w:bottom w:w="0" w:type="dxa"/>
              <w:right w:w="62" w:type="dxa"/>
            </w:tcMar>
          </w:tcPr>
          <w:p w:rsidR="00000000" w:rsidP="009B6EE6">
            <w:pPr>
              <w:pStyle w:val="BodyText"/>
              <w:rPr>
                <w:lang w:val="en-NZ"/>
              </w:rPr>
            </w:pPr>
            <w:r w:rsidRPr="009B6EE6">
              <w:t xml:space="preserve">Can be conducted on:100% coverage, systematic samples, randomly, as part of fault identification or to assess continuity </w:t>
            </w:r>
          </w:p>
        </w:tc>
      </w:tr>
      <w:tr w:rsidTr="00B43CB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9B6EE6">
            <w:pPr>
              <w:pStyle w:val="BodyText"/>
              <w:rPr>
                <w:lang w:val="en-NZ"/>
              </w:rPr>
            </w:pPr>
          </w:p>
        </w:tc>
      </w:tr>
      <w:tr w:rsidTr="00B43CB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B6EE6">
            <w:pPr>
              <w:pStyle w:val="BodyText"/>
              <w:rPr>
                <w:lang w:val="en-NZ"/>
              </w:rPr>
            </w:pPr>
            <w:r w:rsidRPr="009B6EE6">
              <w:t xml:space="preserve">Test clients  </w:t>
            </w:r>
          </w:p>
        </w:tc>
        <w:tc>
          <w:tcPr>
            <w:tcW w:w="4500" w:type="dxa"/>
            <w:tcBorders>
              <w:top w:val="nil"/>
              <w:left w:val="nil"/>
              <w:bottom w:val="nil"/>
              <w:right w:val="nil"/>
            </w:tcBorders>
            <w:tcMar>
              <w:top w:w="0" w:type="dxa"/>
              <w:left w:w="62" w:type="dxa"/>
              <w:bottom w:w="0" w:type="dxa"/>
              <w:right w:w="62" w:type="dxa"/>
            </w:tcMar>
          </w:tcPr>
          <w:p w:rsidR="00000000" w:rsidP="009B6EE6">
            <w:pPr>
              <w:pStyle w:val="BodyText"/>
              <w:rPr>
                <w:lang w:val="en-NZ"/>
              </w:rPr>
            </w:pPr>
            <w:r w:rsidRPr="009B6EE6">
              <w:t>Can be: end user, supervisor, consu</w:t>
            </w:r>
            <w:r w:rsidRPr="009B6EE6">
              <w:t xml:space="preserve">ltants or building owner </w:t>
            </w:r>
          </w:p>
        </w:tc>
      </w:tr>
      <w:tr w:rsidTr="00B43CB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9B6EE6">
            <w:pPr>
              <w:pStyle w:val="BodyText"/>
              <w:rPr>
                <w:lang w:val="en-NZ"/>
              </w:rPr>
            </w:pPr>
          </w:p>
        </w:tc>
      </w:tr>
      <w:tr w:rsidTr="00B43CB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B6EE6">
            <w:pPr>
              <w:pStyle w:val="BodyText"/>
              <w:rPr>
                <w:lang w:val="en-NZ"/>
              </w:rPr>
            </w:pPr>
            <w:r w:rsidRPr="009B6EE6">
              <w:t xml:space="preserve">Client specifications, standards and quality assurance requirements may define test and documentation requirements </w:t>
            </w:r>
          </w:p>
        </w:tc>
        <w:tc>
          <w:tcPr>
            <w:tcW w:w="4500" w:type="dxa"/>
            <w:tcBorders>
              <w:top w:val="nil"/>
              <w:left w:val="nil"/>
              <w:bottom w:val="nil"/>
              <w:right w:val="nil"/>
            </w:tcBorders>
            <w:tcMar>
              <w:top w:w="0" w:type="dxa"/>
              <w:left w:w="62" w:type="dxa"/>
              <w:bottom w:w="0" w:type="dxa"/>
              <w:right w:w="62" w:type="dxa"/>
            </w:tcMar>
          </w:tcPr>
          <w:p w:rsidR="00000000" w:rsidRPr="009B6EE6" w:rsidP="009B6EE6">
            <w:pPr>
              <w:pStyle w:val="BodyText"/>
            </w:pPr>
            <w:r w:rsidRPr="009B6EE6">
              <w:t>Tests can be:</w:t>
            </w:r>
          </w:p>
          <w:p w:rsidR="00000000" w:rsidP="009B6EE6">
            <w:pPr>
              <w:pStyle w:val="BodyText"/>
              <w:rPr>
                <w:lang w:val="en-NZ"/>
              </w:rPr>
            </w:pPr>
            <w:r w:rsidRPr="009B6EE6">
              <w:t xml:space="preserve">one or two directional, balanced or unbalanced </w:t>
            </w:r>
          </w:p>
        </w:tc>
      </w:tr>
      <w:tr w:rsidTr="00B43CB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9B6EE6">
            <w:pPr>
              <w:pStyle w:val="BodyText"/>
              <w:rPr>
                <w:lang w:val="en-NZ"/>
              </w:rPr>
            </w:pPr>
          </w:p>
        </w:tc>
      </w:tr>
      <w:tr w:rsidTr="00B43CB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B6EE6">
            <w:pPr>
              <w:pStyle w:val="BodyText"/>
              <w:rPr>
                <w:lang w:val="en-NZ"/>
              </w:rPr>
            </w:pPr>
            <w:r w:rsidRPr="009B6EE6">
              <w:t xml:space="preserve">Test  </w:t>
            </w:r>
          </w:p>
        </w:tc>
        <w:tc>
          <w:tcPr>
            <w:tcW w:w="4500" w:type="dxa"/>
            <w:tcBorders>
              <w:top w:val="nil"/>
              <w:left w:val="nil"/>
              <w:bottom w:val="nil"/>
              <w:right w:val="nil"/>
            </w:tcBorders>
            <w:tcMar>
              <w:top w:w="0" w:type="dxa"/>
              <w:left w:w="62" w:type="dxa"/>
              <w:bottom w:w="0" w:type="dxa"/>
              <w:right w:w="62" w:type="dxa"/>
            </w:tcMar>
          </w:tcPr>
          <w:p w:rsidR="00000000" w:rsidP="009B6EE6">
            <w:pPr>
              <w:pStyle w:val="BodyText"/>
              <w:rPr>
                <w:lang w:val="en-NZ"/>
              </w:rPr>
            </w:pPr>
            <w:r w:rsidRPr="009B6EE6">
              <w:t xml:space="preserve">May be: within a building, between sites or between a site and other customers equipment </w:t>
            </w:r>
          </w:p>
        </w:tc>
      </w:tr>
      <w:tr w:rsidTr="00B43CB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9B6EE6">
            <w:pPr>
              <w:pStyle w:val="BodyText"/>
              <w:rPr>
                <w:lang w:val="en-NZ"/>
              </w:rPr>
            </w:pPr>
          </w:p>
        </w:tc>
      </w:tr>
      <w:tr w:rsidTr="00B43CB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B6EE6">
            <w:pPr>
              <w:pStyle w:val="BodyText"/>
              <w:rPr>
                <w:lang w:val="en-NZ"/>
              </w:rPr>
            </w:pPr>
            <w:r w:rsidRPr="009B6EE6">
              <w:t xml:space="preserve">Cable types  </w:t>
            </w:r>
          </w:p>
        </w:tc>
        <w:tc>
          <w:tcPr>
            <w:tcW w:w="4500" w:type="dxa"/>
            <w:tcBorders>
              <w:top w:val="nil"/>
              <w:left w:val="nil"/>
              <w:bottom w:val="nil"/>
              <w:right w:val="nil"/>
            </w:tcBorders>
            <w:tcMar>
              <w:top w:w="0" w:type="dxa"/>
              <w:left w:w="62" w:type="dxa"/>
              <w:bottom w:w="0" w:type="dxa"/>
              <w:right w:w="62" w:type="dxa"/>
            </w:tcMar>
          </w:tcPr>
          <w:p w:rsidR="00000000" w:rsidP="009B6EE6">
            <w:pPr>
              <w:pStyle w:val="BodyText"/>
              <w:rPr>
                <w:lang w:val="en-NZ"/>
              </w:rPr>
            </w:pPr>
            <w:r w:rsidRPr="009B6EE6">
              <w:t xml:space="preserve">May include: copper (all categories), optical fibre, coaxial </w:t>
            </w:r>
          </w:p>
        </w:tc>
      </w:tr>
      <w:tr w:rsidTr="00B43CB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9B6EE6">
            <w:pPr>
              <w:pStyle w:val="BodyText"/>
              <w:rPr>
                <w:lang w:val="en-NZ"/>
              </w:rPr>
            </w:pPr>
          </w:p>
        </w:tc>
      </w:tr>
      <w:tr w:rsidTr="00B43CB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B6EE6">
            <w:pPr>
              <w:pStyle w:val="BodyText"/>
              <w:rPr>
                <w:lang w:val="en-NZ"/>
              </w:rPr>
            </w:pPr>
            <w:r w:rsidRPr="009B6EE6">
              <w:t xml:space="preserve">Tests  </w:t>
            </w:r>
          </w:p>
        </w:tc>
        <w:tc>
          <w:tcPr>
            <w:tcW w:w="4500" w:type="dxa"/>
            <w:tcBorders>
              <w:top w:val="nil"/>
              <w:left w:val="nil"/>
              <w:bottom w:val="nil"/>
              <w:right w:val="nil"/>
            </w:tcBorders>
            <w:tcMar>
              <w:top w:w="0" w:type="dxa"/>
              <w:left w:w="62" w:type="dxa"/>
              <w:bottom w:w="0" w:type="dxa"/>
              <w:right w:w="62" w:type="dxa"/>
            </w:tcMar>
          </w:tcPr>
          <w:p w:rsidR="00000000" w:rsidP="009B6EE6">
            <w:pPr>
              <w:pStyle w:val="BodyText"/>
              <w:rPr>
                <w:lang w:val="en-NZ"/>
              </w:rPr>
            </w:pPr>
            <w:r w:rsidRPr="009B6EE6">
              <w:t>May typically address the following items: near end cross talk, attenuatio</w:t>
            </w:r>
            <w:r w:rsidRPr="009B6EE6">
              <w:t xml:space="preserve">n, length, balance, noise levels, pair assignment, reversals, short circuits, open circuits, insulation resistance, reflection, signal loss, expected response times, speed </w:t>
            </w:r>
          </w:p>
        </w:tc>
      </w:tr>
      <w:tr w:rsidTr="00B43CB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9B6EE6">
            <w:pPr>
              <w:pStyle w:val="BodyText"/>
              <w:rPr>
                <w:lang w:val="en-NZ"/>
              </w:rPr>
            </w:pPr>
          </w:p>
        </w:tc>
      </w:tr>
      <w:tr w:rsidTr="00B43CB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B6EE6">
            <w:pPr>
              <w:pStyle w:val="BodyText"/>
              <w:rPr>
                <w:lang w:val="en-NZ"/>
              </w:rPr>
            </w:pPr>
            <w:r w:rsidRPr="009B6EE6">
              <w:t xml:space="preserve">Test devices  </w:t>
            </w:r>
          </w:p>
        </w:tc>
        <w:tc>
          <w:tcPr>
            <w:tcW w:w="4500" w:type="dxa"/>
            <w:tcBorders>
              <w:top w:val="nil"/>
              <w:left w:val="nil"/>
              <w:bottom w:val="nil"/>
              <w:right w:val="nil"/>
            </w:tcBorders>
            <w:tcMar>
              <w:top w:w="0" w:type="dxa"/>
              <w:left w:w="62" w:type="dxa"/>
              <w:bottom w:w="0" w:type="dxa"/>
              <w:right w:w="62" w:type="dxa"/>
            </w:tcMar>
          </w:tcPr>
          <w:p w:rsidR="00000000" w:rsidP="009B6EE6">
            <w:pPr>
              <w:pStyle w:val="BodyText"/>
              <w:rPr>
                <w:lang w:val="en-NZ"/>
              </w:rPr>
            </w:pPr>
            <w:r w:rsidRPr="009B6EE6">
              <w:t xml:space="preserve">May include: TDR (Time Domain Reflectometer), OTDR (Optical TDR), multimeter, proprietary devices, oscillator and probe set, insulation resistance tester, pulse echo, hand held cable testers, signal level meter, spectrum analyser, signal generator </w:t>
            </w:r>
          </w:p>
        </w:tc>
      </w:tr>
      <w:tr w:rsidTr="00B43CB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9B6EE6">
            <w:pPr>
              <w:pStyle w:val="BodyText"/>
              <w:rPr>
                <w:lang w:val="en-NZ"/>
              </w:rPr>
            </w:pPr>
          </w:p>
        </w:tc>
      </w:tr>
      <w:tr w:rsidTr="00B43CB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B6EE6">
            <w:pPr>
              <w:pStyle w:val="BodyText"/>
              <w:rPr>
                <w:lang w:val="en-NZ"/>
              </w:rPr>
            </w:pPr>
            <w:r w:rsidRPr="009B6EE6">
              <w:t>The</w:t>
            </w:r>
            <w:r w:rsidRPr="009B6EE6">
              <w:t xml:space="preserve">se factors  </w:t>
            </w:r>
          </w:p>
        </w:tc>
        <w:tc>
          <w:tcPr>
            <w:tcW w:w="4500" w:type="dxa"/>
            <w:tcBorders>
              <w:top w:val="nil"/>
              <w:left w:val="nil"/>
              <w:bottom w:val="nil"/>
              <w:right w:val="nil"/>
            </w:tcBorders>
            <w:tcMar>
              <w:top w:w="0" w:type="dxa"/>
              <w:left w:w="62" w:type="dxa"/>
              <w:bottom w:w="0" w:type="dxa"/>
              <w:right w:w="62" w:type="dxa"/>
            </w:tcMar>
          </w:tcPr>
          <w:p w:rsidR="00000000" w:rsidP="009B6EE6">
            <w:pPr>
              <w:pStyle w:val="BodyText"/>
              <w:rPr>
                <w:lang w:val="en-NZ"/>
              </w:rPr>
            </w:pPr>
            <w:r w:rsidRPr="009B6EE6">
              <w:t xml:space="preserve">May impact on the operating environment: dirt, humidity, dust, temperature, magnetic radiation, vibration, radio frequency </w:t>
            </w:r>
          </w:p>
        </w:tc>
      </w:tr>
      <w:tr w:rsidTr="00B43CB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9B6EE6">
            <w:pPr>
              <w:pStyle w:val="BodyText"/>
              <w:rPr>
                <w:lang w:val="en-NZ"/>
              </w:rPr>
            </w:pPr>
          </w:p>
        </w:tc>
      </w:tr>
      <w:tr w:rsidTr="00B43CB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B6EE6">
            <w:pPr>
              <w:pStyle w:val="BodyText"/>
              <w:rPr>
                <w:lang w:val="en-NZ"/>
              </w:rPr>
            </w:pPr>
            <w:r w:rsidRPr="009B6EE6">
              <w:t xml:space="preserve">Test results  </w:t>
            </w:r>
          </w:p>
        </w:tc>
        <w:tc>
          <w:tcPr>
            <w:tcW w:w="4500" w:type="dxa"/>
            <w:tcBorders>
              <w:top w:val="nil"/>
              <w:left w:val="nil"/>
              <w:bottom w:val="nil"/>
              <w:right w:val="nil"/>
            </w:tcBorders>
            <w:tcMar>
              <w:top w:w="0" w:type="dxa"/>
              <w:left w:w="62" w:type="dxa"/>
              <w:bottom w:w="0" w:type="dxa"/>
              <w:right w:w="62" w:type="dxa"/>
            </w:tcMar>
          </w:tcPr>
          <w:p w:rsidR="00000000" w:rsidP="009B6EE6">
            <w:pPr>
              <w:pStyle w:val="BodyText"/>
              <w:rPr>
                <w:lang w:val="en-NZ"/>
              </w:rPr>
            </w:pPr>
            <w:r w:rsidRPr="009B6EE6">
              <w:t xml:space="preserve">May be documented: written on paper forms, record cards, direct to computer disks </w:t>
            </w:r>
          </w:p>
        </w:tc>
      </w:tr>
      <w:tr w:rsidTr="00B43CB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9B6EE6">
            <w:pPr>
              <w:pStyle w:val="BodyText"/>
              <w:rPr>
                <w:lang w:val="en-NZ"/>
              </w:rPr>
            </w:pPr>
          </w:p>
        </w:tc>
      </w:tr>
      <w:tr w:rsidTr="00B43CB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B6EE6">
            <w:pPr>
              <w:pStyle w:val="BodyText"/>
              <w:rPr>
                <w:lang w:val="en-NZ"/>
              </w:rPr>
            </w:pPr>
            <w:r w:rsidRPr="009B6EE6">
              <w:t>Manufacturers</w:t>
            </w:r>
            <w:r w:rsidRPr="009B6EE6">
              <w:t xml:space="preserve"> specifications  </w:t>
            </w:r>
          </w:p>
        </w:tc>
        <w:tc>
          <w:tcPr>
            <w:tcW w:w="4500" w:type="dxa"/>
            <w:tcBorders>
              <w:top w:val="nil"/>
              <w:left w:val="nil"/>
              <w:bottom w:val="nil"/>
              <w:right w:val="nil"/>
            </w:tcBorders>
            <w:tcMar>
              <w:top w:w="0" w:type="dxa"/>
              <w:left w:w="62" w:type="dxa"/>
              <w:bottom w:w="0" w:type="dxa"/>
              <w:right w:w="62" w:type="dxa"/>
            </w:tcMar>
          </w:tcPr>
          <w:p w:rsidR="00000000" w:rsidP="009B6EE6">
            <w:pPr>
              <w:pStyle w:val="BodyText"/>
              <w:rPr>
                <w:lang w:val="en-NZ"/>
              </w:rPr>
            </w:pPr>
            <w:r w:rsidRPr="009B6EE6">
              <w:t xml:space="preserve">May be found in: printed instruction leaflets or pre printed on materials or on product packaging </w:t>
            </w:r>
          </w:p>
        </w:tc>
      </w:tr>
      <w:tr w:rsidTr="00B43CB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9B6EE6">
            <w:pPr>
              <w:pStyle w:val="BodyText"/>
              <w:rPr>
                <w:lang w:val="en-NZ"/>
              </w:rPr>
            </w:pPr>
          </w:p>
        </w:tc>
      </w:tr>
      <w:tr w:rsidTr="00B43CB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B6EE6">
            <w:pPr>
              <w:pStyle w:val="BodyText"/>
              <w:rPr>
                <w:lang w:val="en-NZ"/>
              </w:rPr>
            </w:pPr>
            <w:r w:rsidRPr="009B6EE6">
              <w:t xml:space="preserve">'Industry standards'  </w:t>
            </w:r>
          </w:p>
        </w:tc>
        <w:tc>
          <w:tcPr>
            <w:tcW w:w="4500" w:type="dxa"/>
            <w:tcBorders>
              <w:top w:val="nil"/>
              <w:left w:val="nil"/>
              <w:bottom w:val="nil"/>
              <w:right w:val="nil"/>
            </w:tcBorders>
            <w:tcMar>
              <w:top w:w="0" w:type="dxa"/>
              <w:left w:w="62" w:type="dxa"/>
              <w:bottom w:w="0" w:type="dxa"/>
              <w:right w:w="62" w:type="dxa"/>
            </w:tcMar>
          </w:tcPr>
          <w:p w:rsidR="00000000" w:rsidP="009B6EE6">
            <w:pPr>
              <w:pStyle w:val="BodyText"/>
              <w:rPr>
                <w:lang w:val="en-NZ"/>
              </w:rPr>
            </w:pPr>
            <w:r w:rsidRPr="009B6EE6">
              <w:t xml:space="preserve">May include: regulated or industry codes of practice and include appropriate ACMA technical standards </w:t>
            </w:r>
          </w:p>
        </w:tc>
      </w:tr>
      <w:tr w:rsidTr="00B43CB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9B6EE6">
            <w:pPr>
              <w:pStyle w:val="BodyText"/>
              <w:rPr>
                <w:lang w:val="en-NZ"/>
              </w:rPr>
            </w:pPr>
          </w:p>
        </w:tc>
      </w:tr>
      <w:tr w:rsidTr="00B43CB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B6EE6">
            <w:pPr>
              <w:pStyle w:val="BodyText"/>
              <w:rPr>
                <w:lang w:val="en-NZ"/>
              </w:rPr>
            </w:pPr>
            <w:r w:rsidRPr="009B6EE6">
              <w:t xml:space="preserve">All cable used  </w:t>
            </w:r>
          </w:p>
        </w:tc>
        <w:tc>
          <w:tcPr>
            <w:tcW w:w="4500" w:type="dxa"/>
            <w:tcBorders>
              <w:top w:val="nil"/>
              <w:left w:val="nil"/>
              <w:bottom w:val="nil"/>
              <w:right w:val="nil"/>
            </w:tcBorders>
            <w:tcMar>
              <w:top w:w="0" w:type="dxa"/>
              <w:left w:w="62" w:type="dxa"/>
              <w:bottom w:w="0" w:type="dxa"/>
              <w:right w:w="62" w:type="dxa"/>
            </w:tcMar>
          </w:tcPr>
          <w:p w:rsidR="00000000" w:rsidP="009B6EE6">
            <w:pPr>
              <w:pStyle w:val="BodyText"/>
              <w:rPr>
                <w:lang w:val="en-NZ"/>
              </w:rPr>
            </w:pPr>
            <w:r w:rsidRPr="009B6EE6">
              <w:t xml:space="preserve">Must be compliant with: appropriate ACMA technical standard requirements (eg. for underground, aerial, Category 5 or Category 6, 6A, 7 or 7A, UTP etc) </w:t>
            </w:r>
          </w:p>
        </w:tc>
      </w:tr>
      <w:tr w:rsidTr="00B43CB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9B6EE6">
            <w:pPr>
              <w:pStyle w:val="BodyText"/>
              <w:rPr>
                <w:lang w:val="en-NZ"/>
              </w:rPr>
            </w:pPr>
          </w:p>
        </w:tc>
      </w:tr>
      <w:tr w:rsidTr="00B43CB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B6EE6">
            <w:pPr>
              <w:pStyle w:val="BodyText"/>
              <w:rPr>
                <w:lang w:val="en-NZ"/>
              </w:rPr>
            </w:pPr>
            <w:r w:rsidRPr="009B6EE6">
              <w:t xml:space="preserve">All cabling products other than cable  </w:t>
            </w:r>
          </w:p>
        </w:tc>
        <w:tc>
          <w:tcPr>
            <w:tcW w:w="4500" w:type="dxa"/>
            <w:tcBorders>
              <w:top w:val="nil"/>
              <w:left w:val="nil"/>
              <w:bottom w:val="nil"/>
              <w:right w:val="nil"/>
            </w:tcBorders>
            <w:tcMar>
              <w:top w:w="0" w:type="dxa"/>
              <w:left w:w="62" w:type="dxa"/>
              <w:bottom w:w="0" w:type="dxa"/>
              <w:right w:w="62" w:type="dxa"/>
            </w:tcMar>
          </w:tcPr>
          <w:p w:rsidR="00000000" w:rsidP="009B6EE6">
            <w:pPr>
              <w:pStyle w:val="BodyText"/>
              <w:rPr>
                <w:lang w:val="en-NZ"/>
              </w:rPr>
            </w:pPr>
            <w:r w:rsidRPr="009B6EE6">
              <w:t xml:space="preserve">Must be ACMA approved </w:t>
            </w:r>
          </w:p>
        </w:tc>
      </w:tr>
      <w:tr w:rsidTr="00B43CB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9B6EE6">
            <w:pPr>
              <w:pStyle w:val="BodyText"/>
              <w:rPr>
                <w:lang w:val="en-NZ"/>
              </w:rPr>
            </w:pPr>
          </w:p>
        </w:tc>
      </w:tr>
      <w:tr w:rsidTr="00B43CB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9B6EE6">
            <w:pPr>
              <w:pStyle w:val="BodyText"/>
              <w:rPr>
                <w:lang w:val="en-NZ"/>
              </w:rPr>
            </w:pPr>
            <w:r w:rsidRPr="009B6EE6">
              <w:t>Relevant legisla</w:t>
            </w:r>
            <w:r w:rsidRPr="009B6EE6">
              <w:t>tion, codes, regulations and standards include:</w:t>
            </w:r>
          </w:p>
        </w:tc>
        <w:tc>
          <w:tcPr>
            <w:tcW w:w="4500" w:type="dxa"/>
            <w:tcBorders>
              <w:top w:val="nil"/>
              <w:left w:val="nil"/>
              <w:bottom w:val="nil"/>
              <w:right w:val="nil"/>
            </w:tcBorders>
            <w:tcMar>
              <w:top w:w="0" w:type="dxa"/>
              <w:left w:w="62" w:type="dxa"/>
              <w:bottom w:w="0" w:type="dxa"/>
              <w:right w:w="62" w:type="dxa"/>
            </w:tcMar>
          </w:tcPr>
          <w:p w:rsidR="00000000" w:rsidRPr="009B6EE6" w:rsidP="009B6EE6">
            <w:pPr>
              <w:pStyle w:val="BodyText"/>
            </w:pPr>
            <w:r w:rsidRPr="009B6EE6">
              <w:t>Technical Standards AS/ACIF S009:2006</w:t>
            </w:r>
          </w:p>
          <w:p w:rsidR="00000000" w:rsidRPr="009B6EE6" w:rsidP="009B6EE6">
            <w:pPr>
              <w:pStyle w:val="BodyText"/>
            </w:pPr>
            <w:r w:rsidRPr="009B6EE6">
              <w:t>AS Communications Cabling Manaul (CCM) Volume 1</w:t>
            </w:r>
          </w:p>
          <w:p w:rsidR="00000000" w:rsidRPr="009B6EE6" w:rsidP="009B6EE6">
            <w:pPr>
              <w:pStyle w:val="BodyText"/>
            </w:pPr>
            <w:r w:rsidRPr="009B6EE6">
              <w:t>ACIF Standards and Codes</w:t>
            </w:r>
          </w:p>
          <w:p w:rsidR="00000000" w:rsidRPr="009B6EE6" w:rsidP="009B6EE6">
            <w:pPr>
              <w:pStyle w:val="BodyText"/>
            </w:pPr>
            <w:r w:rsidRPr="009B6EE6">
              <w:t>AS/NZS 3000:2007</w:t>
            </w:r>
          </w:p>
          <w:p w:rsidR="00000000" w:rsidRPr="009B6EE6" w:rsidP="009B6EE6">
            <w:pPr>
              <w:pStyle w:val="BodyText"/>
            </w:pPr>
            <w:r w:rsidRPr="009B6EE6">
              <w:t>AS/NZS 3080:2003</w:t>
            </w:r>
          </w:p>
          <w:p w:rsidR="00000000" w:rsidRPr="009B6EE6" w:rsidP="009B6EE6">
            <w:pPr>
              <w:pStyle w:val="BodyText"/>
            </w:pPr>
            <w:r w:rsidRPr="009B6EE6">
              <w:t>AS/NZS ISO/IEC 15018:2005</w:t>
            </w:r>
          </w:p>
          <w:p w:rsidR="00000000" w:rsidRPr="009B6EE6" w:rsidP="009B6EE6">
            <w:pPr>
              <w:pStyle w:val="BodyText"/>
            </w:pPr>
            <w:r w:rsidRPr="009B6EE6">
              <w:t xml:space="preserve">AS/NZS ISO/IEC 24702:2007 </w:t>
            </w:r>
          </w:p>
          <w:p w:rsidR="00000000" w:rsidRPr="009B6EE6" w:rsidP="009B6EE6">
            <w:pPr>
              <w:pStyle w:val="BodyText"/>
            </w:pPr>
            <w:r w:rsidRPr="009B6EE6">
              <w:t>AS/NZS IEC 61935.1:2006</w:t>
            </w:r>
          </w:p>
          <w:p w:rsidR="00000000" w:rsidRPr="009B6EE6" w:rsidP="009B6EE6">
            <w:pPr>
              <w:pStyle w:val="BodyText"/>
            </w:pPr>
            <w:r w:rsidRPr="009B6EE6">
              <w:t>AS/NZS ISO/IEC 14763.3:2007</w:t>
            </w:r>
          </w:p>
          <w:p w:rsidR="00000000" w:rsidRPr="009B6EE6" w:rsidP="009B6EE6">
            <w:pPr>
              <w:pStyle w:val="BodyText"/>
            </w:pPr>
            <w:r w:rsidRPr="009B6EE6">
              <w:t>Occupational Health and Safety</w:t>
            </w:r>
          </w:p>
          <w:p w:rsidR="00000000" w:rsidRPr="009B6EE6" w:rsidP="009B6EE6">
            <w:pPr>
              <w:pStyle w:val="BodyText"/>
            </w:pPr>
            <w:r w:rsidRPr="009B6EE6">
              <w:t>National Association of Testing Authorities requirements</w:t>
            </w:r>
          </w:p>
          <w:p w:rsidR="00000000" w:rsidP="009B6EE6">
            <w:pPr>
              <w:pStyle w:val="BodyText"/>
              <w:rPr>
                <w:lang w:val="en-NZ"/>
              </w:rPr>
            </w:pPr>
            <w:r w:rsidRPr="009B6EE6">
              <w:t xml:space="preserve">Cabling security codes and regulations </w:t>
            </w:r>
          </w:p>
        </w:tc>
      </w:tr>
      <w:tr w:rsidTr="00B43CB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9B6EE6" w:rsidP="009B6EE6">
            <w:pPr>
              <w:pStyle w:val="BodyText"/>
            </w:pPr>
          </w:p>
        </w:tc>
      </w:tr>
    </w:tbl>
    <w:p w:rsidR="00000000" w:rsidRPr="009B6EE6" w:rsidP="009B6EE6">
      <w:pPr>
        <w:pStyle w:val="BodyText"/>
      </w:pPr>
    </w:p>
    <w:p w:rsidR="00000000" w:rsidRPr="009B6EE6" w:rsidP="009B6EE6">
      <w:pPr>
        <w:pStyle w:val="AllowPageBreak"/>
      </w:pPr>
    </w:p>
    <w:p w:rsidR="00000000" w:rsidRPr="009B6EE6" w:rsidP="009B6EE6">
      <w:pPr>
        <w:pStyle w:val="Heading1"/>
      </w:pPr>
      <w:bookmarkStart w:id="12" w:name="O_320561"/>
      <w:bookmarkEnd w:id="12"/>
      <w:r w:rsidRPr="009B6EE6">
        <w:t>Unit Sector(s)</w:t>
      </w:r>
    </w:p>
    <w:p w:rsidR="00000000" w:rsidRPr="009B6EE6" w:rsidP="009B6EE6">
      <w:pPr>
        <w:pStyle w:val="BodyText"/>
      </w:pPr>
      <w:r w:rsidRPr="009B6EE6">
        <w:t>Not applicable.</w:t>
      </w:r>
    </w:p>
    <w:p w:rsidR="00000000" w:rsidRPr="009B6EE6" w:rsidP="009B6EE6"/>
    <w:sectPr w:rsidSect="009B6EE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EE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43CB6" w:rsidP="00B43CB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EE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3CB6" w:rsidP="009B6EE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43CB6" w:rsidP="009B6EE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43CB6" w:rsidP="009B6EE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EE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43CB6" w:rsidP="00B43CB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EE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3CB6" w:rsidP="009B6EE6">
    <w:pPr>
      <w:pStyle w:val="Header"/>
      <w:framePr w:wrap="around"/>
    </w:pPr>
    <w:r>
      <w:fldChar w:fldCharType="begin"/>
    </w:r>
    <w:r>
      <w:instrText xml:space="preserve"> TITLE   \* MERGEFORMAT </w:instrText>
    </w:r>
    <w:r>
      <w:fldChar w:fldCharType="separate"/>
    </w:r>
    <w:r>
      <w:t>ICTTC013D Perform an accurate customer premises cable and system test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43CB6" w:rsidP="009B6EE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6EE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B6EE6"/>
    <w:pPr>
      <w:spacing w:before="360" w:after="60"/>
      <w:outlineLvl w:val="0"/>
    </w:pPr>
    <w:rPr>
      <w:sz w:val="32"/>
    </w:rPr>
  </w:style>
  <w:style w:type="paragraph" w:styleId="Heading2">
    <w:name w:val="heading 2"/>
    <w:basedOn w:val="HeadingBase"/>
    <w:next w:val="BodyText"/>
    <w:link w:val="Heading2Char"/>
    <w:qFormat/>
    <w:rsid w:val="009B6EE6"/>
    <w:pPr>
      <w:keepLines/>
      <w:spacing w:before="240" w:after="120"/>
      <w:outlineLvl w:val="1"/>
    </w:pPr>
    <w:rPr>
      <w:sz w:val="28"/>
      <w:szCs w:val="40"/>
    </w:rPr>
  </w:style>
  <w:style w:type="paragraph" w:styleId="Heading3">
    <w:name w:val="heading 3"/>
    <w:basedOn w:val="HeadingBase"/>
    <w:next w:val="BodyText"/>
    <w:link w:val="Heading3Char"/>
    <w:qFormat/>
    <w:rsid w:val="009B6EE6"/>
    <w:pPr>
      <w:spacing w:before="180" w:after="120"/>
      <w:outlineLvl w:val="2"/>
    </w:pPr>
    <w:rPr>
      <w:spacing w:val="-10"/>
      <w:kern w:val="32"/>
    </w:rPr>
  </w:style>
  <w:style w:type="paragraph" w:styleId="Heading4">
    <w:name w:val="heading 4"/>
    <w:basedOn w:val="HeadingBase"/>
    <w:next w:val="BodyText"/>
    <w:link w:val="Heading4Char"/>
    <w:qFormat/>
    <w:rsid w:val="009B6EE6"/>
    <w:pPr>
      <w:spacing w:before="160" w:after="120"/>
      <w:outlineLvl w:val="3"/>
    </w:pPr>
    <w:rPr>
      <w:sz w:val="22"/>
    </w:rPr>
  </w:style>
  <w:style w:type="paragraph" w:styleId="Heading5">
    <w:name w:val="heading 5"/>
    <w:basedOn w:val="HeadingBase"/>
    <w:next w:val="Normal"/>
    <w:link w:val="Heading5Char"/>
    <w:qFormat/>
    <w:rsid w:val="009B6EE6"/>
    <w:pPr>
      <w:spacing w:before="80"/>
      <w:outlineLvl w:val="4"/>
    </w:pPr>
    <w:rPr>
      <w:color w:val="918585"/>
      <w:sz w:val="20"/>
    </w:rPr>
  </w:style>
  <w:style w:type="paragraph" w:styleId="Heading6">
    <w:name w:val="heading 6"/>
    <w:basedOn w:val="HeadingBase"/>
    <w:next w:val="Normal"/>
    <w:link w:val="Heading6Char"/>
    <w:qFormat/>
    <w:rsid w:val="009B6EE6"/>
    <w:pPr>
      <w:spacing w:before="60"/>
      <w:outlineLvl w:val="5"/>
    </w:pPr>
    <w:rPr>
      <w:color w:val="918585"/>
      <w:sz w:val="20"/>
    </w:rPr>
  </w:style>
  <w:style w:type="paragraph" w:styleId="Heading7">
    <w:name w:val="heading 7"/>
    <w:basedOn w:val="Normal"/>
    <w:next w:val="Normal"/>
    <w:link w:val="Heading7Char"/>
    <w:qFormat/>
    <w:rsid w:val="009B6EE6"/>
    <w:pPr>
      <w:ind w:left="720"/>
      <w:outlineLvl w:val="6"/>
    </w:pPr>
    <w:rPr>
      <w:i/>
    </w:rPr>
  </w:style>
  <w:style w:type="paragraph" w:styleId="Heading8">
    <w:name w:val="heading 8"/>
    <w:basedOn w:val="Normal"/>
    <w:next w:val="Normal"/>
    <w:link w:val="Heading8Char"/>
    <w:qFormat/>
    <w:rsid w:val="009B6EE6"/>
    <w:pPr>
      <w:ind w:left="720"/>
      <w:outlineLvl w:val="7"/>
    </w:pPr>
    <w:rPr>
      <w:i/>
    </w:rPr>
  </w:style>
  <w:style w:type="paragraph" w:styleId="Heading9">
    <w:name w:val="heading 9"/>
    <w:basedOn w:val="Normal"/>
    <w:next w:val="Normal"/>
    <w:link w:val="Heading9Char"/>
    <w:qFormat/>
    <w:rsid w:val="009B6EE6"/>
    <w:pPr>
      <w:ind w:left="720"/>
      <w:outlineLvl w:val="8"/>
    </w:pPr>
    <w:rPr>
      <w:i/>
    </w:rPr>
  </w:style>
  <w:style w:type="character" w:default="1" w:styleId="DefaultParagraphFont">
    <w:name w:val="Default Paragraph Font"/>
    <w:uiPriority w:val="1"/>
    <w:unhideWhenUsed/>
    <w:rsid w:val="009B6EE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B6EE6"/>
  </w:style>
  <w:style w:type="character" w:customStyle="1" w:styleId="Heading1Char">
    <w:name w:val="Heading 1 Char"/>
    <w:basedOn w:val="DefaultParagraphFont"/>
    <w:link w:val="Heading1"/>
    <w:rsid w:val="009B6EE6"/>
    <w:rPr>
      <w:rFonts w:ascii="Times New Roman" w:eastAsia="Times New Roman" w:hAnsi="Times New Roman" w:cs="Times New Roman"/>
      <w:b/>
      <w:sz w:val="32"/>
      <w:szCs w:val="20"/>
      <w:lang w:eastAsia="en-US"/>
    </w:rPr>
  </w:style>
  <w:style w:type="paragraph" w:styleId="BodyText">
    <w:name w:val="Body Text"/>
    <w:basedOn w:val="Normal"/>
    <w:link w:val="BodyTextChar"/>
    <w:rsid w:val="009B6EE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B6EE6"/>
    <w:rPr>
      <w:rFonts w:ascii="Times New Roman" w:eastAsia="Times New Roman" w:hAnsi="Times New Roman" w:cs="Times New Roman"/>
      <w:sz w:val="24"/>
      <w:lang w:val="en-US" w:eastAsia="en-US"/>
    </w:rPr>
  </w:style>
  <w:style w:type="paragraph" w:styleId="Footer">
    <w:name w:val="footer"/>
    <w:basedOn w:val="Normal"/>
    <w:link w:val="FooterChar"/>
    <w:rsid w:val="009B6EE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B6EE6"/>
    <w:rPr>
      <w:rFonts w:ascii="Times New Roman" w:eastAsia="Times New Roman" w:hAnsi="Times New Roman" w:cs="Times New Roman"/>
      <w:sz w:val="16"/>
      <w:lang w:val="en-US" w:eastAsia="en-US"/>
    </w:rPr>
  </w:style>
  <w:style w:type="character" w:customStyle="1" w:styleId="SpecialBold">
    <w:name w:val="Special Bold"/>
    <w:basedOn w:val="DefaultParagraphFont"/>
    <w:rsid w:val="009B6EE6"/>
    <w:rPr>
      <w:b/>
      <w:spacing w:val="0"/>
    </w:rPr>
  </w:style>
  <w:style w:type="paragraph" w:styleId="Header">
    <w:name w:val="header"/>
    <w:basedOn w:val="Normal"/>
    <w:link w:val="HeaderChar"/>
    <w:rsid w:val="009B6EE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B6EE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B6EE6"/>
    <w:pPr>
      <w:spacing w:before="240" w:after="120"/>
      <w:outlineLvl w:val="0"/>
    </w:pPr>
    <w:rPr>
      <w:rFonts w:ascii="Times New Roman" w:hAnsi="Times New Roman"/>
      <w:b/>
      <w:sz w:val="28"/>
    </w:rPr>
  </w:style>
  <w:style w:type="paragraph" w:customStyle="1" w:styleId="AllowPageBreak">
    <w:name w:val="AllowPageBreak"/>
    <w:rsid w:val="009B6EE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B6EE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B6EE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B6EE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B6EE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B6EE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B6EE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B6EE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B6EE6"/>
    <w:rPr>
      <w:rFonts w:ascii="Courier New" w:eastAsia="Times New Roman" w:hAnsi="Courier New" w:cs="Times New Roman"/>
      <w:i/>
      <w:szCs w:val="20"/>
      <w:lang w:val="en-US" w:eastAsia="en-US"/>
    </w:rPr>
  </w:style>
  <w:style w:type="paragraph" w:customStyle="1" w:styleId="HeadingBase">
    <w:name w:val="Heading Base"/>
    <w:rsid w:val="009B6EE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B6EE6"/>
    <w:pPr>
      <w:tabs>
        <w:tab w:val="right" w:leader="dot" w:pos="9072"/>
      </w:tabs>
      <w:ind w:left="567"/>
    </w:pPr>
    <w:rPr>
      <w:szCs w:val="22"/>
    </w:rPr>
  </w:style>
  <w:style w:type="paragraph" w:customStyle="1" w:styleId="TOCBase">
    <w:name w:val="TOC Base"/>
    <w:rsid w:val="009B6EE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B6EE6"/>
    <w:pPr>
      <w:tabs>
        <w:tab w:val="right" w:leader="dot" w:pos="9072"/>
      </w:tabs>
      <w:spacing w:before="40" w:after="40"/>
      <w:ind w:left="284"/>
    </w:pPr>
    <w:rPr>
      <w:rFonts w:ascii="Times New Roman" w:hAnsi="Times New Roman"/>
    </w:rPr>
  </w:style>
  <w:style w:type="paragraph" w:styleId="TOC1">
    <w:name w:val="toc 1"/>
    <w:basedOn w:val="TOCBase"/>
    <w:next w:val="Normal"/>
    <w:rsid w:val="009B6EE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B6EE6"/>
    <w:pPr>
      <w:spacing w:before="5040"/>
      <w:jc w:val="center"/>
    </w:pPr>
    <w:rPr>
      <w:sz w:val="48"/>
      <w:szCs w:val="72"/>
      <w:lang w:val="en-US"/>
    </w:rPr>
  </w:style>
  <w:style w:type="character" w:customStyle="1" w:styleId="TitleChar">
    <w:name w:val="Title Char"/>
    <w:basedOn w:val="DefaultParagraphFont"/>
    <w:link w:val="Title"/>
    <w:rsid w:val="009B6EE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B6EE6"/>
    <w:pPr>
      <w:tabs>
        <w:tab w:val="left" w:pos="3600"/>
        <w:tab w:val="left" w:pos="3958"/>
      </w:tabs>
    </w:pPr>
  </w:style>
  <w:style w:type="paragraph" w:styleId="List">
    <w:name w:val="List"/>
    <w:basedOn w:val="BodyText"/>
    <w:next w:val="BodyText"/>
    <w:rsid w:val="009B6EE6"/>
    <w:pPr>
      <w:tabs>
        <w:tab w:val="left" w:pos="340"/>
      </w:tabs>
      <w:spacing w:before="60" w:after="60"/>
      <w:ind w:left="340" w:hanging="340"/>
    </w:pPr>
  </w:style>
  <w:style w:type="paragraph" w:styleId="ListBullet">
    <w:name w:val="List Bullet"/>
    <w:basedOn w:val="List"/>
    <w:rsid w:val="009B6EE6"/>
    <w:pPr>
      <w:numPr>
        <w:numId w:val="11"/>
      </w:numPr>
      <w:tabs>
        <w:tab w:val="clear" w:pos="340"/>
      </w:tabs>
      <w:spacing w:before="40" w:after="40"/>
    </w:pPr>
  </w:style>
  <w:style w:type="paragraph" w:customStyle="1" w:styleId="Note">
    <w:name w:val="Note"/>
    <w:basedOn w:val="BodyText"/>
    <w:rsid w:val="009B6EE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B6EE6"/>
    <w:pPr>
      <w:framePr w:wrap="auto" w:hAnchor="text" w:y="6049"/>
    </w:pPr>
    <w:rPr>
      <w:color w:val="000000"/>
      <w:sz w:val="40"/>
    </w:rPr>
  </w:style>
  <w:style w:type="paragraph" w:customStyle="1" w:styleId="TOCTitle">
    <w:name w:val="TOCTitle"/>
    <w:basedOn w:val="Heading1"/>
    <w:rsid w:val="009B6EE6"/>
    <w:pPr>
      <w:spacing w:after="240"/>
      <w:jc w:val="center"/>
      <w:outlineLvl w:val="9"/>
    </w:pPr>
    <w:rPr>
      <w:caps/>
    </w:rPr>
  </w:style>
  <w:style w:type="paragraph" w:customStyle="1" w:styleId="Version">
    <w:name w:val="Version"/>
    <w:rsid w:val="009B6EE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B6EE6"/>
    <w:pPr>
      <w:numPr>
        <w:numId w:val="12"/>
      </w:numPr>
      <w:tabs>
        <w:tab w:val="clear" w:pos="680"/>
      </w:tabs>
    </w:pPr>
  </w:style>
  <w:style w:type="paragraph" w:styleId="Index1">
    <w:name w:val="index 1"/>
    <w:basedOn w:val="Normal"/>
    <w:next w:val="Normal"/>
    <w:semiHidden/>
    <w:rsid w:val="009B6EE6"/>
    <w:pPr>
      <w:keepNext w:val="0"/>
      <w:tabs>
        <w:tab w:val="right" w:pos="4176"/>
      </w:tabs>
      <w:ind w:left="198" w:hanging="198"/>
    </w:pPr>
    <w:rPr>
      <w:rFonts w:ascii="Garamond" w:hAnsi="Garamond"/>
    </w:rPr>
  </w:style>
  <w:style w:type="paragraph" w:styleId="IndexHeading">
    <w:name w:val="index heading"/>
    <w:basedOn w:val="Normal"/>
    <w:next w:val="Index1"/>
    <w:semiHidden/>
    <w:rsid w:val="009B6EE6"/>
    <w:pPr>
      <w:spacing w:before="120" w:after="120"/>
    </w:pPr>
    <w:rPr>
      <w:rFonts w:ascii="Arial" w:hAnsi="Arial"/>
      <w:b/>
      <w:color w:val="918585"/>
      <w:sz w:val="24"/>
    </w:rPr>
  </w:style>
  <w:style w:type="paragraph" w:customStyle="1" w:styleId="Chapter">
    <w:name w:val="Chapter"/>
    <w:basedOn w:val="Normal"/>
    <w:rsid w:val="009B6EE6"/>
    <w:pPr>
      <w:spacing w:before="240"/>
    </w:pPr>
    <w:rPr>
      <w:rFonts w:ascii="Times New Roman" w:hAnsi="Times New Roman"/>
      <w:smallCaps/>
      <w:spacing w:val="80"/>
      <w:sz w:val="28"/>
    </w:rPr>
  </w:style>
  <w:style w:type="paragraph" w:customStyle="1" w:styleId="InChapter">
    <w:name w:val="InChapter"/>
    <w:basedOn w:val="Heading3"/>
    <w:rsid w:val="009B6EE6"/>
    <w:pPr>
      <w:spacing w:after="240"/>
      <w:outlineLvl w:val="9"/>
    </w:pPr>
    <w:rPr>
      <w:noProof/>
    </w:rPr>
  </w:style>
  <w:style w:type="paragraph" w:styleId="Index2">
    <w:name w:val="index 2"/>
    <w:basedOn w:val="Normal"/>
    <w:next w:val="Normal"/>
    <w:semiHidden/>
    <w:rsid w:val="009B6EE6"/>
    <w:pPr>
      <w:tabs>
        <w:tab w:val="right" w:pos="4176"/>
      </w:tabs>
      <w:ind w:left="568" w:hanging="284"/>
    </w:pPr>
    <w:rPr>
      <w:rFonts w:ascii="Garamond" w:hAnsi="Garamond"/>
    </w:rPr>
  </w:style>
  <w:style w:type="paragraph" w:customStyle="1" w:styleId="Byline">
    <w:name w:val="Byline"/>
    <w:rsid w:val="009B6EE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B6EE6"/>
    <w:pPr>
      <w:tabs>
        <w:tab w:val="clear" w:pos="3600"/>
        <w:tab w:val="clear" w:pos="3958"/>
      </w:tabs>
      <w:jc w:val="right"/>
    </w:pPr>
  </w:style>
  <w:style w:type="character" w:styleId="Emphasis">
    <w:name w:val="Emphasis"/>
    <w:basedOn w:val="DefaultParagraphFont"/>
    <w:qFormat/>
    <w:rsid w:val="009B6EE6"/>
    <w:rPr>
      <w:i/>
    </w:rPr>
  </w:style>
  <w:style w:type="paragraph" w:styleId="Caption">
    <w:name w:val="caption"/>
    <w:basedOn w:val="BodyText"/>
    <w:next w:val="Normal"/>
    <w:qFormat/>
    <w:rsid w:val="009B6EE6"/>
    <w:pPr>
      <w:framePr w:w="2268" w:hSpace="181" w:vSpace="181" w:wrap="around" w:vAnchor="text" w:hAnchor="page" w:x="1135" w:y="285" w:anchorLock="1"/>
    </w:pPr>
    <w:rPr>
      <w:i/>
    </w:rPr>
  </w:style>
  <w:style w:type="paragraph" w:customStyle="1" w:styleId="MiniTOCTitle">
    <w:name w:val="MiniTOCTitle"/>
    <w:basedOn w:val="Heading4"/>
    <w:rsid w:val="009B6EE6"/>
    <w:pPr>
      <w:spacing w:before="240"/>
      <w:outlineLvl w:val="9"/>
    </w:pPr>
    <w:rPr>
      <w:noProof/>
      <w:sz w:val="24"/>
    </w:rPr>
  </w:style>
  <w:style w:type="paragraph" w:customStyle="1" w:styleId="MiniTOCItem">
    <w:name w:val="MiniTOCItem"/>
    <w:basedOn w:val="ListBullet"/>
    <w:rsid w:val="009B6EE6"/>
    <w:pPr>
      <w:numPr>
        <w:numId w:val="0"/>
      </w:numPr>
      <w:tabs>
        <w:tab w:val="right" w:leader="dot" w:pos="6521"/>
      </w:tabs>
      <w:spacing w:before="0" w:after="0"/>
    </w:pPr>
  </w:style>
  <w:style w:type="paragraph" w:customStyle="1" w:styleId="TOFTitle">
    <w:name w:val="TOFTitle"/>
    <w:basedOn w:val="TOCTitle"/>
    <w:rsid w:val="009B6EE6"/>
  </w:style>
  <w:style w:type="paragraph" w:styleId="TableofFigures">
    <w:name w:val="table of figures"/>
    <w:basedOn w:val="Normal"/>
    <w:next w:val="Normal"/>
    <w:semiHidden/>
    <w:rsid w:val="009B6EE6"/>
    <w:pPr>
      <w:tabs>
        <w:tab w:val="right" w:leader="dot" w:pos="9072"/>
      </w:tabs>
      <w:ind w:left="970" w:hanging="403"/>
    </w:pPr>
    <w:rPr>
      <w:rFonts w:ascii="Times New Roman" w:hAnsi="Times New Roman"/>
      <w:b/>
    </w:rPr>
  </w:style>
  <w:style w:type="paragraph" w:styleId="ListNumber">
    <w:name w:val="List Number"/>
    <w:basedOn w:val="List"/>
    <w:rsid w:val="009B6EE6"/>
    <w:pPr>
      <w:numPr>
        <w:numId w:val="9"/>
      </w:numPr>
    </w:pPr>
  </w:style>
  <w:style w:type="character" w:customStyle="1" w:styleId="WingdingSymbols">
    <w:name w:val="Wingding Symbols"/>
    <w:rsid w:val="009B6EE6"/>
    <w:rPr>
      <w:rFonts w:ascii="Wingdings" w:hAnsi="Wingdings"/>
    </w:rPr>
  </w:style>
  <w:style w:type="paragraph" w:customStyle="1" w:styleId="TableHeading">
    <w:name w:val="Table Heading"/>
    <w:basedOn w:val="HeadingBase"/>
    <w:rsid w:val="009B6EE6"/>
    <w:pPr>
      <w:keepLines/>
      <w:pBdr>
        <w:bottom w:val="single" w:sz="6" w:space="1" w:color="918585"/>
      </w:pBdr>
      <w:spacing w:before="240"/>
    </w:pPr>
  </w:style>
  <w:style w:type="character" w:customStyle="1" w:styleId="HotSpot">
    <w:name w:val="HotSpot"/>
    <w:rsid w:val="009B6EE6"/>
    <w:rPr>
      <w:color w:val="0033CC"/>
      <w:u w:val="none"/>
    </w:rPr>
  </w:style>
  <w:style w:type="paragraph" w:customStyle="1" w:styleId="BodyTextRight">
    <w:name w:val="Body Text Right"/>
    <w:basedOn w:val="BodyText"/>
    <w:rsid w:val="009B6EE6"/>
    <w:pPr>
      <w:spacing w:before="0" w:after="0"/>
      <w:jc w:val="right"/>
    </w:pPr>
  </w:style>
  <w:style w:type="paragraph" w:styleId="Index3">
    <w:name w:val="index 3"/>
    <w:basedOn w:val="ListNumber2"/>
    <w:next w:val="Normal"/>
    <w:semiHidden/>
    <w:rsid w:val="009B6EE6"/>
    <w:pPr>
      <w:numPr>
        <w:numId w:val="0"/>
      </w:numPr>
      <w:tabs>
        <w:tab w:val="right" w:leader="dot" w:pos="4176"/>
      </w:tabs>
    </w:pPr>
  </w:style>
  <w:style w:type="paragraph" w:styleId="ListNumber2">
    <w:name w:val="List Number 2"/>
    <w:basedOn w:val="List2"/>
    <w:rsid w:val="009B6EE6"/>
    <w:pPr>
      <w:numPr>
        <w:numId w:val="8"/>
      </w:numPr>
      <w:tabs>
        <w:tab w:val="clear" w:pos="1060"/>
      </w:tabs>
    </w:pPr>
  </w:style>
  <w:style w:type="paragraph" w:customStyle="1" w:styleId="MarginNote">
    <w:name w:val="Margin Note"/>
    <w:basedOn w:val="BodyText"/>
    <w:rsid w:val="009B6EE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B6EE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B6EE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B6EE6"/>
    <w:rPr>
      <w:sz w:val="32"/>
    </w:rPr>
  </w:style>
  <w:style w:type="paragraph" w:customStyle="1" w:styleId="HeadingProcedure">
    <w:name w:val="Heading Procedure"/>
    <w:basedOn w:val="HeadingBase"/>
    <w:next w:val="Normal"/>
    <w:rsid w:val="009B6EE6"/>
    <w:pPr>
      <w:tabs>
        <w:tab w:val="left" w:pos="0"/>
      </w:tabs>
      <w:spacing w:before="120" w:after="60"/>
    </w:pPr>
    <w:rPr>
      <w:i/>
      <w:color w:val="918585"/>
      <w:sz w:val="22"/>
    </w:rPr>
  </w:style>
  <w:style w:type="paragraph" w:customStyle="1" w:styleId="TableBodyText">
    <w:name w:val="Table Body Text"/>
    <w:basedOn w:val="BodyText"/>
    <w:rsid w:val="009B6EE6"/>
    <w:pPr>
      <w:spacing w:before="60" w:after="60"/>
    </w:pPr>
  </w:style>
  <w:style w:type="paragraph" w:styleId="ListContinue">
    <w:name w:val="List Continue"/>
    <w:basedOn w:val="List"/>
    <w:rsid w:val="009B6EE6"/>
    <w:pPr>
      <w:ind w:firstLine="0"/>
    </w:pPr>
  </w:style>
  <w:style w:type="paragraph" w:customStyle="1" w:styleId="ListNote">
    <w:name w:val="List Note"/>
    <w:basedOn w:val="List"/>
    <w:rsid w:val="009B6EE6"/>
    <w:pPr>
      <w:pBdr>
        <w:top w:val="single" w:sz="6" w:space="2" w:color="918585"/>
        <w:bottom w:val="single" w:sz="6" w:space="2" w:color="918585"/>
      </w:pBdr>
      <w:tabs>
        <w:tab w:val="left" w:pos="1021"/>
      </w:tabs>
      <w:ind w:firstLine="0"/>
    </w:pPr>
  </w:style>
  <w:style w:type="paragraph" w:customStyle="1" w:styleId="Warning">
    <w:name w:val="Warning"/>
    <w:basedOn w:val="BodyText"/>
    <w:rsid w:val="009B6EE6"/>
    <w:pPr>
      <w:shd w:val="clear" w:color="auto" w:fill="D9D9D9"/>
      <w:tabs>
        <w:tab w:val="left" w:pos="992"/>
      </w:tabs>
      <w:ind w:left="119" w:right="119"/>
    </w:pPr>
    <w:rPr>
      <w:sz w:val="20"/>
    </w:rPr>
  </w:style>
  <w:style w:type="paragraph" w:customStyle="1" w:styleId="MarginIcons">
    <w:name w:val="Margin Icons"/>
    <w:basedOn w:val="BodyText"/>
    <w:rsid w:val="009B6EE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B6EE6"/>
    <w:rPr>
      <w:rFonts w:ascii="Courier New" w:hAnsi="Courier New"/>
    </w:rPr>
  </w:style>
  <w:style w:type="paragraph" w:customStyle="1" w:styleId="NoteBullet">
    <w:name w:val="Note Bullet"/>
    <w:basedOn w:val="Note"/>
    <w:rsid w:val="009B6EE6"/>
    <w:pPr>
      <w:tabs>
        <w:tab w:val="clear" w:pos="680"/>
      </w:tabs>
      <w:spacing w:before="60" w:after="60"/>
    </w:pPr>
  </w:style>
  <w:style w:type="paragraph" w:customStyle="1" w:styleId="SubHeading2">
    <w:name w:val="SubHeading2"/>
    <w:basedOn w:val="HeadingBase"/>
    <w:rsid w:val="009B6EE6"/>
    <w:pPr>
      <w:spacing w:before="240" w:after="60"/>
    </w:pPr>
    <w:rPr>
      <w:sz w:val="20"/>
    </w:rPr>
  </w:style>
  <w:style w:type="paragraph" w:customStyle="1" w:styleId="SubHeading1">
    <w:name w:val="SubHeading1"/>
    <w:basedOn w:val="HeadingBase"/>
    <w:rsid w:val="009B6EE6"/>
    <w:pPr>
      <w:spacing w:before="240" w:after="60"/>
    </w:pPr>
    <w:rPr>
      <w:color w:val="918585"/>
      <w:sz w:val="22"/>
    </w:rPr>
  </w:style>
  <w:style w:type="paragraph" w:customStyle="1" w:styleId="SideHeading">
    <w:name w:val="Side Heading"/>
    <w:basedOn w:val="HeadingBase"/>
    <w:rsid w:val="009B6EE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B6EE6"/>
    <w:pPr>
      <w:numPr>
        <w:numId w:val="10"/>
      </w:numPr>
    </w:pPr>
  </w:style>
  <w:style w:type="paragraph" w:styleId="PlainText">
    <w:name w:val="Plain Text"/>
    <w:basedOn w:val="Normal"/>
    <w:link w:val="PlainTextChar"/>
    <w:rsid w:val="009B6EE6"/>
    <w:rPr>
      <w:sz w:val="20"/>
    </w:rPr>
  </w:style>
  <w:style w:type="character" w:customStyle="1" w:styleId="PlainTextChar">
    <w:name w:val="Plain Text Char"/>
    <w:basedOn w:val="DefaultParagraphFont"/>
    <w:link w:val="PlainText"/>
    <w:rsid w:val="009B6EE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B6EE6"/>
    <w:rPr>
      <w:b/>
      <w:smallCaps/>
    </w:rPr>
  </w:style>
  <w:style w:type="paragraph" w:customStyle="1" w:styleId="TableListNumber">
    <w:name w:val="Table List Number"/>
    <w:basedOn w:val="ListNumber"/>
    <w:rsid w:val="009B6EE6"/>
    <w:pPr>
      <w:numPr>
        <w:numId w:val="0"/>
      </w:numPr>
    </w:pPr>
  </w:style>
  <w:style w:type="paragraph" w:styleId="TOC4">
    <w:name w:val="toc 4"/>
    <w:basedOn w:val="TOCBase"/>
    <w:next w:val="Normal"/>
    <w:semiHidden/>
    <w:rsid w:val="009B6EE6"/>
    <w:pPr>
      <w:tabs>
        <w:tab w:val="right" w:leader="dot" w:pos="9071"/>
      </w:tabs>
      <w:ind w:left="1701"/>
    </w:pPr>
  </w:style>
  <w:style w:type="paragraph" w:customStyle="1" w:styleId="ListAlpha">
    <w:name w:val="List Alpha"/>
    <w:basedOn w:val="List"/>
    <w:rsid w:val="009B6EE6"/>
    <w:pPr>
      <w:numPr>
        <w:numId w:val="7"/>
      </w:numPr>
    </w:pPr>
  </w:style>
  <w:style w:type="paragraph" w:customStyle="1" w:styleId="ListAlpha2">
    <w:name w:val="List Alpha 2"/>
    <w:basedOn w:val="List2"/>
    <w:rsid w:val="009B6EE6"/>
    <w:pPr>
      <w:numPr>
        <w:numId w:val="6"/>
      </w:numPr>
    </w:pPr>
  </w:style>
  <w:style w:type="paragraph" w:styleId="List2">
    <w:name w:val="List 2"/>
    <w:basedOn w:val="BodyText"/>
    <w:rsid w:val="009B6EE6"/>
    <w:pPr>
      <w:tabs>
        <w:tab w:val="left" w:pos="680"/>
      </w:tabs>
      <w:spacing w:before="60" w:after="60"/>
      <w:ind w:left="680" w:hanging="340"/>
    </w:pPr>
  </w:style>
  <w:style w:type="paragraph" w:styleId="List3">
    <w:name w:val="List 3"/>
    <w:basedOn w:val="BodyText"/>
    <w:rsid w:val="009B6EE6"/>
    <w:pPr>
      <w:tabs>
        <w:tab w:val="left" w:pos="1021"/>
      </w:tabs>
      <w:spacing w:before="60" w:after="60"/>
      <w:ind w:left="1020" w:hanging="340"/>
    </w:pPr>
  </w:style>
  <w:style w:type="paragraph" w:styleId="List4">
    <w:name w:val="List 4"/>
    <w:basedOn w:val="BodyText"/>
    <w:rsid w:val="009B6EE6"/>
    <w:pPr>
      <w:tabs>
        <w:tab w:val="left" w:pos="1361"/>
      </w:tabs>
      <w:spacing w:before="60" w:after="60"/>
      <w:ind w:left="1361" w:hanging="340"/>
    </w:pPr>
  </w:style>
  <w:style w:type="paragraph" w:styleId="List5">
    <w:name w:val="List 5"/>
    <w:basedOn w:val="BodyText"/>
    <w:rsid w:val="009B6EE6"/>
    <w:pPr>
      <w:tabs>
        <w:tab w:val="left" w:pos="1701"/>
      </w:tabs>
      <w:spacing w:before="60" w:after="60"/>
      <w:ind w:left="1701" w:hanging="340"/>
    </w:pPr>
  </w:style>
  <w:style w:type="paragraph" w:styleId="ListBullet3">
    <w:name w:val="List Bullet 3"/>
    <w:basedOn w:val="List3"/>
    <w:rsid w:val="009B6EE6"/>
    <w:pPr>
      <w:numPr>
        <w:numId w:val="13"/>
      </w:numPr>
      <w:tabs>
        <w:tab w:val="clear" w:pos="1021"/>
      </w:tabs>
      <w:ind w:left="1037" w:hanging="357"/>
    </w:pPr>
  </w:style>
  <w:style w:type="paragraph" w:styleId="ListBullet4">
    <w:name w:val="List Bullet 4"/>
    <w:basedOn w:val="List4"/>
    <w:rsid w:val="009B6EE6"/>
    <w:pPr>
      <w:numPr>
        <w:numId w:val="1"/>
      </w:numPr>
    </w:pPr>
  </w:style>
  <w:style w:type="paragraph" w:styleId="ListBullet5">
    <w:name w:val="List Bullet 5"/>
    <w:basedOn w:val="List5"/>
    <w:rsid w:val="009B6EE6"/>
    <w:pPr>
      <w:numPr>
        <w:numId w:val="2"/>
      </w:numPr>
    </w:pPr>
  </w:style>
  <w:style w:type="paragraph" w:styleId="ListContinue2">
    <w:name w:val="List Continue 2"/>
    <w:basedOn w:val="List2"/>
    <w:rsid w:val="009B6EE6"/>
    <w:pPr>
      <w:ind w:firstLine="0"/>
    </w:pPr>
  </w:style>
  <w:style w:type="paragraph" w:styleId="ListContinue3">
    <w:name w:val="List Continue 3"/>
    <w:basedOn w:val="List3"/>
    <w:rsid w:val="009B6EE6"/>
    <w:pPr>
      <w:ind w:left="1021" w:firstLine="0"/>
    </w:pPr>
  </w:style>
  <w:style w:type="paragraph" w:styleId="ListContinue4">
    <w:name w:val="List Continue 4"/>
    <w:basedOn w:val="List4"/>
    <w:rsid w:val="009B6EE6"/>
    <w:pPr>
      <w:ind w:firstLine="0"/>
    </w:pPr>
  </w:style>
  <w:style w:type="paragraph" w:styleId="ListContinue5">
    <w:name w:val="List Continue 5"/>
    <w:basedOn w:val="List5"/>
    <w:rsid w:val="009B6EE6"/>
    <w:pPr>
      <w:ind w:firstLine="0"/>
    </w:pPr>
  </w:style>
  <w:style w:type="paragraph" w:styleId="ListNumber3">
    <w:name w:val="List Number 3"/>
    <w:basedOn w:val="List3"/>
    <w:rsid w:val="009B6EE6"/>
    <w:pPr>
      <w:numPr>
        <w:numId w:val="3"/>
      </w:numPr>
    </w:pPr>
  </w:style>
  <w:style w:type="paragraph" w:styleId="ListNumber4">
    <w:name w:val="List Number 4"/>
    <w:basedOn w:val="List4"/>
    <w:rsid w:val="009B6EE6"/>
    <w:pPr>
      <w:numPr>
        <w:numId w:val="4"/>
      </w:numPr>
    </w:pPr>
  </w:style>
  <w:style w:type="paragraph" w:styleId="ListNumber5">
    <w:name w:val="List Number 5"/>
    <w:basedOn w:val="List5"/>
    <w:rsid w:val="009B6EE6"/>
    <w:pPr>
      <w:numPr>
        <w:numId w:val="5"/>
      </w:numPr>
    </w:pPr>
  </w:style>
  <w:style w:type="paragraph" w:styleId="BlockText">
    <w:name w:val="Block Text"/>
    <w:basedOn w:val="Normal"/>
    <w:rsid w:val="009B6EE6"/>
    <w:pPr>
      <w:spacing w:after="120"/>
      <w:ind w:left="1440" w:right="1440"/>
    </w:pPr>
  </w:style>
  <w:style w:type="character" w:customStyle="1" w:styleId="Subscript">
    <w:name w:val="Subscript"/>
    <w:basedOn w:val="DefaultParagraphFont"/>
    <w:rsid w:val="009B6EE6"/>
    <w:rPr>
      <w:sz w:val="16"/>
      <w:vertAlign w:val="subscript"/>
    </w:rPr>
  </w:style>
  <w:style w:type="character" w:customStyle="1" w:styleId="Superscript">
    <w:name w:val="Superscript"/>
    <w:basedOn w:val="DefaultParagraphFont"/>
    <w:rsid w:val="009B6EE6"/>
    <w:rPr>
      <w:sz w:val="16"/>
      <w:vertAlign w:val="superscript"/>
    </w:rPr>
  </w:style>
  <w:style w:type="character" w:customStyle="1" w:styleId="Symbols">
    <w:name w:val="Symbols"/>
    <w:basedOn w:val="DefaultParagraphFont"/>
    <w:rsid w:val="009B6EE6"/>
    <w:rPr>
      <w:rFonts w:ascii="Symbol" w:hAnsi="Symbol"/>
    </w:rPr>
  </w:style>
  <w:style w:type="character" w:customStyle="1" w:styleId="MenuOptions">
    <w:name w:val="Menu Options"/>
    <w:basedOn w:val="DefaultParagraphFont"/>
    <w:rsid w:val="009B6EE6"/>
    <w:rPr>
      <w:rFonts w:ascii="Arial Narrow" w:hAnsi="Arial Narrow"/>
      <w:smallCaps/>
    </w:rPr>
  </w:style>
  <w:style w:type="character" w:customStyle="1" w:styleId="Buttons">
    <w:name w:val="Buttons"/>
    <w:basedOn w:val="DefaultParagraphFont"/>
    <w:rsid w:val="009B6EE6"/>
    <w:rPr>
      <w:b/>
    </w:rPr>
  </w:style>
  <w:style w:type="character" w:customStyle="1" w:styleId="Underlined">
    <w:name w:val="Underlined"/>
    <w:basedOn w:val="DefaultParagraphFont"/>
    <w:rsid w:val="009B6EE6"/>
    <w:rPr>
      <w:u w:val="single"/>
    </w:rPr>
  </w:style>
  <w:style w:type="paragraph" w:customStyle="1" w:styleId="TableBodyTextRight">
    <w:name w:val="Table Body Text Right"/>
    <w:basedOn w:val="TableBodyText"/>
    <w:rsid w:val="009B6EE6"/>
    <w:pPr>
      <w:widowControl w:val="0"/>
      <w:autoSpaceDE w:val="0"/>
      <w:autoSpaceDN w:val="0"/>
      <w:adjustRightInd w:val="0"/>
      <w:jc w:val="right"/>
    </w:pPr>
    <w:rPr>
      <w:rFonts w:cs="Arial"/>
      <w:szCs w:val="18"/>
    </w:rPr>
  </w:style>
  <w:style w:type="paragraph" w:customStyle="1" w:styleId="CopyrightText">
    <w:name w:val="Copyright Text"/>
    <w:basedOn w:val="BodyText"/>
    <w:rsid w:val="009B6EE6"/>
    <w:rPr>
      <w:sz w:val="18"/>
    </w:rPr>
  </w:style>
  <w:style w:type="paragraph" w:customStyle="1" w:styleId="BodySmallRight">
    <w:name w:val="Body Small Right"/>
    <w:basedOn w:val="BodyTextRight"/>
    <w:rsid w:val="009B6EE6"/>
    <w:rPr>
      <w:sz w:val="18"/>
      <w:szCs w:val="18"/>
    </w:rPr>
  </w:style>
  <w:style w:type="paragraph" w:customStyle="1" w:styleId="MarginEdition">
    <w:name w:val="Margin Edition"/>
    <w:basedOn w:val="MarginNote"/>
    <w:rsid w:val="009B6EE6"/>
    <w:pPr>
      <w:spacing w:before="0" w:after="0"/>
    </w:pPr>
    <w:rPr>
      <w:rFonts w:ascii="Times New Roman" w:hAnsi="Times New Roman"/>
      <w:color w:val="999999"/>
    </w:rPr>
  </w:style>
  <w:style w:type="paragraph" w:customStyle="1" w:styleId="Spacer">
    <w:name w:val="Spacer"/>
    <w:basedOn w:val="Normal"/>
    <w:rsid w:val="009B6EE6"/>
    <w:rPr>
      <w:sz w:val="2"/>
      <w:szCs w:val="2"/>
    </w:rPr>
  </w:style>
  <w:style w:type="character" w:customStyle="1" w:styleId="Small">
    <w:name w:val="Small"/>
    <w:basedOn w:val="DefaultParagraphFont"/>
    <w:rsid w:val="009B6EE6"/>
    <w:rPr>
      <w:sz w:val="16"/>
    </w:rPr>
  </w:style>
  <w:style w:type="paragraph" w:customStyle="1" w:styleId="WideTable">
    <w:name w:val="Wide Table"/>
    <w:basedOn w:val="Normal"/>
    <w:rsid w:val="009B6EE6"/>
    <w:pPr>
      <w:ind w:left="-1418"/>
    </w:pPr>
    <w:rPr>
      <w:sz w:val="2"/>
      <w:szCs w:val="2"/>
    </w:rPr>
  </w:style>
  <w:style w:type="character" w:styleId="PageNumber">
    <w:name w:val="page number"/>
    <w:basedOn w:val="DefaultParagraphFont"/>
    <w:rsid w:val="009B6EE6"/>
  </w:style>
  <w:style w:type="paragraph" w:styleId="Quote">
    <w:name w:val="Quote"/>
    <w:basedOn w:val="Heading1"/>
    <w:link w:val="QuoteChar"/>
    <w:qFormat/>
    <w:rsid w:val="009B6EE6"/>
    <w:rPr>
      <w:b w:val="0"/>
      <w:sz w:val="72"/>
      <w:szCs w:val="72"/>
      <w:lang w:val="en-NZ"/>
    </w:rPr>
  </w:style>
  <w:style w:type="character" w:customStyle="1" w:styleId="QuoteChar">
    <w:name w:val="Quote Char"/>
    <w:basedOn w:val="DefaultParagraphFont"/>
    <w:link w:val="Quote"/>
    <w:rsid w:val="009B6EE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B6EE6"/>
    <w:pPr>
      <w:pageBreakBefore/>
    </w:pPr>
  </w:style>
  <w:style w:type="paragraph" w:customStyle="1" w:styleId="Border">
    <w:name w:val="Border"/>
    <w:basedOn w:val="Normal"/>
    <w:qFormat/>
    <w:rsid w:val="009B6EE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B6EE6"/>
    <w:rPr>
      <w:b/>
      <w:bCs/>
      <w:i/>
      <w:iCs/>
      <w:color w:val="auto"/>
    </w:rPr>
  </w:style>
  <w:style w:type="paragraph" w:styleId="IntenseQuote">
    <w:name w:val="Intense Quote"/>
    <w:basedOn w:val="Normal"/>
    <w:next w:val="Normal"/>
    <w:link w:val="IntenseQuoteChar"/>
    <w:uiPriority w:val="30"/>
    <w:qFormat/>
    <w:rsid w:val="009B6EE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B6EE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B6EE6"/>
    <w:rPr>
      <w:smallCaps/>
      <w:color w:val="auto"/>
      <w:u w:val="single"/>
    </w:rPr>
  </w:style>
  <w:style w:type="character" w:styleId="IntenseReference">
    <w:name w:val="Intense Reference"/>
    <w:basedOn w:val="DefaultParagraphFont"/>
    <w:uiPriority w:val="32"/>
    <w:qFormat/>
    <w:rsid w:val="009B6EE6"/>
    <w:rPr>
      <w:b/>
      <w:bCs/>
      <w:smallCaps/>
      <w:color w:val="auto"/>
      <w:spacing w:val="5"/>
      <w:u w:val="single"/>
    </w:rPr>
  </w:style>
  <w:style w:type="paragraph" w:customStyle="1" w:styleId="2ColumnHeading">
    <w:name w:val="2Column Heading"/>
    <w:basedOn w:val="BodyText"/>
    <w:qFormat/>
    <w:rsid w:val="009B6EE6"/>
    <w:pPr>
      <w:spacing w:after="60"/>
      <w:ind w:left="-2268"/>
    </w:pPr>
    <w:rPr>
      <w:b/>
    </w:rPr>
  </w:style>
  <w:style w:type="paragraph" w:customStyle="1" w:styleId="Heading1TOC">
    <w:name w:val="Heading1 TOC"/>
    <w:basedOn w:val="Normal"/>
    <w:qFormat/>
    <w:rsid w:val="009B6EE6"/>
    <w:pPr>
      <w:spacing w:before="240" w:after="120"/>
    </w:pPr>
    <w:rPr>
      <w:rFonts w:ascii="Times New Roman" w:hAnsi="Times New Roman"/>
      <w:b/>
      <w:sz w:val="32"/>
    </w:rPr>
  </w:style>
  <w:style w:type="paragraph" w:customStyle="1" w:styleId="Heading2TOC">
    <w:name w:val="Heading2 TOC"/>
    <w:basedOn w:val="Normal"/>
    <w:qFormat/>
    <w:rsid w:val="009B6EE6"/>
    <w:pPr>
      <w:spacing w:before="240" w:after="60"/>
    </w:pPr>
    <w:rPr>
      <w:rFonts w:ascii="Times New Roman" w:hAnsi="Times New Roman"/>
      <w:b/>
      <w:sz w:val="28"/>
    </w:rPr>
  </w:style>
  <w:style w:type="character" w:customStyle="1" w:styleId="Underline">
    <w:name w:val="Underline"/>
    <w:basedOn w:val="DefaultParagraphFont"/>
    <w:qFormat/>
    <w:rsid w:val="009B6EE6"/>
    <w:rPr>
      <w:u w:val="single"/>
    </w:rPr>
  </w:style>
  <w:style w:type="character" w:customStyle="1" w:styleId="BoldandItalics">
    <w:name w:val="Bold and Italics"/>
    <w:qFormat/>
    <w:rsid w:val="009B6EE6"/>
    <w:rPr>
      <w:b/>
      <w:i/>
      <w:u w:val="none"/>
    </w:rPr>
  </w:style>
  <w:style w:type="paragraph" w:styleId="BalloonText">
    <w:name w:val="Balloon Text"/>
    <w:basedOn w:val="Normal"/>
    <w:link w:val="BalloonTextChar"/>
    <w:rsid w:val="009B6EE6"/>
    <w:rPr>
      <w:rFonts w:ascii="Tahoma" w:hAnsi="Tahoma" w:cs="Tahoma"/>
      <w:sz w:val="16"/>
      <w:szCs w:val="16"/>
    </w:rPr>
  </w:style>
  <w:style w:type="character" w:customStyle="1" w:styleId="BalloonTextChar">
    <w:name w:val="Balloon Text Char"/>
    <w:basedOn w:val="DefaultParagraphFont"/>
    <w:link w:val="BalloonText"/>
    <w:rsid w:val="009B6EE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B6EE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B6EE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1489</Words>
  <Characters>8966</Characters>
  <Application>Microsoft Office Word</Application>
  <DocSecurity>0</DocSecurity>
  <Lines>384</Lines>
  <Paragraphs>172</Paragraphs>
  <ScaleCrop>false</ScaleCrop>
  <Company>Author-it Software Corporation Ltd.</Company>
  <LinksUpToDate>false</LinksUpToDate>
  <CharactersWithSpaces>10341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ICTTC013D Perform an accurate customer premises cable and system test</dc:title>
  <dc:subject>Approved</dc:subject>
  <dc:creator>Innovation and Business Skills Australia</dc:creator>
  <cp:keywords>Release: 1</cp:keywords>
  <dc:description>Copyright © 1996-2007 Author-it Software Corporation Ltd., all rights reserved.</dc:description>
  <cp:lastModifiedBy>Craig Taylor</cp:lastModifiedBy>
  <cp:revision>3</cp:revision>
  <dcterms:created xsi:type="dcterms:W3CDTF">2012-05-27T01:24:00Z</dcterms:created>
  <dcterms:modified xsi:type="dcterms:W3CDTF">2012-05-27T01:25:00Z</dcterms:modified>
</cp:coreProperties>
</file>