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15E" w:rsidP="00C2715E">
      <w:pPr>
        <w:pStyle w:val="Title"/>
      </w:pPr>
      <w:r>
        <w:fldChar w:fldCharType="begin"/>
      </w:r>
      <w:r>
        <w:instrText xml:space="preserve"> TITLE   \* MERGEFORMAT </w:instrText>
      </w:r>
      <w:r>
        <w:fldChar w:fldCharType="separate"/>
      </w:r>
      <w:r>
        <w:t>ICTTC008D Terminate metallic conductor cable</w:t>
      </w:r>
      <w:r>
        <w:fldChar w:fldCharType="end"/>
      </w:r>
    </w:p>
    <w:p w:rsidR="00C2715E" w:rsidP="00C2715E">
      <w:pPr>
        <w:pStyle w:val="Version"/>
        <w:sectPr w:rsidSect="003446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668" w:rsidP="00344668">
      <w:pPr>
        <w:pStyle w:val="SuperHeading"/>
      </w:pPr>
      <w:r w:rsidRPr="00344668">
        <w:t>ICTTC008D Terminate metallic conductor cable</w:t>
      </w:r>
    </w:p>
    <w:p w:rsidR="00000000" w:rsidRPr="00344668" w:rsidP="00344668">
      <w:pPr>
        <w:pStyle w:val="Heading1"/>
      </w:pPr>
      <w:bookmarkStart w:id="1" w:name="O_320533"/>
      <w:bookmarkEnd w:id="1"/>
      <w:r w:rsidRPr="00344668">
        <w:t>Modification History</w:t>
      </w:r>
    </w:p>
    <w:p w:rsidR="00000000" w:rsidRPr="00344668" w:rsidP="00344668">
      <w:pPr>
        <w:pStyle w:val="BodyText"/>
      </w:pPr>
      <w:r w:rsidRPr="00344668">
        <w:t>Not applicable.</w:t>
      </w:r>
    </w:p>
    <w:p w:rsidR="00000000" w:rsidRPr="00344668" w:rsidP="00344668">
      <w:pPr>
        <w:pStyle w:val="AllowPageBreak"/>
      </w:pPr>
    </w:p>
    <w:p w:rsidR="00000000" w:rsidRPr="00344668" w:rsidP="00344668">
      <w:pPr>
        <w:pStyle w:val="Heading1"/>
      </w:pPr>
      <w:bookmarkStart w:id="2" w:name="O_320532"/>
      <w:bookmarkEnd w:id="2"/>
      <w:r w:rsidRPr="00344668">
        <w:t>Unit Descriptor</w:t>
      </w:r>
    </w:p>
    <w:p w:rsidR="00000000" w:rsidRPr="00344668" w:rsidP="00344668">
      <w:pPr>
        <w:pStyle w:val="BodyText"/>
      </w:pPr>
      <w:r w:rsidRPr="00344668">
        <w:t>This unit applies to all contexts for indoor and outdoor installation within a customer premises and applie</w:t>
      </w:r>
      <w:r w:rsidRPr="00344668">
        <w:t>s to both customer premises cabling and customer premises equipment.</w:t>
      </w:r>
    </w:p>
    <w:p w:rsidR="00000000" w:rsidRPr="00344668" w:rsidP="00344668">
      <w:pPr>
        <w:pStyle w:val="BodyText"/>
      </w:pPr>
      <w:r w:rsidRPr="00344668">
        <w:t>This unit applies to all communications applications whether digital or analogue including telephony, data, video including digital broadcasting, computer networks including LANs and WANs</w:t>
      </w:r>
      <w:r w:rsidRPr="00344668">
        <w:t>, and multi media.</w:t>
      </w:r>
    </w:p>
    <w:p w:rsidR="00000000" w:rsidRPr="00344668" w:rsidP="00344668">
      <w:pPr>
        <w:pStyle w:val="BodyText"/>
      </w:pPr>
      <w:r w:rsidRPr="00344668">
        <w:t>This unit may be applied to domestic, commercial or industrial installations.</w:t>
      </w:r>
    </w:p>
    <w:p w:rsidR="00000000" w:rsidRPr="00344668" w:rsidP="00344668">
      <w:pPr>
        <w:pStyle w:val="BodyText"/>
      </w:pPr>
      <w:r w:rsidRPr="00344668">
        <w:t>This unit applies to all metallic conductor cable types including coaxial and structured (Category 5 or Category 6, 6A, 7 or 7A,) cabling. It also applies to t</w:t>
      </w:r>
      <w:r w:rsidRPr="00344668">
        <w:t>he joining of cable in a terminating block (in/out block). Specific units of competency apply to the placing, securing and termination of particular cable types and should be used in association with this unit where applicable.</w:t>
      </w:r>
    </w:p>
    <w:p w:rsidR="00000000" w:rsidRPr="00344668" w:rsidP="00344668">
      <w:pPr>
        <w:pStyle w:val="BodyText"/>
      </w:pPr>
      <w:r w:rsidRPr="00344668">
        <w:t>Assessment by a TITAB regist</w:t>
      </w:r>
      <w:r w:rsidRPr="00344668">
        <w:t>ered assessor is recommended.</w:t>
      </w:r>
    </w:p>
    <w:p w:rsidR="00000000" w:rsidRPr="00344668" w:rsidP="00344668">
      <w:pPr>
        <w:pStyle w:val="BodyText"/>
      </w:pPr>
      <w:r w:rsidRPr="00344668">
        <w:t>The six unit competency set ICTTC005D, ICTTC006D, ICTTC008D, ICTTC012D, ICTTC017D and ICTTC022D that meets the Australian Communications and Media Authoritys (ACMA) requirements for Cabling Provider Registration (CPR), is gene</w:t>
      </w:r>
      <w:r w:rsidRPr="00344668">
        <w:t>rally used as part of a more specialised customer cabling qualification. This set is usually regarded as more suitable for new entrants where limited industry experience has been obtained and forms the major part of specialised qualifications such as ICT20</w:t>
      </w:r>
      <w:r w:rsidRPr="00344668">
        <w:t xml:space="preserve">308 Certificate II in Telecommunications Cabling. When these six units are delivered as a set within state/territory funding approved programs, the two benchmark CPR units (ICTTC136C and ICTTC137C) are not required. </w:t>
      </w:r>
    </w:p>
    <w:p w:rsidR="00000000" w:rsidRPr="00344668" w:rsidP="00344668">
      <w:pPr>
        <w:pStyle w:val="BodyText"/>
      </w:pPr>
      <w:r w:rsidRPr="00344668">
        <w:t>This unit applies to all contexts for i</w:t>
      </w:r>
      <w:r w:rsidRPr="00344668">
        <w:t>ndoor and outdoor installation within a customer premises and applies to both customer premises cabling and customer premises equipment.</w:t>
      </w:r>
    </w:p>
    <w:p w:rsidR="00000000" w:rsidRPr="00344668" w:rsidP="00344668">
      <w:pPr>
        <w:pStyle w:val="BodyText"/>
      </w:pPr>
      <w:r w:rsidRPr="00344668">
        <w:t>This unit applies to all communications applications whether digital or analogue including telephony, data, video including digital broadcasting, computer networks including LANs and WANs, and multi media.</w:t>
      </w:r>
    </w:p>
    <w:p w:rsidR="00000000" w:rsidRPr="00344668" w:rsidP="00344668">
      <w:pPr>
        <w:pStyle w:val="BodyText"/>
      </w:pPr>
      <w:r w:rsidRPr="00344668">
        <w:t>This unit may be applied to domestic, commercial o</w:t>
      </w:r>
      <w:r w:rsidRPr="00344668">
        <w:t>r industrial installations.</w:t>
      </w:r>
    </w:p>
    <w:p w:rsidR="00000000" w:rsidRPr="00344668" w:rsidP="00344668">
      <w:pPr>
        <w:pStyle w:val="BodyText"/>
      </w:pPr>
      <w:r w:rsidRPr="00344668">
        <w:t>This unit applies to all metallic conductor cable types including coaxial and structured (Category 5 or Category 6, 6A, 7 or 7A,) cabling. It also applies to the joining of cable in a terminating block (in/out block). Specific u</w:t>
      </w:r>
      <w:r w:rsidRPr="00344668">
        <w:t>nits of competency apply to the placing, securing and termination of particular cable types and should be used in association with this unit where applicable.</w:t>
      </w:r>
    </w:p>
    <w:p w:rsidR="00000000" w:rsidRPr="00344668" w:rsidP="00344668">
      <w:pPr>
        <w:pStyle w:val="BodyText"/>
      </w:pPr>
      <w:r w:rsidRPr="00344668">
        <w:t>Assessment by a TITAB registered assessor is recommended.</w:t>
      </w:r>
    </w:p>
    <w:p w:rsidR="00000000" w:rsidRPr="00344668" w:rsidP="00344668">
      <w:pPr>
        <w:pStyle w:val="BodyText"/>
      </w:pPr>
      <w:r w:rsidRPr="00344668">
        <w:t xml:space="preserve">The six unit competency set ICTTC005D, </w:t>
      </w:r>
      <w:r w:rsidRPr="00344668">
        <w:t>ICTTC006D, ICTTC008D, ICTTC012D, ICTTC017D and ICTTC022D that meets the Australian Communications and Media Authoritys (ACMA) requirements for Cabling Provider Registration (CPR), is generally used as part of a more specialised customer cabling qualificati</w:t>
      </w:r>
      <w:r w:rsidRPr="00344668">
        <w:t>on. This set is usually regarded as more suitable for new entrants where limited industry experience has been obtained and forms the major part of specialised qualifications such as ICT20308 Certificate II in Telecommunications Cabling. When these six unit</w:t>
      </w:r>
      <w:r w:rsidRPr="00344668">
        <w:t xml:space="preserve">s are delivered as a set within state/territory funding approved programs, the two benchmark CPR units (ICTTC136C and ICTTC137C) are not required. </w:t>
      </w:r>
    </w:p>
    <w:p w:rsidR="00000000" w:rsidRPr="00344668" w:rsidP="00344668">
      <w:pPr>
        <w:pStyle w:val="AllowPageBreak"/>
      </w:pPr>
    </w:p>
    <w:p w:rsidR="00000000" w:rsidRPr="00344668" w:rsidP="00344668">
      <w:pPr>
        <w:pStyle w:val="Heading1"/>
      </w:pPr>
      <w:bookmarkStart w:id="3" w:name="O_320531"/>
      <w:bookmarkEnd w:id="3"/>
      <w:r w:rsidRPr="00344668">
        <w:t>Application of the Unit</w:t>
      </w:r>
    </w:p>
    <w:p w:rsidR="00000000" w:rsidRPr="00344668" w:rsidP="00344668">
      <w:pPr>
        <w:pStyle w:val="BodyText"/>
      </w:pPr>
      <w:r w:rsidRPr="00344668">
        <w:t>Not applicable.</w:t>
      </w:r>
    </w:p>
    <w:p w:rsidR="00000000" w:rsidRPr="00344668" w:rsidP="00344668">
      <w:pPr>
        <w:pStyle w:val="AllowPageBreak"/>
      </w:pPr>
    </w:p>
    <w:p w:rsidR="00000000" w:rsidRPr="00344668" w:rsidP="00344668">
      <w:pPr>
        <w:pStyle w:val="Heading1"/>
      </w:pPr>
      <w:bookmarkStart w:id="4" w:name="O_320530"/>
      <w:bookmarkEnd w:id="4"/>
      <w:r w:rsidRPr="00344668">
        <w:t>Licensing/Regulatory Information</w:t>
      </w:r>
    </w:p>
    <w:p w:rsidR="00000000" w:rsidRPr="00344668" w:rsidP="00344668">
      <w:pPr>
        <w:pStyle w:val="BodyText"/>
      </w:pPr>
      <w:r w:rsidRPr="00344668">
        <w:t>N</w:t>
      </w:r>
      <w:r w:rsidRPr="00344668">
        <w:t>ot applicable.</w:t>
      </w:r>
    </w:p>
    <w:p w:rsidR="00000000" w:rsidRPr="00344668" w:rsidP="00344668">
      <w:pPr>
        <w:pStyle w:val="AllowPageBreak"/>
      </w:pPr>
    </w:p>
    <w:p w:rsidR="00000000" w:rsidRPr="00344668" w:rsidP="00344668">
      <w:pPr>
        <w:pStyle w:val="Heading1"/>
      </w:pPr>
      <w:bookmarkStart w:id="5" w:name="O_320525"/>
      <w:bookmarkEnd w:id="5"/>
      <w:r w:rsidRPr="00344668">
        <w:t>Pre-Requisites</w:t>
      </w:r>
    </w:p>
    <w:p w:rsidR="00000000" w:rsidRPr="00344668" w:rsidP="00344668">
      <w:pPr>
        <w:pStyle w:val="BodyText"/>
      </w:pPr>
      <w:r w:rsidRPr="00344668">
        <w:t xml:space="preserve">Nil </w:t>
      </w:r>
    </w:p>
    <w:p w:rsidR="00000000" w:rsidRPr="00344668" w:rsidP="00344668">
      <w:pPr>
        <w:pStyle w:val="BodyText"/>
      </w:pPr>
      <w:r w:rsidRPr="00344668">
        <w:t xml:space="preserve">Nil </w:t>
      </w:r>
    </w:p>
    <w:p w:rsidR="00000000" w:rsidRPr="00344668" w:rsidP="00344668">
      <w:pPr>
        <w:pStyle w:val="AllowPageBreak"/>
      </w:pPr>
    </w:p>
    <w:p w:rsidR="00000000" w:rsidRPr="00344668" w:rsidP="00344668">
      <w:pPr>
        <w:pStyle w:val="Heading1"/>
      </w:pPr>
      <w:bookmarkStart w:id="6" w:name="O_320535"/>
      <w:bookmarkEnd w:id="6"/>
      <w:r w:rsidRPr="00344668">
        <w:t>Employability Skills Information</w:t>
      </w:r>
    </w:p>
    <w:p w:rsidR="00000000" w:rsidRPr="00344668" w:rsidP="00344668">
      <w:pPr>
        <w:pStyle w:val="BodyText"/>
      </w:pPr>
      <w:r w:rsidRPr="00344668">
        <w:t>This unit contains employability skills.</w:t>
      </w:r>
    </w:p>
    <w:p w:rsidR="00000000" w:rsidRPr="00344668" w:rsidP="00344668">
      <w:pPr>
        <w:pStyle w:val="BodyText"/>
      </w:pPr>
      <w:r w:rsidRPr="00344668">
        <w:t>This unit contains employability skills.</w:t>
      </w:r>
    </w:p>
    <w:p w:rsidR="00000000" w:rsidRPr="00344668" w:rsidP="00344668">
      <w:pPr>
        <w:pStyle w:val="AllowPageBreak"/>
      </w:pPr>
    </w:p>
    <w:p w:rsidR="00000000" w:rsidRPr="00344668" w:rsidP="00344668">
      <w:pPr>
        <w:pStyle w:val="Heading1"/>
      </w:pPr>
      <w:bookmarkStart w:id="7" w:name="O_320534"/>
      <w:bookmarkEnd w:id="7"/>
      <w:r w:rsidRPr="00344668">
        <w:t>Elements and Performance Criteria Pre-Content</w:t>
      </w:r>
    </w:p>
    <w:p w:rsidR="00000000" w:rsidRPr="00344668" w:rsidP="00344668">
      <w:pPr>
        <w:pStyle w:val="BodyText"/>
      </w:pPr>
      <w:r w:rsidRPr="00344668">
        <w:t>Elements describe the essential outcomes of a unit of competency.</w:t>
      </w:r>
    </w:p>
    <w:p w:rsidR="00000000" w:rsidRPr="00344668" w:rsidP="00344668">
      <w:pPr>
        <w:pStyle w:val="BodyText"/>
      </w:pPr>
      <w:r w:rsidRPr="00344668">
        <w:t xml:space="preserve">Performance criteria describe the performance needed to demonstrate achievement of the element. Where </w:t>
      </w:r>
      <w:r w:rsidRPr="00344668">
        <w:rPr>
          <w:rStyle w:val="SpecialBold"/>
        </w:rPr>
        <w:t xml:space="preserve">bold italicised </w:t>
      </w:r>
      <w:r w:rsidRPr="00344668">
        <w:t>text is used, further information is detailed in the required skills and</w:t>
      </w:r>
      <w:r w:rsidRPr="00344668">
        <w:t xml:space="preserve"> knowledge section and the range statement. Assessment of performance is to be consistent with the evidence guide.</w:t>
      </w:r>
    </w:p>
    <w:p w:rsidR="00000000" w:rsidRPr="00344668" w:rsidP="00344668">
      <w:pPr>
        <w:pStyle w:val="BodyText"/>
      </w:pPr>
      <w:r w:rsidRPr="00344668">
        <w:t>Elements describe the essential outcomes of a unit of competency.</w:t>
      </w:r>
    </w:p>
    <w:p w:rsidR="00000000" w:rsidRPr="00344668" w:rsidP="00344668">
      <w:pPr>
        <w:pStyle w:val="BodyText"/>
      </w:pPr>
      <w:r w:rsidRPr="00344668">
        <w:t>Performance criteria describe the performance needed to demonstrate achieve</w:t>
      </w:r>
      <w:r w:rsidRPr="00344668">
        <w:t xml:space="preserve">ment of the element. Where </w:t>
      </w:r>
      <w:r w:rsidRPr="00344668">
        <w:rPr>
          <w:rStyle w:val="SpecialBold"/>
        </w:rPr>
        <w:t xml:space="preserve">bold italicised </w:t>
      </w:r>
      <w:r w:rsidRPr="00344668">
        <w:t>text is used, further information is detailed in the required skills and knowledge section and the range statement. Assessment of performance is to be consistent with the evidence guide.</w:t>
      </w:r>
    </w:p>
    <w:p w:rsidR="00000000" w:rsidRPr="00344668" w:rsidP="00344668">
      <w:pPr>
        <w:pStyle w:val="AllowPageBreak"/>
      </w:pPr>
    </w:p>
    <w:p w:rsidR="00000000" w:rsidRPr="00344668" w:rsidP="00344668">
      <w:pPr>
        <w:pStyle w:val="Heading1"/>
      </w:pPr>
      <w:bookmarkStart w:id="8" w:name="O_320524"/>
      <w:bookmarkEnd w:id="8"/>
      <w:r w:rsidRPr="00344668">
        <w:t xml:space="preserve">Elements </w:t>
      </w:r>
      <w:r w:rsidRPr="00344668">
        <w:t>and Performance Criteria</w:t>
      </w:r>
    </w:p>
    <w:tbl>
      <w:tblPr>
        <w:tblW w:w="0" w:type="auto"/>
        <w:tblLayout w:type="fixed"/>
        <w:tblCellMar>
          <w:left w:w="62" w:type="dxa"/>
          <w:right w:w="62" w:type="dxa"/>
        </w:tblCellMar>
        <w:tblLook w:val="0000"/>
      </w:tblPr>
      <w:tblGrid>
        <w:gridCol w:w="400"/>
        <w:gridCol w:w="3000"/>
        <w:gridCol w:w="500"/>
        <w:gridCol w:w="5100"/>
      </w:tblGrid>
      <w:tr w:rsidTr="00C2715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Elements and Performance Criteria</w:t>
            </w:r>
          </w:p>
        </w:tc>
      </w:tr>
      <w:tr w:rsidTr="00C2715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Performance Criteria</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1</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Identify termination system</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1.1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Identify correct termination requirements for installation</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1.2</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Select termination system to meet customer performance needs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1.3</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Termination system conforms to work specifications and relevant industry standards</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2</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Set up suitable work area</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2.1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Remove all contaminants from work site that may adversely effect termination</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2.2</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Work site has adequate visibility to minimise errors and reduce eye strain</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2.3</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Work site is safe and secure</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2.4</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All required tools and equipment are available and in a safe working order and adjusted to manufacturers specifications</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3</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Plan frame/outlet layout</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3.1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Design cable and block location within frame with capacity for expansion where possible</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3.2</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Segregate incoming and outgoing cables for ease of access and to minimise overlaying and backtracking of cable</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3.3</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Check environmental conditions are suitable for termination</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3.4</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Terminating equipment layout is systematic and follows relevant industry codes of practice and standards, and customer requirements where appropriate</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3.5</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Back-mount or outlet layout conf</w:t>
            </w:r>
            <w:r w:rsidRPr="00344668">
              <w:t>orms to manufacturers specifications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3.6</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Layout allows for adequate workspace to ensure ease of access for installation and service purposes</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4</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Prepare cable for termination</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4.1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Remove cable sheath to allow for conductor length and installation requirements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4.2</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Handle cable strictly in accordance with manufacturers specifications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4.3</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Conductors, sheath and insulation are not damaged during preparation</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4.4</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Work in a safe manner to manufacturers specifications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4.5</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Layer out cable out by reference to manufacturers coding system to ensure correct terminating sequence and unique identification where appropriate</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4.6</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Fit over voltage protection devices to al</w:t>
            </w:r>
            <w:r w:rsidRPr="00344668">
              <w:t>l cables with metallic component where required</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5</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Terminate conductors</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5.1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Install terminating modules to frame in accordance with manufacturers specifications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5.2</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Fan cable pairs neatly to termination equipment to facilitate accurate termination</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5.3</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Terminate cable to manufacturers specifications using correct tool</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5.4</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Earth cable shield to manufacturers specifications and industry standards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5.5</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Confirm that the termination colour code sequence has been followed by visual inspection</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6</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Label and document pair location</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6.1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Label cable pairs promptly and clearly to provide for accurate identification in accordance with manufacturers requirements and industry standards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6.2</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Update record books and plans to show pair locations in accordance with industry codes of practice</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7</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Clean up work site</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7.1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Clean and adjust all tools and equipment and store in an accessible location</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7.2</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Remove installation waste and debris from work </w:t>
            </w:r>
            <w:r w:rsidRPr="00344668">
              <w:t>site and dispose of in accordance with environmental requirements to maintain safe worksite conditions</w:t>
            </w:r>
          </w:p>
        </w:tc>
      </w:tr>
      <w:tr w:rsidTr="00C2715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8</w:t>
            </w:r>
          </w:p>
        </w:tc>
        <w:tc>
          <w:tcPr>
            <w:tcW w:w="3000" w:type="dxa"/>
            <w:vMerge w:val="restart"/>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Manage Remote Power Feed</w:t>
            </w: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8.1</w:t>
            </w:r>
          </w:p>
        </w:tc>
        <w:tc>
          <w:tcPr>
            <w:tcW w:w="51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Identify the risks posed by contact with Remote Power Feeding services</w:t>
            </w:r>
          </w:p>
        </w:tc>
      </w:tr>
      <w:tr w:rsidTr="00C2715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8.2</w:t>
            </w:r>
          </w:p>
        </w:tc>
        <w:tc>
          <w:tcPr>
            <w:tcW w:w="5100" w:type="dxa"/>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Identify Remote Power Feeding services in a range of commonly encountered circumstances inside customer premises</w:t>
            </w:r>
          </w:p>
        </w:tc>
      </w:tr>
    </w:tbl>
    <w:p w:rsidR="00000000" w:rsidRPr="00344668" w:rsidP="00344668">
      <w:pPr>
        <w:pStyle w:val="BodyText"/>
      </w:pPr>
    </w:p>
    <w:p w:rsidR="00000000" w:rsidRPr="00344668" w:rsidP="00344668">
      <w:pPr>
        <w:pStyle w:val="AllowPageBreak"/>
      </w:pPr>
    </w:p>
    <w:p w:rsidR="00000000" w:rsidRPr="00344668" w:rsidP="00344668">
      <w:pPr>
        <w:pStyle w:val="Heading1"/>
      </w:pPr>
      <w:bookmarkStart w:id="9" w:name="O_320529"/>
      <w:bookmarkEnd w:id="9"/>
      <w:r w:rsidRPr="00344668">
        <w:t>Required Skills and Knowledge</w:t>
      </w:r>
    </w:p>
    <w:tbl>
      <w:tblPr>
        <w:tblW w:w="0" w:type="auto"/>
        <w:tblLayout w:type="fixed"/>
        <w:tblCellMar>
          <w:left w:w="62" w:type="dxa"/>
          <w:right w:w="62" w:type="dxa"/>
        </w:tblCellMar>
        <w:tblLook w:val="0000"/>
      </w:tblPr>
      <w:tblGrid>
        <w:gridCol w:w="4500"/>
        <w:gridCol w:w="4500"/>
      </w:tblGrid>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This section describes the skills and knowledge required for this unit. </w:t>
            </w:r>
          </w:p>
        </w:tc>
      </w:tr>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Required skills</w:t>
            </w:r>
          </w:p>
        </w:tc>
      </w:tr>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Select from the following list to suit the learning and assessment context</w:t>
            </w:r>
          </w:p>
          <w:p w:rsidR="00000000" w:rsidRPr="00344668" w:rsidP="00344668">
            <w:pPr>
              <w:pStyle w:val="BodyText"/>
            </w:pPr>
            <w:r w:rsidRPr="00344668">
              <w:t>Codes refer to the Skills and Knowledge Register in Volume 3 of this Training Package that has detailed content guidelines for each code outlined.</w:t>
            </w:r>
          </w:p>
          <w:p w:rsidR="00000000" w:rsidRPr="00344668" w:rsidP="00344668">
            <w:pPr>
              <w:pStyle w:val="BodyText"/>
            </w:pPr>
            <w:r w:rsidRPr="00344668">
              <w:t>CA201 Cable Termination Products</w:t>
            </w:r>
            <w:r w:rsidRPr="00344668">
              <w:t>: General</w:t>
            </w:r>
          </w:p>
          <w:p w:rsidR="00000000" w:rsidRPr="00344668" w:rsidP="00344668">
            <w:pPr>
              <w:pStyle w:val="BodyText"/>
            </w:pPr>
            <w:r w:rsidRPr="00344668">
              <w:t>CA202 Cable Conductor Identification Codes</w:t>
            </w:r>
          </w:p>
          <w:p w:rsidR="00000000" w:rsidRPr="00344668" w:rsidP="00344668">
            <w:pPr>
              <w:pStyle w:val="BodyText"/>
            </w:pPr>
            <w:r w:rsidRPr="00344668">
              <w:t>CA220 Cable Types</w:t>
            </w:r>
          </w:p>
          <w:p w:rsidR="00000000" w:rsidRPr="00344668" w:rsidP="00344668">
            <w:pPr>
              <w:pStyle w:val="BodyText"/>
            </w:pPr>
            <w:r w:rsidRPr="00344668">
              <w:t>CI210 Communication 2</w:t>
            </w:r>
          </w:p>
          <w:p w:rsidR="00000000" w:rsidRPr="00344668" w:rsidP="00344668">
            <w:pPr>
              <w:pStyle w:val="BodyText"/>
            </w:pPr>
            <w:r w:rsidRPr="00344668">
              <w:t>EL210 AC/DC Basic Theory</w:t>
            </w:r>
          </w:p>
          <w:p w:rsidR="00000000" w:rsidRPr="00344668" w:rsidP="00344668">
            <w:pPr>
              <w:pStyle w:val="BodyText"/>
            </w:pPr>
            <w:r w:rsidRPr="00344668">
              <w:t>OH210 Occupational Health and Safety 2</w:t>
            </w:r>
          </w:p>
          <w:p w:rsidR="00000000" w:rsidRPr="00344668" w:rsidP="00344668">
            <w:pPr>
              <w:pStyle w:val="BodyText"/>
            </w:pPr>
            <w:r w:rsidRPr="00344668">
              <w:t>PS212 Read Plans and Specifications - General</w:t>
            </w:r>
          </w:p>
          <w:p w:rsidR="00000000" w:rsidRPr="00344668" w:rsidP="00344668">
            <w:pPr>
              <w:pStyle w:val="BodyText"/>
            </w:pPr>
            <w:r w:rsidRPr="00344668">
              <w:t>PS213 Cable Record Systems: General</w:t>
            </w:r>
          </w:p>
          <w:p w:rsidR="00000000" w:rsidRPr="00344668" w:rsidP="00344668">
            <w:pPr>
              <w:pStyle w:val="BodyText"/>
            </w:pPr>
            <w:r w:rsidRPr="00344668">
              <w:t>RE210 ACMA Licens</w:t>
            </w:r>
            <w:r w:rsidRPr="00344668">
              <w:t>ing Standards, Rules and Regulations</w:t>
            </w:r>
          </w:p>
          <w:p w:rsidR="00000000" w:rsidRPr="00344668" w:rsidP="00344668">
            <w:pPr>
              <w:pStyle w:val="BodyText"/>
            </w:pPr>
            <w:r w:rsidRPr="00344668">
              <w:t>RE216 Australian Standards and Regulations</w:t>
            </w:r>
          </w:p>
          <w:p w:rsidR="00000000" w:rsidRPr="00344668" w:rsidP="00344668">
            <w:pPr>
              <w:pStyle w:val="BodyText"/>
            </w:pPr>
            <w:r w:rsidRPr="00344668">
              <w:t>TE210 Basic Telephony 2</w:t>
            </w:r>
          </w:p>
          <w:p w:rsidR="00000000" w:rsidP="00344668">
            <w:pPr>
              <w:pStyle w:val="BodyText"/>
              <w:rPr>
                <w:lang w:val="en-NZ"/>
              </w:rPr>
            </w:pPr>
            <w:r w:rsidRPr="00344668">
              <w:t xml:space="preserve">TO210 Hand and Power Tools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Required knowledge</w:t>
            </w:r>
          </w:p>
        </w:tc>
      </w:tr>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The relevant required knowledge is articulated in the above guidelines contained in the Skills and Knowledge Register included in this Training Package.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44668" w:rsidP="00344668">
            <w:pPr>
              <w:pStyle w:val="BodyText"/>
            </w:pPr>
          </w:p>
        </w:tc>
      </w:tr>
    </w:tbl>
    <w:p w:rsidR="00000000" w:rsidRPr="00344668" w:rsidP="00344668">
      <w:pPr>
        <w:pStyle w:val="BodyText"/>
      </w:pPr>
    </w:p>
    <w:p w:rsidR="00000000" w:rsidRPr="00344668" w:rsidP="00344668">
      <w:pPr>
        <w:pStyle w:val="AllowPageBreak"/>
      </w:pPr>
    </w:p>
    <w:p w:rsidR="00000000" w:rsidRPr="00344668" w:rsidP="00344668">
      <w:pPr>
        <w:pStyle w:val="Heading1"/>
      </w:pPr>
      <w:bookmarkStart w:id="10" w:name="O_320528"/>
      <w:bookmarkEnd w:id="10"/>
      <w:r w:rsidRPr="00344668">
        <w:t>Evidence Guide</w:t>
      </w:r>
    </w:p>
    <w:tbl>
      <w:tblPr>
        <w:tblW w:w="0" w:type="auto"/>
        <w:tblLayout w:type="fixed"/>
        <w:tblCellMar>
          <w:left w:w="62" w:type="dxa"/>
          <w:right w:w="62" w:type="dxa"/>
        </w:tblCellMar>
        <w:tblLook w:val="0000"/>
      </w:tblPr>
      <w:tblGrid>
        <w:gridCol w:w="4500"/>
        <w:gridCol w:w="4500"/>
      </w:tblGrid>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The evidence guide provides advice on assessment and must be read in conjunction with the performance criteria, required skills and knowledge, range statement and the Assessment Guidelines for the Training Package.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Critical aspects for assessment and ev</w:t>
            </w:r>
            <w:r w:rsidRPr="00344668">
              <w:rPr>
                <w:rStyle w:val="SpecialBold"/>
              </w:rPr>
              <w:t>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 xml:space="preserve">Evidence of the following is essential:    </w:t>
            </w:r>
          </w:p>
          <w:p w:rsidR="00000000" w:rsidRPr="00344668" w:rsidP="00344668">
            <w:pPr>
              <w:pStyle w:val="BodyText"/>
            </w:pPr>
            <w:r w:rsidRPr="00344668">
              <w:t>demonstration of a minimum of at least one manufacturer's termination system at both frame and outlet locations and at least 1-50 pair cable</w:t>
            </w:r>
          </w:p>
          <w:p w:rsidR="00000000" w:rsidRPr="00344668" w:rsidP="00344668">
            <w:pPr>
              <w:pStyle w:val="BodyText"/>
            </w:pPr>
            <w:r w:rsidRPr="00344668">
              <w:t xml:space="preserve">ability to read </w:t>
            </w:r>
            <w:r w:rsidRPr="00344668">
              <w:t>and interpret cable drawings and plans for locations and terminations</w:t>
            </w:r>
          </w:p>
          <w:p w:rsidR="00000000" w:rsidRPr="00344668" w:rsidP="00344668">
            <w:pPr>
              <w:pStyle w:val="BodyText"/>
            </w:pPr>
            <w:r w:rsidRPr="00344668">
              <w:t>accurate application of cable conductor identification codes</w:t>
            </w:r>
          </w:p>
          <w:p w:rsidR="00000000" w:rsidRPr="00344668" w:rsidP="00344668">
            <w:pPr>
              <w:pStyle w:val="BodyText"/>
            </w:pPr>
            <w:r w:rsidRPr="00344668">
              <w:t>application of all related OHS requirements and work practices (including protective clothing and personal safety items)</w:t>
            </w:r>
          </w:p>
          <w:p w:rsidR="00000000" w:rsidRPr="00344668" w:rsidP="00344668">
            <w:pPr>
              <w:pStyle w:val="BodyText"/>
            </w:pPr>
            <w:r w:rsidRPr="00344668">
              <w:t>safe</w:t>
            </w:r>
            <w:r w:rsidRPr="00344668">
              <w:t xml:space="preserve"> use of general hand and power tools and general equipment normally related to these tasks</w:t>
            </w:r>
          </w:p>
          <w:p w:rsidR="00000000" w:rsidRPr="00344668" w:rsidP="00344668">
            <w:pPr>
              <w:pStyle w:val="BodyText"/>
            </w:pPr>
            <w:r w:rsidRPr="00344668">
              <w:t>correct interpretation and application of related regulations and/or industry codes</w:t>
            </w:r>
          </w:p>
          <w:p w:rsidR="00000000" w:rsidP="00344668">
            <w:pPr>
              <w:pStyle w:val="BodyText"/>
              <w:rPr>
                <w:lang w:val="en-NZ"/>
              </w:rPr>
            </w:pPr>
            <w:r w:rsidRPr="00344668">
              <w:t xml:space="preserve">interpersonal skills related to clients, employer, supervisors, work associates, </w:t>
            </w:r>
            <w:r w:rsidRPr="00344668">
              <w:t xml:space="preserve">team members, other contractors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 xml:space="preserve">Assessment must ensure:    </w:t>
            </w:r>
          </w:p>
          <w:p w:rsidR="00000000" w:rsidRPr="00344668" w:rsidP="00344668">
            <w:pPr>
              <w:pStyle w:val="BodyText"/>
            </w:pPr>
            <w:r w:rsidRPr="00344668">
              <w:t>A workplace conducting the operations covered by this competency unit, equipment and resources relevant to the context of the work (See Range Statement) and support from a competent supervisor or mentor.</w:t>
            </w:r>
          </w:p>
          <w:p w:rsidR="00000000" w:rsidRPr="00344668" w:rsidP="00344668">
            <w:pPr>
              <w:pStyle w:val="BodyText"/>
            </w:pPr>
            <w:r w:rsidRPr="00344668">
              <w:t>OR</w:t>
            </w:r>
          </w:p>
          <w:p w:rsidR="00000000" w:rsidP="00344668">
            <w:pPr>
              <w:pStyle w:val="BodyText"/>
              <w:rPr>
                <w:lang w:val="en-NZ"/>
              </w:rPr>
            </w:pPr>
            <w:r w:rsidRPr="00344668">
              <w:t>A simulated environment with similar provisions w</w:t>
            </w:r>
            <w:r w:rsidRPr="00344668">
              <w:t xml:space="preserve">hich conforms to the Assessment Guidelines.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 xml:space="preserve">Access must be provided to appropriate learning and assessment support when required. </w:t>
            </w:r>
          </w:p>
          <w:p w:rsidR="00000000" w:rsidRPr="00344668" w:rsidP="00344668">
            <w:pPr>
              <w:pStyle w:val="BodyText"/>
            </w:pPr>
            <w:r w:rsidRPr="00344668">
              <w:t>Assessment processes and techniques must be culturally appropriate, and appropriat</w:t>
            </w:r>
            <w:r w:rsidRPr="00344668">
              <w:t>e to the oral communication skill level, and language and literacy capacity of the candidate and the work being performed.</w:t>
            </w:r>
          </w:p>
          <w:p w:rsidR="00000000" w:rsidRPr="00344668" w:rsidP="00344668">
            <w:pPr>
              <w:pStyle w:val="BodyText"/>
            </w:pPr>
            <w:r w:rsidRPr="00344668">
              <w:t xml:space="preserve">In all cases where practical assessment is used it will be combined with targeted questioning to assess underpinning knowledge. </w:t>
            </w:r>
          </w:p>
        </w:tc>
      </w:tr>
    </w:tbl>
    <w:p w:rsidR="00000000" w:rsidRPr="00344668" w:rsidP="00344668">
      <w:pPr>
        <w:pStyle w:val="BodyText"/>
      </w:pPr>
    </w:p>
    <w:p w:rsidR="00000000" w:rsidRPr="00344668" w:rsidP="00344668">
      <w:pPr>
        <w:pStyle w:val="AllowPageBreak"/>
      </w:pPr>
    </w:p>
    <w:p w:rsidR="00000000" w:rsidRPr="00344668" w:rsidP="00344668">
      <w:pPr>
        <w:pStyle w:val="Heading1"/>
      </w:pPr>
      <w:bookmarkStart w:id="11" w:name="O_320527"/>
      <w:bookmarkEnd w:id="11"/>
      <w:r w:rsidRPr="00344668">
        <w:t>Range Statement</w:t>
      </w:r>
    </w:p>
    <w:tbl>
      <w:tblPr>
        <w:tblW w:w="0" w:type="auto"/>
        <w:tblLayout w:type="fixed"/>
        <w:tblCellMar>
          <w:left w:w="62" w:type="dxa"/>
          <w:right w:w="62" w:type="dxa"/>
        </w:tblCellMar>
        <w:tblLook w:val="0000"/>
      </w:tblPr>
      <w:tblGrid>
        <w:gridCol w:w="4500"/>
        <w:gridCol w:w="4500"/>
      </w:tblGrid>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The range statement relates to the unit of competency as a whole. It allows for different work environments and situations that may affect performance. </w:t>
            </w:r>
            <w:r w:rsidRPr="00344668">
              <w:rPr>
                <w:rStyle w:val="SpecialBold"/>
              </w:rPr>
              <w:t>Bold italicised</w:t>
            </w:r>
            <w:r w:rsidRPr="00344668">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344668">
              <w:t xml:space="preserve">gional contexts) may also be included.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Strategies to manage infrastructure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Appropriate separations, fastening techniques, correct use of cable trays and support systems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Cable termination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occur at a frame or outlet location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Cable termina</w:t>
            </w:r>
            <w:r w:rsidRPr="00344668">
              <w:t xml:space="preserve">tion: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Is usually done individually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Termination systems: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manufacturers proprietary systems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Work site contaminants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Include: dust, water, paint, building debris, asbestos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Cable conductor identification codes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colour coded, banded, numbered, lettered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Record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record cards, record books, cable drawings, cable plans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Site access approval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verbal or written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Site security systems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include: registered entry requirements, electronic surveillance, security clearance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Site requirements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include: noise control, relationships with other customer activities, presentation, access and egress points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Customers specifications for support systems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found in: contract documents, cable plans and designs, specification schedules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Safe working practices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Includes the safe use and handling of: tools and equipment, materials, chemicals and work pla</w:t>
            </w:r>
            <w:r w:rsidRPr="00344668">
              <w:t xml:space="preserve">tforms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Work platforms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ladders, scaffold, scissor lifts ('cherry pickers)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Tools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hand or power and include manufacturers proprietary terminating tools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Manufacturers specifications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be found in printed instruction leaflets or pre printed on materials or on product packaging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Industry standards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May include regulated or industry codes of practice and include appropriate ACMA technical standards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All cable used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Must be co</w:t>
            </w:r>
            <w:r w:rsidRPr="00344668">
              <w:t xml:space="preserve">mpliant with appropriate ACMA technical standard requirements (eg. for underground, aerial, Category 5 or like Category 6, 6A, 7 or 7A, UTP etc)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All cabling products other than cable must be: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ACMA approved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Remote Power Feed </w:t>
            </w: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Applies to telecommunications services which operate at above TNV (Telecommunications Network Voltage)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4668">
            <w:pPr>
              <w:pStyle w:val="BodyText"/>
              <w:rPr>
                <w:lang w:val="en-NZ"/>
              </w:rPr>
            </w:pPr>
            <w:r w:rsidRPr="00344668">
              <w:t xml:space="preserve">Relevant legislation, codes, regulations and standards </w:t>
            </w:r>
          </w:p>
        </w:tc>
        <w:tc>
          <w:tcPr>
            <w:tcW w:w="4500" w:type="dxa"/>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 xml:space="preserve">Include:    </w:t>
            </w:r>
          </w:p>
          <w:p w:rsidR="00000000" w:rsidRPr="00344668" w:rsidP="00344668">
            <w:pPr>
              <w:pStyle w:val="BodyText"/>
            </w:pPr>
            <w:r w:rsidRPr="00344668">
              <w:t>Technical Standards AS/ACIF S008:2006, AS/ACIF S009:2006</w:t>
            </w:r>
          </w:p>
          <w:p w:rsidR="00000000" w:rsidRPr="00344668" w:rsidP="00344668">
            <w:pPr>
              <w:pStyle w:val="BodyText"/>
            </w:pPr>
            <w:r w:rsidRPr="00344668">
              <w:t>AS Communications Cabl</w:t>
            </w:r>
            <w:r w:rsidRPr="00344668">
              <w:t>ing Manaul (CCM) Volume 1</w:t>
            </w:r>
          </w:p>
          <w:p w:rsidR="00000000" w:rsidRPr="00344668" w:rsidP="00344668">
            <w:pPr>
              <w:pStyle w:val="BodyText"/>
            </w:pPr>
            <w:r w:rsidRPr="00344668">
              <w:t>ACIF Standards and Codes</w:t>
            </w:r>
          </w:p>
          <w:p w:rsidR="00000000" w:rsidRPr="00344668" w:rsidP="00344668">
            <w:pPr>
              <w:pStyle w:val="BodyText"/>
            </w:pPr>
            <w:r w:rsidRPr="00344668">
              <w:t>AS/NZS 3000:2007</w:t>
            </w:r>
          </w:p>
          <w:p w:rsidR="00000000" w:rsidP="00344668">
            <w:pPr>
              <w:pStyle w:val="BodyText"/>
              <w:rPr>
                <w:lang w:val="en-NZ"/>
              </w:rPr>
            </w:pPr>
            <w:r w:rsidRPr="00344668">
              <w:t xml:space="preserve">AS/NZS 3080:2003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44668" w:rsidP="00344668">
            <w:pPr>
              <w:pStyle w:val="BodyText"/>
            </w:pPr>
            <w:r w:rsidRPr="00344668">
              <w:t>AS/NZS 3084:2003</w:t>
            </w:r>
          </w:p>
          <w:p w:rsidR="00000000" w:rsidRPr="00344668" w:rsidP="00344668">
            <w:pPr>
              <w:pStyle w:val="BodyText"/>
            </w:pPr>
            <w:r w:rsidRPr="00344668">
              <w:t>AS/NZS 3085.1:2004</w:t>
            </w:r>
          </w:p>
          <w:p w:rsidR="00000000" w:rsidRPr="00344668" w:rsidP="00344668">
            <w:pPr>
              <w:pStyle w:val="BodyText"/>
            </w:pPr>
            <w:r w:rsidRPr="00344668">
              <w:t>AS/NZS ISO/IEC 15018:2005</w:t>
            </w:r>
          </w:p>
          <w:p w:rsidR="00000000" w:rsidRPr="00344668" w:rsidP="00344668">
            <w:pPr>
              <w:pStyle w:val="BodyText"/>
            </w:pPr>
            <w:r w:rsidRPr="00344668">
              <w:t xml:space="preserve">AS/NZS ISO/IEC 24702:2007 </w:t>
            </w:r>
          </w:p>
          <w:p w:rsidR="00000000" w:rsidRPr="00344668" w:rsidP="00344668">
            <w:pPr>
              <w:pStyle w:val="BodyText"/>
            </w:pPr>
            <w:r w:rsidRPr="00344668">
              <w:t>AS/NZS IEC 61935.1:2006</w:t>
            </w:r>
          </w:p>
          <w:p w:rsidR="00000000" w:rsidRPr="00344668" w:rsidP="00344668">
            <w:pPr>
              <w:pStyle w:val="BodyText"/>
            </w:pPr>
            <w:r w:rsidRPr="00344668">
              <w:t>AS/NZS IEC 61935.2:2006</w:t>
            </w:r>
          </w:p>
          <w:p w:rsidR="00000000" w:rsidRPr="00344668" w:rsidP="00344668">
            <w:pPr>
              <w:pStyle w:val="BodyText"/>
            </w:pPr>
            <w:r w:rsidRPr="00344668">
              <w:t>AS/NZS ISO/IEC 14763.3:2007</w:t>
            </w:r>
          </w:p>
          <w:p w:rsidR="00000000" w:rsidRPr="00344668" w:rsidP="00344668">
            <w:pPr>
              <w:pStyle w:val="BodyText"/>
            </w:pPr>
            <w:r w:rsidRPr="00344668">
              <w:t>ISO Draft 11801 (International)</w:t>
            </w:r>
          </w:p>
          <w:p w:rsidR="00000000" w:rsidP="00344668">
            <w:pPr>
              <w:pStyle w:val="BodyText"/>
              <w:rPr>
                <w:lang w:val="en-NZ"/>
              </w:rPr>
            </w:pPr>
            <w:r w:rsidRPr="00344668">
              <w:t xml:space="preserve">Cabling security codes and regulations </w:t>
            </w:r>
          </w:p>
        </w:tc>
      </w:tr>
      <w:tr w:rsidTr="00C2715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44668" w:rsidP="00344668">
            <w:pPr>
              <w:pStyle w:val="BodyText"/>
            </w:pPr>
          </w:p>
        </w:tc>
      </w:tr>
    </w:tbl>
    <w:p w:rsidR="00000000" w:rsidRPr="00344668" w:rsidP="00344668">
      <w:pPr>
        <w:pStyle w:val="BodyText"/>
      </w:pPr>
    </w:p>
    <w:p w:rsidR="00000000" w:rsidRPr="00344668" w:rsidP="00344668">
      <w:pPr>
        <w:pStyle w:val="AllowPageBreak"/>
      </w:pPr>
    </w:p>
    <w:p w:rsidR="00000000" w:rsidRPr="00344668" w:rsidP="00344668">
      <w:pPr>
        <w:pStyle w:val="Heading1"/>
      </w:pPr>
      <w:bookmarkStart w:id="12" w:name="O_320526"/>
      <w:bookmarkEnd w:id="12"/>
      <w:r w:rsidRPr="00344668">
        <w:t>Unit Sector(s)</w:t>
      </w:r>
    </w:p>
    <w:p w:rsidR="00000000" w:rsidRPr="00344668" w:rsidP="00344668">
      <w:pPr>
        <w:pStyle w:val="BodyText"/>
      </w:pPr>
      <w:r w:rsidRPr="00344668">
        <w:t>Not applicable.</w:t>
      </w:r>
    </w:p>
    <w:p w:rsidR="00000000" w:rsidRPr="00344668" w:rsidP="00344668"/>
    <w:sectPr w:rsidSect="003446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15E" w:rsidP="00C27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5E" w:rsidP="00344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715E" w:rsidP="003446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715E" w:rsidP="003446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15E" w:rsidP="00C271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5E" w:rsidP="00344668">
    <w:pPr>
      <w:pStyle w:val="Header"/>
      <w:framePr w:wrap="around"/>
    </w:pPr>
    <w:r>
      <w:fldChar w:fldCharType="begin"/>
    </w:r>
    <w:r>
      <w:instrText xml:space="preserve"> TITLE   \* MERGEFORMAT </w:instrText>
    </w:r>
    <w:r>
      <w:fldChar w:fldCharType="separate"/>
    </w:r>
    <w:r>
      <w:t>ICTTC008D Terminate metallic conductor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715E" w:rsidP="003446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6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668"/>
    <w:pPr>
      <w:spacing w:before="360" w:after="60"/>
      <w:outlineLvl w:val="0"/>
    </w:pPr>
    <w:rPr>
      <w:sz w:val="32"/>
    </w:rPr>
  </w:style>
  <w:style w:type="paragraph" w:styleId="Heading2">
    <w:name w:val="heading 2"/>
    <w:basedOn w:val="HeadingBase"/>
    <w:next w:val="BodyText"/>
    <w:link w:val="Heading2Char"/>
    <w:qFormat/>
    <w:rsid w:val="00344668"/>
    <w:pPr>
      <w:keepLines/>
      <w:spacing w:before="240" w:after="120"/>
      <w:outlineLvl w:val="1"/>
    </w:pPr>
    <w:rPr>
      <w:sz w:val="28"/>
      <w:szCs w:val="40"/>
    </w:rPr>
  </w:style>
  <w:style w:type="paragraph" w:styleId="Heading3">
    <w:name w:val="heading 3"/>
    <w:basedOn w:val="HeadingBase"/>
    <w:next w:val="BodyText"/>
    <w:link w:val="Heading3Char"/>
    <w:qFormat/>
    <w:rsid w:val="00344668"/>
    <w:pPr>
      <w:spacing w:before="180" w:after="120"/>
      <w:outlineLvl w:val="2"/>
    </w:pPr>
    <w:rPr>
      <w:spacing w:val="-10"/>
      <w:kern w:val="32"/>
    </w:rPr>
  </w:style>
  <w:style w:type="paragraph" w:styleId="Heading4">
    <w:name w:val="heading 4"/>
    <w:basedOn w:val="HeadingBase"/>
    <w:next w:val="BodyText"/>
    <w:link w:val="Heading4Char"/>
    <w:qFormat/>
    <w:rsid w:val="00344668"/>
    <w:pPr>
      <w:spacing w:before="160" w:after="120"/>
      <w:outlineLvl w:val="3"/>
    </w:pPr>
    <w:rPr>
      <w:sz w:val="22"/>
    </w:rPr>
  </w:style>
  <w:style w:type="paragraph" w:styleId="Heading5">
    <w:name w:val="heading 5"/>
    <w:basedOn w:val="HeadingBase"/>
    <w:next w:val="Normal"/>
    <w:link w:val="Heading5Char"/>
    <w:qFormat/>
    <w:rsid w:val="00344668"/>
    <w:pPr>
      <w:spacing w:before="80"/>
      <w:outlineLvl w:val="4"/>
    </w:pPr>
    <w:rPr>
      <w:color w:val="918585"/>
      <w:sz w:val="20"/>
    </w:rPr>
  </w:style>
  <w:style w:type="paragraph" w:styleId="Heading6">
    <w:name w:val="heading 6"/>
    <w:basedOn w:val="HeadingBase"/>
    <w:next w:val="Normal"/>
    <w:link w:val="Heading6Char"/>
    <w:qFormat/>
    <w:rsid w:val="00344668"/>
    <w:pPr>
      <w:spacing w:before="60"/>
      <w:outlineLvl w:val="5"/>
    </w:pPr>
    <w:rPr>
      <w:color w:val="918585"/>
      <w:sz w:val="20"/>
    </w:rPr>
  </w:style>
  <w:style w:type="paragraph" w:styleId="Heading7">
    <w:name w:val="heading 7"/>
    <w:basedOn w:val="Normal"/>
    <w:next w:val="Normal"/>
    <w:link w:val="Heading7Char"/>
    <w:qFormat/>
    <w:rsid w:val="00344668"/>
    <w:pPr>
      <w:ind w:left="720"/>
      <w:outlineLvl w:val="6"/>
    </w:pPr>
    <w:rPr>
      <w:i/>
    </w:rPr>
  </w:style>
  <w:style w:type="paragraph" w:styleId="Heading8">
    <w:name w:val="heading 8"/>
    <w:basedOn w:val="Normal"/>
    <w:next w:val="Normal"/>
    <w:link w:val="Heading8Char"/>
    <w:qFormat/>
    <w:rsid w:val="00344668"/>
    <w:pPr>
      <w:ind w:left="720"/>
      <w:outlineLvl w:val="7"/>
    </w:pPr>
    <w:rPr>
      <w:i/>
    </w:rPr>
  </w:style>
  <w:style w:type="paragraph" w:styleId="Heading9">
    <w:name w:val="heading 9"/>
    <w:basedOn w:val="Normal"/>
    <w:next w:val="Normal"/>
    <w:link w:val="Heading9Char"/>
    <w:qFormat/>
    <w:rsid w:val="00344668"/>
    <w:pPr>
      <w:ind w:left="720"/>
      <w:outlineLvl w:val="8"/>
    </w:pPr>
    <w:rPr>
      <w:i/>
    </w:rPr>
  </w:style>
  <w:style w:type="character" w:default="1" w:styleId="DefaultParagraphFont">
    <w:name w:val="Default Paragraph Font"/>
    <w:uiPriority w:val="1"/>
    <w:unhideWhenUsed/>
    <w:rsid w:val="00344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668"/>
  </w:style>
  <w:style w:type="character" w:customStyle="1" w:styleId="Heading1Char">
    <w:name w:val="Heading 1 Char"/>
    <w:basedOn w:val="DefaultParagraphFont"/>
    <w:link w:val="Heading1"/>
    <w:rsid w:val="00344668"/>
    <w:rPr>
      <w:rFonts w:ascii="Times New Roman" w:eastAsia="Times New Roman" w:hAnsi="Times New Roman" w:cs="Times New Roman"/>
      <w:b/>
      <w:sz w:val="32"/>
      <w:szCs w:val="20"/>
      <w:lang w:eastAsia="en-US"/>
    </w:rPr>
  </w:style>
  <w:style w:type="paragraph" w:styleId="BodyText">
    <w:name w:val="Body Text"/>
    <w:basedOn w:val="Normal"/>
    <w:link w:val="BodyTextChar"/>
    <w:rsid w:val="003446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668"/>
    <w:rPr>
      <w:rFonts w:ascii="Times New Roman" w:eastAsia="Times New Roman" w:hAnsi="Times New Roman" w:cs="Times New Roman"/>
      <w:sz w:val="24"/>
      <w:lang w:val="en-US" w:eastAsia="en-US"/>
    </w:rPr>
  </w:style>
  <w:style w:type="paragraph" w:styleId="Footer">
    <w:name w:val="footer"/>
    <w:basedOn w:val="Normal"/>
    <w:link w:val="FooterChar"/>
    <w:rsid w:val="00344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66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44668"/>
    <w:rPr>
      <w:b/>
      <w:spacing w:val="0"/>
    </w:rPr>
  </w:style>
  <w:style w:type="paragraph" w:styleId="Header">
    <w:name w:val="header"/>
    <w:basedOn w:val="Normal"/>
    <w:link w:val="HeaderChar"/>
    <w:rsid w:val="00344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6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4668"/>
    <w:pPr>
      <w:spacing w:before="240" w:after="120"/>
      <w:outlineLvl w:val="0"/>
    </w:pPr>
    <w:rPr>
      <w:rFonts w:ascii="Times New Roman" w:hAnsi="Times New Roman"/>
      <w:b/>
      <w:sz w:val="28"/>
    </w:rPr>
  </w:style>
  <w:style w:type="paragraph" w:customStyle="1" w:styleId="AllowPageBreak">
    <w:name w:val="AllowPageBreak"/>
    <w:rsid w:val="00344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6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6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668"/>
    <w:rPr>
      <w:rFonts w:ascii="Courier New" w:eastAsia="Times New Roman" w:hAnsi="Courier New" w:cs="Times New Roman"/>
      <w:i/>
      <w:szCs w:val="20"/>
      <w:lang w:val="en-US" w:eastAsia="en-US"/>
    </w:rPr>
  </w:style>
  <w:style w:type="paragraph" w:customStyle="1" w:styleId="HeadingBase">
    <w:name w:val="Heading Base"/>
    <w:rsid w:val="00344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668"/>
    <w:pPr>
      <w:tabs>
        <w:tab w:val="right" w:leader="dot" w:pos="9072"/>
      </w:tabs>
      <w:ind w:left="567"/>
    </w:pPr>
    <w:rPr>
      <w:szCs w:val="22"/>
    </w:rPr>
  </w:style>
  <w:style w:type="paragraph" w:customStyle="1" w:styleId="TOCBase">
    <w:name w:val="TOC Base"/>
    <w:rsid w:val="00344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668"/>
    <w:pPr>
      <w:tabs>
        <w:tab w:val="right" w:leader="dot" w:pos="9072"/>
      </w:tabs>
      <w:spacing w:before="40" w:after="40"/>
      <w:ind w:left="284"/>
    </w:pPr>
    <w:rPr>
      <w:rFonts w:ascii="Times New Roman" w:hAnsi="Times New Roman"/>
    </w:rPr>
  </w:style>
  <w:style w:type="paragraph" w:styleId="TOC1">
    <w:name w:val="toc 1"/>
    <w:basedOn w:val="TOCBase"/>
    <w:next w:val="Normal"/>
    <w:rsid w:val="003446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668"/>
    <w:pPr>
      <w:spacing w:before="5040"/>
      <w:jc w:val="center"/>
    </w:pPr>
    <w:rPr>
      <w:sz w:val="48"/>
      <w:szCs w:val="72"/>
      <w:lang w:val="en-US"/>
    </w:rPr>
  </w:style>
  <w:style w:type="character" w:customStyle="1" w:styleId="TitleChar">
    <w:name w:val="Title Char"/>
    <w:basedOn w:val="DefaultParagraphFont"/>
    <w:link w:val="Title"/>
    <w:rsid w:val="00344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668"/>
    <w:pPr>
      <w:tabs>
        <w:tab w:val="left" w:pos="3600"/>
        <w:tab w:val="left" w:pos="3958"/>
      </w:tabs>
    </w:pPr>
  </w:style>
  <w:style w:type="paragraph" w:styleId="List">
    <w:name w:val="List"/>
    <w:basedOn w:val="BodyText"/>
    <w:next w:val="BodyText"/>
    <w:rsid w:val="00344668"/>
    <w:pPr>
      <w:tabs>
        <w:tab w:val="left" w:pos="340"/>
      </w:tabs>
      <w:spacing w:before="60" w:after="60"/>
      <w:ind w:left="340" w:hanging="340"/>
    </w:pPr>
  </w:style>
  <w:style w:type="paragraph" w:styleId="ListBullet">
    <w:name w:val="List Bullet"/>
    <w:basedOn w:val="List"/>
    <w:rsid w:val="00344668"/>
    <w:pPr>
      <w:numPr>
        <w:numId w:val="11"/>
      </w:numPr>
      <w:tabs>
        <w:tab w:val="clear" w:pos="340"/>
      </w:tabs>
      <w:spacing w:before="40" w:after="40"/>
    </w:pPr>
  </w:style>
  <w:style w:type="paragraph" w:customStyle="1" w:styleId="Note">
    <w:name w:val="Note"/>
    <w:basedOn w:val="BodyText"/>
    <w:rsid w:val="00344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668"/>
    <w:pPr>
      <w:framePr w:wrap="auto" w:hAnchor="text" w:y="6049"/>
    </w:pPr>
    <w:rPr>
      <w:color w:val="000000"/>
      <w:sz w:val="40"/>
    </w:rPr>
  </w:style>
  <w:style w:type="paragraph" w:customStyle="1" w:styleId="TOCTitle">
    <w:name w:val="TOCTitle"/>
    <w:basedOn w:val="Heading1"/>
    <w:rsid w:val="00344668"/>
    <w:pPr>
      <w:spacing w:after="240"/>
      <w:jc w:val="center"/>
      <w:outlineLvl w:val="9"/>
    </w:pPr>
    <w:rPr>
      <w:caps/>
    </w:rPr>
  </w:style>
  <w:style w:type="paragraph" w:customStyle="1" w:styleId="Version">
    <w:name w:val="Version"/>
    <w:rsid w:val="003446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668"/>
    <w:pPr>
      <w:numPr>
        <w:numId w:val="12"/>
      </w:numPr>
      <w:tabs>
        <w:tab w:val="clear" w:pos="680"/>
      </w:tabs>
    </w:pPr>
  </w:style>
  <w:style w:type="paragraph" w:styleId="Index1">
    <w:name w:val="index 1"/>
    <w:basedOn w:val="Normal"/>
    <w:next w:val="Normal"/>
    <w:semiHidden/>
    <w:rsid w:val="00344668"/>
    <w:pPr>
      <w:keepNext w:val="0"/>
      <w:tabs>
        <w:tab w:val="right" w:pos="4176"/>
      </w:tabs>
      <w:ind w:left="198" w:hanging="198"/>
    </w:pPr>
    <w:rPr>
      <w:rFonts w:ascii="Garamond" w:hAnsi="Garamond"/>
    </w:rPr>
  </w:style>
  <w:style w:type="paragraph" w:styleId="IndexHeading">
    <w:name w:val="index heading"/>
    <w:basedOn w:val="Normal"/>
    <w:next w:val="Index1"/>
    <w:semiHidden/>
    <w:rsid w:val="00344668"/>
    <w:pPr>
      <w:spacing w:before="120" w:after="120"/>
    </w:pPr>
    <w:rPr>
      <w:rFonts w:ascii="Arial" w:hAnsi="Arial"/>
      <w:b/>
      <w:color w:val="918585"/>
      <w:sz w:val="24"/>
    </w:rPr>
  </w:style>
  <w:style w:type="paragraph" w:customStyle="1" w:styleId="Chapter">
    <w:name w:val="Chapter"/>
    <w:basedOn w:val="Normal"/>
    <w:rsid w:val="00344668"/>
    <w:pPr>
      <w:spacing w:before="240"/>
    </w:pPr>
    <w:rPr>
      <w:rFonts w:ascii="Times New Roman" w:hAnsi="Times New Roman"/>
      <w:smallCaps/>
      <w:spacing w:val="80"/>
      <w:sz w:val="28"/>
    </w:rPr>
  </w:style>
  <w:style w:type="paragraph" w:customStyle="1" w:styleId="InChapter">
    <w:name w:val="InChapter"/>
    <w:basedOn w:val="Heading3"/>
    <w:rsid w:val="00344668"/>
    <w:pPr>
      <w:spacing w:after="240"/>
      <w:outlineLvl w:val="9"/>
    </w:pPr>
    <w:rPr>
      <w:noProof/>
    </w:rPr>
  </w:style>
  <w:style w:type="paragraph" w:styleId="Index2">
    <w:name w:val="index 2"/>
    <w:basedOn w:val="Normal"/>
    <w:next w:val="Normal"/>
    <w:semiHidden/>
    <w:rsid w:val="00344668"/>
    <w:pPr>
      <w:tabs>
        <w:tab w:val="right" w:pos="4176"/>
      </w:tabs>
      <w:ind w:left="568" w:hanging="284"/>
    </w:pPr>
    <w:rPr>
      <w:rFonts w:ascii="Garamond" w:hAnsi="Garamond"/>
    </w:rPr>
  </w:style>
  <w:style w:type="paragraph" w:customStyle="1" w:styleId="Byline">
    <w:name w:val="Byline"/>
    <w:rsid w:val="00344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668"/>
    <w:pPr>
      <w:tabs>
        <w:tab w:val="clear" w:pos="3600"/>
        <w:tab w:val="clear" w:pos="3958"/>
      </w:tabs>
      <w:jc w:val="right"/>
    </w:pPr>
  </w:style>
  <w:style w:type="character" w:styleId="Emphasis">
    <w:name w:val="Emphasis"/>
    <w:basedOn w:val="DefaultParagraphFont"/>
    <w:qFormat/>
    <w:rsid w:val="00344668"/>
    <w:rPr>
      <w:i/>
    </w:rPr>
  </w:style>
  <w:style w:type="paragraph" w:styleId="Caption">
    <w:name w:val="caption"/>
    <w:basedOn w:val="BodyText"/>
    <w:next w:val="Normal"/>
    <w:qFormat/>
    <w:rsid w:val="00344668"/>
    <w:pPr>
      <w:framePr w:w="2268" w:hSpace="181" w:vSpace="181" w:wrap="around" w:vAnchor="text" w:hAnchor="page" w:x="1135" w:y="285" w:anchorLock="1"/>
    </w:pPr>
    <w:rPr>
      <w:i/>
    </w:rPr>
  </w:style>
  <w:style w:type="paragraph" w:customStyle="1" w:styleId="MiniTOCTitle">
    <w:name w:val="MiniTOCTitle"/>
    <w:basedOn w:val="Heading4"/>
    <w:rsid w:val="00344668"/>
    <w:pPr>
      <w:spacing w:before="240"/>
      <w:outlineLvl w:val="9"/>
    </w:pPr>
    <w:rPr>
      <w:noProof/>
      <w:sz w:val="24"/>
    </w:rPr>
  </w:style>
  <w:style w:type="paragraph" w:customStyle="1" w:styleId="MiniTOCItem">
    <w:name w:val="MiniTOCItem"/>
    <w:basedOn w:val="ListBullet"/>
    <w:rsid w:val="00344668"/>
    <w:pPr>
      <w:numPr>
        <w:numId w:val="0"/>
      </w:numPr>
      <w:tabs>
        <w:tab w:val="right" w:leader="dot" w:pos="6521"/>
      </w:tabs>
      <w:spacing w:before="0" w:after="0"/>
    </w:pPr>
  </w:style>
  <w:style w:type="paragraph" w:customStyle="1" w:styleId="TOFTitle">
    <w:name w:val="TOFTitle"/>
    <w:basedOn w:val="TOCTitle"/>
    <w:rsid w:val="00344668"/>
  </w:style>
  <w:style w:type="paragraph" w:styleId="TableofFigures">
    <w:name w:val="table of figures"/>
    <w:basedOn w:val="Normal"/>
    <w:next w:val="Normal"/>
    <w:semiHidden/>
    <w:rsid w:val="00344668"/>
    <w:pPr>
      <w:tabs>
        <w:tab w:val="right" w:leader="dot" w:pos="9072"/>
      </w:tabs>
      <w:ind w:left="970" w:hanging="403"/>
    </w:pPr>
    <w:rPr>
      <w:rFonts w:ascii="Times New Roman" w:hAnsi="Times New Roman"/>
      <w:b/>
    </w:rPr>
  </w:style>
  <w:style w:type="paragraph" w:styleId="ListNumber">
    <w:name w:val="List Number"/>
    <w:basedOn w:val="List"/>
    <w:rsid w:val="00344668"/>
    <w:pPr>
      <w:numPr>
        <w:numId w:val="9"/>
      </w:numPr>
    </w:pPr>
  </w:style>
  <w:style w:type="character" w:customStyle="1" w:styleId="WingdingSymbols">
    <w:name w:val="Wingding Symbols"/>
    <w:rsid w:val="00344668"/>
    <w:rPr>
      <w:rFonts w:ascii="Wingdings" w:hAnsi="Wingdings"/>
    </w:rPr>
  </w:style>
  <w:style w:type="paragraph" w:customStyle="1" w:styleId="TableHeading">
    <w:name w:val="Table Heading"/>
    <w:basedOn w:val="HeadingBase"/>
    <w:rsid w:val="00344668"/>
    <w:pPr>
      <w:keepLines/>
      <w:pBdr>
        <w:bottom w:val="single" w:sz="6" w:space="1" w:color="918585"/>
      </w:pBdr>
      <w:spacing w:before="240"/>
    </w:pPr>
  </w:style>
  <w:style w:type="character" w:customStyle="1" w:styleId="HotSpot">
    <w:name w:val="HotSpot"/>
    <w:rsid w:val="00344668"/>
    <w:rPr>
      <w:color w:val="0033CC"/>
      <w:u w:val="none"/>
    </w:rPr>
  </w:style>
  <w:style w:type="paragraph" w:customStyle="1" w:styleId="BodyTextRight">
    <w:name w:val="Body Text Right"/>
    <w:basedOn w:val="BodyText"/>
    <w:rsid w:val="00344668"/>
    <w:pPr>
      <w:spacing w:before="0" w:after="0"/>
      <w:jc w:val="right"/>
    </w:pPr>
  </w:style>
  <w:style w:type="paragraph" w:styleId="Index3">
    <w:name w:val="index 3"/>
    <w:basedOn w:val="ListNumber2"/>
    <w:next w:val="Normal"/>
    <w:semiHidden/>
    <w:rsid w:val="00344668"/>
    <w:pPr>
      <w:numPr>
        <w:numId w:val="0"/>
      </w:numPr>
      <w:tabs>
        <w:tab w:val="right" w:leader="dot" w:pos="4176"/>
      </w:tabs>
    </w:pPr>
  </w:style>
  <w:style w:type="paragraph" w:styleId="ListNumber2">
    <w:name w:val="List Number 2"/>
    <w:basedOn w:val="List2"/>
    <w:rsid w:val="00344668"/>
    <w:pPr>
      <w:numPr>
        <w:numId w:val="8"/>
      </w:numPr>
      <w:tabs>
        <w:tab w:val="clear" w:pos="1060"/>
      </w:tabs>
    </w:pPr>
  </w:style>
  <w:style w:type="paragraph" w:customStyle="1" w:styleId="MarginNote">
    <w:name w:val="Margin Note"/>
    <w:basedOn w:val="BodyText"/>
    <w:rsid w:val="00344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6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668"/>
    <w:rPr>
      <w:sz w:val="32"/>
    </w:rPr>
  </w:style>
  <w:style w:type="paragraph" w:customStyle="1" w:styleId="HeadingProcedure">
    <w:name w:val="Heading Procedure"/>
    <w:basedOn w:val="HeadingBase"/>
    <w:next w:val="Normal"/>
    <w:rsid w:val="00344668"/>
    <w:pPr>
      <w:tabs>
        <w:tab w:val="left" w:pos="0"/>
      </w:tabs>
      <w:spacing w:before="120" w:after="60"/>
    </w:pPr>
    <w:rPr>
      <w:i/>
      <w:color w:val="918585"/>
      <w:sz w:val="22"/>
    </w:rPr>
  </w:style>
  <w:style w:type="paragraph" w:customStyle="1" w:styleId="TableBodyText">
    <w:name w:val="Table Body Text"/>
    <w:basedOn w:val="BodyText"/>
    <w:rsid w:val="00344668"/>
    <w:pPr>
      <w:spacing w:before="60" w:after="60"/>
    </w:pPr>
  </w:style>
  <w:style w:type="paragraph" w:styleId="ListContinue">
    <w:name w:val="List Continue"/>
    <w:basedOn w:val="List"/>
    <w:rsid w:val="00344668"/>
    <w:pPr>
      <w:ind w:firstLine="0"/>
    </w:pPr>
  </w:style>
  <w:style w:type="paragraph" w:customStyle="1" w:styleId="ListNote">
    <w:name w:val="List Note"/>
    <w:basedOn w:val="List"/>
    <w:rsid w:val="00344668"/>
    <w:pPr>
      <w:pBdr>
        <w:top w:val="single" w:sz="6" w:space="2" w:color="918585"/>
        <w:bottom w:val="single" w:sz="6" w:space="2" w:color="918585"/>
      </w:pBdr>
      <w:tabs>
        <w:tab w:val="left" w:pos="1021"/>
      </w:tabs>
      <w:ind w:firstLine="0"/>
    </w:pPr>
  </w:style>
  <w:style w:type="paragraph" w:customStyle="1" w:styleId="Warning">
    <w:name w:val="Warning"/>
    <w:basedOn w:val="BodyText"/>
    <w:rsid w:val="00344668"/>
    <w:pPr>
      <w:shd w:val="clear" w:color="auto" w:fill="D9D9D9"/>
      <w:tabs>
        <w:tab w:val="left" w:pos="992"/>
      </w:tabs>
      <w:ind w:left="119" w:right="119"/>
    </w:pPr>
    <w:rPr>
      <w:sz w:val="20"/>
    </w:rPr>
  </w:style>
  <w:style w:type="paragraph" w:customStyle="1" w:styleId="MarginIcons">
    <w:name w:val="Margin Icons"/>
    <w:basedOn w:val="BodyText"/>
    <w:rsid w:val="00344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668"/>
    <w:rPr>
      <w:rFonts w:ascii="Courier New" w:hAnsi="Courier New"/>
    </w:rPr>
  </w:style>
  <w:style w:type="paragraph" w:customStyle="1" w:styleId="NoteBullet">
    <w:name w:val="Note Bullet"/>
    <w:basedOn w:val="Note"/>
    <w:rsid w:val="00344668"/>
    <w:pPr>
      <w:tabs>
        <w:tab w:val="clear" w:pos="680"/>
      </w:tabs>
      <w:spacing w:before="60" w:after="60"/>
    </w:pPr>
  </w:style>
  <w:style w:type="paragraph" w:customStyle="1" w:styleId="SubHeading2">
    <w:name w:val="SubHeading2"/>
    <w:basedOn w:val="HeadingBase"/>
    <w:rsid w:val="00344668"/>
    <w:pPr>
      <w:spacing w:before="240" w:after="60"/>
    </w:pPr>
    <w:rPr>
      <w:sz w:val="20"/>
    </w:rPr>
  </w:style>
  <w:style w:type="paragraph" w:customStyle="1" w:styleId="SubHeading1">
    <w:name w:val="SubHeading1"/>
    <w:basedOn w:val="HeadingBase"/>
    <w:rsid w:val="00344668"/>
    <w:pPr>
      <w:spacing w:before="240" w:after="60"/>
    </w:pPr>
    <w:rPr>
      <w:color w:val="918585"/>
      <w:sz w:val="22"/>
    </w:rPr>
  </w:style>
  <w:style w:type="paragraph" w:customStyle="1" w:styleId="SideHeading">
    <w:name w:val="Side Heading"/>
    <w:basedOn w:val="HeadingBase"/>
    <w:rsid w:val="00344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668"/>
    <w:pPr>
      <w:numPr>
        <w:numId w:val="10"/>
      </w:numPr>
    </w:pPr>
  </w:style>
  <w:style w:type="paragraph" w:styleId="PlainText">
    <w:name w:val="Plain Text"/>
    <w:basedOn w:val="Normal"/>
    <w:link w:val="PlainTextChar"/>
    <w:rsid w:val="00344668"/>
    <w:rPr>
      <w:sz w:val="20"/>
    </w:rPr>
  </w:style>
  <w:style w:type="character" w:customStyle="1" w:styleId="PlainTextChar">
    <w:name w:val="Plain Text Char"/>
    <w:basedOn w:val="DefaultParagraphFont"/>
    <w:link w:val="PlainText"/>
    <w:rsid w:val="003446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4668"/>
    <w:rPr>
      <w:b/>
      <w:smallCaps/>
    </w:rPr>
  </w:style>
  <w:style w:type="paragraph" w:customStyle="1" w:styleId="TableListNumber">
    <w:name w:val="Table List Number"/>
    <w:basedOn w:val="ListNumber"/>
    <w:rsid w:val="00344668"/>
    <w:pPr>
      <w:numPr>
        <w:numId w:val="0"/>
      </w:numPr>
    </w:pPr>
  </w:style>
  <w:style w:type="paragraph" w:styleId="TOC4">
    <w:name w:val="toc 4"/>
    <w:basedOn w:val="TOCBase"/>
    <w:next w:val="Normal"/>
    <w:semiHidden/>
    <w:rsid w:val="00344668"/>
    <w:pPr>
      <w:tabs>
        <w:tab w:val="right" w:leader="dot" w:pos="9071"/>
      </w:tabs>
      <w:ind w:left="1701"/>
    </w:pPr>
  </w:style>
  <w:style w:type="paragraph" w:customStyle="1" w:styleId="ListAlpha">
    <w:name w:val="List Alpha"/>
    <w:basedOn w:val="List"/>
    <w:rsid w:val="00344668"/>
    <w:pPr>
      <w:numPr>
        <w:numId w:val="7"/>
      </w:numPr>
    </w:pPr>
  </w:style>
  <w:style w:type="paragraph" w:customStyle="1" w:styleId="ListAlpha2">
    <w:name w:val="List Alpha 2"/>
    <w:basedOn w:val="List2"/>
    <w:rsid w:val="00344668"/>
    <w:pPr>
      <w:numPr>
        <w:numId w:val="6"/>
      </w:numPr>
    </w:pPr>
  </w:style>
  <w:style w:type="paragraph" w:styleId="List2">
    <w:name w:val="List 2"/>
    <w:basedOn w:val="BodyText"/>
    <w:rsid w:val="00344668"/>
    <w:pPr>
      <w:tabs>
        <w:tab w:val="left" w:pos="680"/>
      </w:tabs>
      <w:spacing w:before="60" w:after="60"/>
      <w:ind w:left="680" w:hanging="340"/>
    </w:pPr>
  </w:style>
  <w:style w:type="paragraph" w:styleId="List3">
    <w:name w:val="List 3"/>
    <w:basedOn w:val="BodyText"/>
    <w:rsid w:val="00344668"/>
    <w:pPr>
      <w:tabs>
        <w:tab w:val="left" w:pos="1021"/>
      </w:tabs>
      <w:spacing w:before="60" w:after="60"/>
      <w:ind w:left="1020" w:hanging="340"/>
    </w:pPr>
  </w:style>
  <w:style w:type="paragraph" w:styleId="List4">
    <w:name w:val="List 4"/>
    <w:basedOn w:val="BodyText"/>
    <w:rsid w:val="00344668"/>
    <w:pPr>
      <w:tabs>
        <w:tab w:val="left" w:pos="1361"/>
      </w:tabs>
      <w:spacing w:before="60" w:after="60"/>
      <w:ind w:left="1361" w:hanging="340"/>
    </w:pPr>
  </w:style>
  <w:style w:type="paragraph" w:styleId="List5">
    <w:name w:val="List 5"/>
    <w:basedOn w:val="BodyText"/>
    <w:rsid w:val="00344668"/>
    <w:pPr>
      <w:tabs>
        <w:tab w:val="left" w:pos="1701"/>
      </w:tabs>
      <w:spacing w:before="60" w:after="60"/>
      <w:ind w:left="1701" w:hanging="340"/>
    </w:pPr>
  </w:style>
  <w:style w:type="paragraph" w:styleId="ListBullet3">
    <w:name w:val="List Bullet 3"/>
    <w:basedOn w:val="List3"/>
    <w:rsid w:val="00344668"/>
    <w:pPr>
      <w:numPr>
        <w:numId w:val="13"/>
      </w:numPr>
      <w:tabs>
        <w:tab w:val="clear" w:pos="1021"/>
      </w:tabs>
      <w:ind w:left="1037" w:hanging="357"/>
    </w:pPr>
  </w:style>
  <w:style w:type="paragraph" w:styleId="ListBullet4">
    <w:name w:val="List Bullet 4"/>
    <w:basedOn w:val="List4"/>
    <w:rsid w:val="00344668"/>
    <w:pPr>
      <w:numPr>
        <w:numId w:val="1"/>
      </w:numPr>
    </w:pPr>
  </w:style>
  <w:style w:type="paragraph" w:styleId="ListBullet5">
    <w:name w:val="List Bullet 5"/>
    <w:basedOn w:val="List5"/>
    <w:rsid w:val="00344668"/>
    <w:pPr>
      <w:numPr>
        <w:numId w:val="2"/>
      </w:numPr>
    </w:pPr>
  </w:style>
  <w:style w:type="paragraph" w:styleId="ListContinue2">
    <w:name w:val="List Continue 2"/>
    <w:basedOn w:val="List2"/>
    <w:rsid w:val="00344668"/>
    <w:pPr>
      <w:ind w:firstLine="0"/>
    </w:pPr>
  </w:style>
  <w:style w:type="paragraph" w:styleId="ListContinue3">
    <w:name w:val="List Continue 3"/>
    <w:basedOn w:val="List3"/>
    <w:rsid w:val="00344668"/>
    <w:pPr>
      <w:ind w:left="1021" w:firstLine="0"/>
    </w:pPr>
  </w:style>
  <w:style w:type="paragraph" w:styleId="ListContinue4">
    <w:name w:val="List Continue 4"/>
    <w:basedOn w:val="List4"/>
    <w:rsid w:val="00344668"/>
    <w:pPr>
      <w:ind w:firstLine="0"/>
    </w:pPr>
  </w:style>
  <w:style w:type="paragraph" w:styleId="ListContinue5">
    <w:name w:val="List Continue 5"/>
    <w:basedOn w:val="List5"/>
    <w:rsid w:val="00344668"/>
    <w:pPr>
      <w:ind w:firstLine="0"/>
    </w:pPr>
  </w:style>
  <w:style w:type="paragraph" w:styleId="ListNumber3">
    <w:name w:val="List Number 3"/>
    <w:basedOn w:val="List3"/>
    <w:rsid w:val="00344668"/>
    <w:pPr>
      <w:numPr>
        <w:numId w:val="3"/>
      </w:numPr>
    </w:pPr>
  </w:style>
  <w:style w:type="paragraph" w:styleId="ListNumber4">
    <w:name w:val="List Number 4"/>
    <w:basedOn w:val="List4"/>
    <w:rsid w:val="00344668"/>
    <w:pPr>
      <w:numPr>
        <w:numId w:val="4"/>
      </w:numPr>
    </w:pPr>
  </w:style>
  <w:style w:type="paragraph" w:styleId="ListNumber5">
    <w:name w:val="List Number 5"/>
    <w:basedOn w:val="List5"/>
    <w:rsid w:val="00344668"/>
    <w:pPr>
      <w:numPr>
        <w:numId w:val="5"/>
      </w:numPr>
    </w:pPr>
  </w:style>
  <w:style w:type="paragraph" w:styleId="BlockText">
    <w:name w:val="Block Text"/>
    <w:basedOn w:val="Normal"/>
    <w:rsid w:val="00344668"/>
    <w:pPr>
      <w:spacing w:after="120"/>
      <w:ind w:left="1440" w:right="1440"/>
    </w:pPr>
  </w:style>
  <w:style w:type="character" w:customStyle="1" w:styleId="Subscript">
    <w:name w:val="Subscript"/>
    <w:basedOn w:val="DefaultParagraphFont"/>
    <w:rsid w:val="00344668"/>
    <w:rPr>
      <w:sz w:val="16"/>
      <w:vertAlign w:val="subscript"/>
    </w:rPr>
  </w:style>
  <w:style w:type="character" w:customStyle="1" w:styleId="Superscript">
    <w:name w:val="Superscript"/>
    <w:basedOn w:val="DefaultParagraphFont"/>
    <w:rsid w:val="00344668"/>
    <w:rPr>
      <w:sz w:val="16"/>
      <w:vertAlign w:val="superscript"/>
    </w:rPr>
  </w:style>
  <w:style w:type="character" w:customStyle="1" w:styleId="Symbols">
    <w:name w:val="Symbols"/>
    <w:basedOn w:val="DefaultParagraphFont"/>
    <w:rsid w:val="00344668"/>
    <w:rPr>
      <w:rFonts w:ascii="Symbol" w:hAnsi="Symbol"/>
    </w:rPr>
  </w:style>
  <w:style w:type="character" w:customStyle="1" w:styleId="MenuOptions">
    <w:name w:val="Menu Options"/>
    <w:basedOn w:val="DefaultParagraphFont"/>
    <w:rsid w:val="00344668"/>
    <w:rPr>
      <w:rFonts w:ascii="Arial Narrow" w:hAnsi="Arial Narrow"/>
      <w:smallCaps/>
    </w:rPr>
  </w:style>
  <w:style w:type="character" w:customStyle="1" w:styleId="Buttons">
    <w:name w:val="Buttons"/>
    <w:basedOn w:val="DefaultParagraphFont"/>
    <w:rsid w:val="00344668"/>
    <w:rPr>
      <w:b/>
    </w:rPr>
  </w:style>
  <w:style w:type="character" w:customStyle="1" w:styleId="Underlined">
    <w:name w:val="Underlined"/>
    <w:basedOn w:val="DefaultParagraphFont"/>
    <w:rsid w:val="00344668"/>
    <w:rPr>
      <w:u w:val="single"/>
    </w:rPr>
  </w:style>
  <w:style w:type="paragraph" w:customStyle="1" w:styleId="TableBodyTextRight">
    <w:name w:val="Table Body Text Right"/>
    <w:basedOn w:val="TableBodyText"/>
    <w:rsid w:val="00344668"/>
    <w:pPr>
      <w:widowControl w:val="0"/>
      <w:autoSpaceDE w:val="0"/>
      <w:autoSpaceDN w:val="0"/>
      <w:adjustRightInd w:val="0"/>
      <w:jc w:val="right"/>
    </w:pPr>
    <w:rPr>
      <w:rFonts w:cs="Arial"/>
      <w:szCs w:val="18"/>
    </w:rPr>
  </w:style>
  <w:style w:type="paragraph" w:customStyle="1" w:styleId="CopyrightText">
    <w:name w:val="Copyright Text"/>
    <w:basedOn w:val="BodyText"/>
    <w:rsid w:val="00344668"/>
    <w:rPr>
      <w:sz w:val="18"/>
    </w:rPr>
  </w:style>
  <w:style w:type="paragraph" w:customStyle="1" w:styleId="BodySmallRight">
    <w:name w:val="Body Small Right"/>
    <w:basedOn w:val="BodyTextRight"/>
    <w:rsid w:val="00344668"/>
    <w:rPr>
      <w:sz w:val="18"/>
      <w:szCs w:val="18"/>
    </w:rPr>
  </w:style>
  <w:style w:type="paragraph" w:customStyle="1" w:styleId="MarginEdition">
    <w:name w:val="Margin Edition"/>
    <w:basedOn w:val="MarginNote"/>
    <w:rsid w:val="00344668"/>
    <w:pPr>
      <w:spacing w:before="0" w:after="0"/>
    </w:pPr>
    <w:rPr>
      <w:rFonts w:ascii="Times New Roman" w:hAnsi="Times New Roman"/>
      <w:color w:val="999999"/>
    </w:rPr>
  </w:style>
  <w:style w:type="paragraph" w:customStyle="1" w:styleId="Spacer">
    <w:name w:val="Spacer"/>
    <w:basedOn w:val="Normal"/>
    <w:rsid w:val="00344668"/>
    <w:rPr>
      <w:sz w:val="2"/>
      <w:szCs w:val="2"/>
    </w:rPr>
  </w:style>
  <w:style w:type="character" w:customStyle="1" w:styleId="Small">
    <w:name w:val="Small"/>
    <w:basedOn w:val="DefaultParagraphFont"/>
    <w:rsid w:val="00344668"/>
    <w:rPr>
      <w:sz w:val="16"/>
    </w:rPr>
  </w:style>
  <w:style w:type="paragraph" w:customStyle="1" w:styleId="WideTable">
    <w:name w:val="Wide Table"/>
    <w:basedOn w:val="Normal"/>
    <w:rsid w:val="00344668"/>
    <w:pPr>
      <w:ind w:left="-1418"/>
    </w:pPr>
    <w:rPr>
      <w:sz w:val="2"/>
      <w:szCs w:val="2"/>
    </w:rPr>
  </w:style>
  <w:style w:type="character" w:styleId="PageNumber">
    <w:name w:val="page number"/>
    <w:basedOn w:val="DefaultParagraphFont"/>
    <w:rsid w:val="00344668"/>
  </w:style>
  <w:style w:type="paragraph" w:styleId="Quote">
    <w:name w:val="Quote"/>
    <w:basedOn w:val="Heading1"/>
    <w:link w:val="QuoteChar"/>
    <w:qFormat/>
    <w:rsid w:val="00344668"/>
    <w:rPr>
      <w:b w:val="0"/>
      <w:sz w:val="72"/>
      <w:szCs w:val="72"/>
      <w:lang w:val="en-NZ"/>
    </w:rPr>
  </w:style>
  <w:style w:type="character" w:customStyle="1" w:styleId="QuoteChar">
    <w:name w:val="Quote Char"/>
    <w:basedOn w:val="DefaultParagraphFont"/>
    <w:link w:val="Quote"/>
    <w:rsid w:val="00344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668"/>
    <w:pPr>
      <w:pageBreakBefore/>
    </w:pPr>
  </w:style>
  <w:style w:type="paragraph" w:customStyle="1" w:styleId="Border">
    <w:name w:val="Border"/>
    <w:basedOn w:val="Normal"/>
    <w:qFormat/>
    <w:rsid w:val="00344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668"/>
    <w:rPr>
      <w:b/>
      <w:bCs/>
      <w:i/>
      <w:iCs/>
      <w:color w:val="auto"/>
    </w:rPr>
  </w:style>
  <w:style w:type="paragraph" w:styleId="IntenseQuote">
    <w:name w:val="Intense Quote"/>
    <w:basedOn w:val="Normal"/>
    <w:next w:val="Normal"/>
    <w:link w:val="IntenseQuoteChar"/>
    <w:uiPriority w:val="30"/>
    <w:qFormat/>
    <w:rsid w:val="00344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6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4668"/>
    <w:rPr>
      <w:smallCaps/>
      <w:color w:val="auto"/>
      <w:u w:val="single"/>
    </w:rPr>
  </w:style>
  <w:style w:type="character" w:styleId="IntenseReference">
    <w:name w:val="Intense Reference"/>
    <w:basedOn w:val="DefaultParagraphFont"/>
    <w:uiPriority w:val="32"/>
    <w:qFormat/>
    <w:rsid w:val="00344668"/>
    <w:rPr>
      <w:b/>
      <w:bCs/>
      <w:smallCaps/>
      <w:color w:val="auto"/>
      <w:spacing w:val="5"/>
      <w:u w:val="single"/>
    </w:rPr>
  </w:style>
  <w:style w:type="paragraph" w:customStyle="1" w:styleId="2ColumnHeading">
    <w:name w:val="2Column Heading"/>
    <w:basedOn w:val="BodyText"/>
    <w:qFormat/>
    <w:rsid w:val="00344668"/>
    <w:pPr>
      <w:spacing w:after="60"/>
      <w:ind w:left="-2268"/>
    </w:pPr>
    <w:rPr>
      <w:b/>
    </w:rPr>
  </w:style>
  <w:style w:type="paragraph" w:customStyle="1" w:styleId="Heading1TOC">
    <w:name w:val="Heading1 TOC"/>
    <w:basedOn w:val="Normal"/>
    <w:qFormat/>
    <w:rsid w:val="00344668"/>
    <w:pPr>
      <w:spacing w:before="240" w:after="120"/>
    </w:pPr>
    <w:rPr>
      <w:rFonts w:ascii="Times New Roman" w:hAnsi="Times New Roman"/>
      <w:b/>
      <w:sz w:val="32"/>
    </w:rPr>
  </w:style>
  <w:style w:type="paragraph" w:customStyle="1" w:styleId="Heading2TOC">
    <w:name w:val="Heading2 TOC"/>
    <w:basedOn w:val="Normal"/>
    <w:qFormat/>
    <w:rsid w:val="00344668"/>
    <w:pPr>
      <w:spacing w:before="240" w:after="60"/>
    </w:pPr>
    <w:rPr>
      <w:rFonts w:ascii="Times New Roman" w:hAnsi="Times New Roman"/>
      <w:b/>
      <w:sz w:val="28"/>
    </w:rPr>
  </w:style>
  <w:style w:type="character" w:customStyle="1" w:styleId="Underline">
    <w:name w:val="Underline"/>
    <w:basedOn w:val="DefaultParagraphFont"/>
    <w:qFormat/>
    <w:rsid w:val="00344668"/>
    <w:rPr>
      <w:u w:val="single"/>
    </w:rPr>
  </w:style>
  <w:style w:type="character" w:customStyle="1" w:styleId="BoldandItalics">
    <w:name w:val="Bold and Italics"/>
    <w:qFormat/>
    <w:rsid w:val="00344668"/>
    <w:rPr>
      <w:b/>
      <w:i/>
      <w:u w:val="none"/>
    </w:rPr>
  </w:style>
  <w:style w:type="paragraph" w:styleId="BalloonText">
    <w:name w:val="Balloon Text"/>
    <w:basedOn w:val="Normal"/>
    <w:link w:val="BalloonTextChar"/>
    <w:rsid w:val="00344668"/>
    <w:rPr>
      <w:rFonts w:ascii="Tahoma" w:hAnsi="Tahoma" w:cs="Tahoma"/>
      <w:sz w:val="16"/>
      <w:szCs w:val="16"/>
    </w:rPr>
  </w:style>
  <w:style w:type="character" w:customStyle="1" w:styleId="BalloonTextChar">
    <w:name w:val="Balloon Text Char"/>
    <w:basedOn w:val="DefaultParagraphFont"/>
    <w:link w:val="BalloonText"/>
    <w:rsid w:val="003446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6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6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1854</Words>
  <Characters>11232</Characters>
  <Application>Microsoft Office Word</Application>
  <DocSecurity>0</DocSecurity>
  <Lines>467</Lines>
  <Paragraphs>210</Paragraphs>
  <ScaleCrop>false</ScaleCrop>
  <Company>Author-it Software Corporation Ltd.</Company>
  <LinksUpToDate>false</LinksUpToDate>
  <CharactersWithSpaces>12958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ICTTC008D Terminate metallic conductor cable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2012-05-27T01:24:00Z</dcterms:created>
  <dcterms:modified xsi:type="dcterms:W3CDTF">2012-05-27T01:24:00Z</dcterms:modified>
</cp:coreProperties>
</file>