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1A01" w:rsidP="00A91A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ICTWHS202 Work safely in a radio frequency electromagnetic radiation environment</w:t>
      </w:r>
      <w:r>
        <w:fldChar w:fldCharType="end"/>
      </w:r>
    </w:p>
    <w:p w:rsidR="00A91A01" w:rsidP="00A91A01">
      <w:pPr>
        <w:pStyle w:val="Version"/>
        <w:sectPr w:rsidSect="004F75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75B5" w:rsidP="004F75B5">
      <w:pPr>
        <w:pStyle w:val="SuperHeading"/>
      </w:pPr>
      <w:r w:rsidRPr="004F75B5">
        <w:t>ICTWHS202 Work safely in a radio frequency electromagnetic radiation environment</w:t>
      </w:r>
    </w:p>
    <w:p w:rsidR="00000000" w:rsidRPr="004F75B5" w:rsidP="004F75B5">
      <w:pPr>
        <w:pStyle w:val="Heading1"/>
      </w:pPr>
      <w:bookmarkStart w:id="1" w:name="O_770255"/>
      <w:bookmarkEnd w:id="1"/>
      <w:r w:rsidRPr="004F75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F7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5B5" w:rsidP="004F75B5">
            <w:pPr>
              <w:pStyle w:val="BodyText"/>
            </w:pPr>
            <w:r w:rsidRPr="004F75B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5B5">
            <w:pPr>
              <w:pStyle w:val="BodyText"/>
              <w:rPr>
                <w:lang w:val="en-NZ"/>
              </w:rPr>
            </w:pPr>
            <w:r w:rsidRPr="004F75B5">
              <w:rPr>
                <w:rStyle w:val="SpecialBold"/>
              </w:rPr>
              <w:t>Comments</w:t>
            </w:r>
          </w:p>
        </w:tc>
      </w:tr>
      <w:tr w:rsidTr="004F7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5B5">
            <w:pPr>
              <w:pStyle w:val="BodyText"/>
              <w:rPr>
                <w:lang w:val="en-NZ"/>
              </w:rPr>
            </w:pPr>
            <w:r w:rsidRPr="004F75B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5B5" w:rsidP="004F75B5">
            <w:pPr>
              <w:pStyle w:val="BodyText"/>
            </w:pPr>
            <w:r w:rsidRPr="004F75B5">
              <w:t>This version first released with ICT Information and Communications Technology Training Package Version 2.0.</w:t>
            </w:r>
          </w:p>
        </w:tc>
      </w:tr>
    </w:tbl>
    <w:p w:rsidR="00000000" w:rsidRPr="004F75B5" w:rsidP="004F75B5">
      <w:pPr>
        <w:pStyle w:val="BodyText"/>
      </w:pPr>
    </w:p>
    <w:p w:rsidR="00000000" w:rsidRPr="004F75B5" w:rsidP="004F75B5">
      <w:pPr>
        <w:pStyle w:val="AllowPageBreak"/>
      </w:pPr>
    </w:p>
    <w:p w:rsidR="00000000" w:rsidRPr="004F75B5" w:rsidP="004F75B5">
      <w:pPr>
        <w:pStyle w:val="Heading1"/>
      </w:pPr>
      <w:bookmarkStart w:id="2" w:name="O_770256"/>
      <w:bookmarkEnd w:id="2"/>
      <w:r w:rsidRPr="004F75B5">
        <w:t>Application</w:t>
      </w:r>
    </w:p>
    <w:p w:rsidR="00000000" w:rsidRPr="004F75B5" w:rsidP="00A91A01">
      <w:pPr>
        <w:pStyle w:val="BodyText"/>
      </w:pPr>
      <w:r w:rsidRPr="004F75B5">
        <w:t xml:space="preserve">This unit describes the performance outcomes, skills and knowledge required to use organisational risk control procedures when working with a risk of exposure to radio frequency (RF) electromagnetic radiation (EMR) hazards. </w:t>
      </w:r>
    </w:p>
    <w:p w:rsidR="00000000" w:rsidRPr="004F75B5" w:rsidP="00A91A01">
      <w:pPr>
        <w:pStyle w:val="BodyText"/>
      </w:pPr>
      <w:r w:rsidRPr="004F75B5">
        <w:t>The unit applies to site maintenance staff, technicians and installers who install or maintain equipment at installations that are sources of RF EMR.</w:t>
      </w:r>
    </w:p>
    <w:p w:rsidR="00000000" w:rsidRPr="004F75B5" w:rsidP="00A91A01">
      <w:pPr>
        <w:pStyle w:val="BodyText"/>
      </w:pPr>
      <w:r w:rsidRPr="004F75B5">
        <w:t>Work functions in the occupational areas where this unit may be used are subject to regulatory requireme</w:t>
      </w:r>
      <w:r w:rsidRPr="004F75B5">
        <w:t>nts. Refer to the ICT Implementation Guide Companion Volume or the relevant regulator for details of licensing, legislative or certification requirements.</w:t>
      </w:r>
    </w:p>
    <w:p w:rsidR="00000000" w:rsidRPr="004F75B5" w:rsidP="004F75B5">
      <w:pPr>
        <w:pStyle w:val="Heading1"/>
      </w:pPr>
      <w:bookmarkStart w:id="3" w:name="O_770259"/>
      <w:bookmarkEnd w:id="3"/>
      <w:r w:rsidRPr="004F75B5">
        <w:t>Unit Sector</w:t>
      </w:r>
    </w:p>
    <w:p w:rsidR="00000000" w:rsidRPr="004F75B5" w:rsidP="00A91A01">
      <w:pPr>
        <w:pStyle w:val="BodyText"/>
      </w:pPr>
      <w:r w:rsidRPr="004F75B5">
        <w:t>Telecommunications – work health and safety</w:t>
      </w:r>
    </w:p>
    <w:p w:rsidR="00000000" w:rsidRPr="004F75B5" w:rsidP="004F75B5">
      <w:pPr>
        <w:pStyle w:val="Heading1"/>
      </w:pPr>
      <w:bookmarkStart w:id="4" w:name="O_770260"/>
      <w:bookmarkEnd w:id="4"/>
      <w:r w:rsidRPr="004F75B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9"/>
        <w:gridCol w:w="6797"/>
      </w:tblGrid>
      <w:tr w:rsidTr="004F75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5B5" w:rsidP="004F75B5">
            <w:pPr>
              <w:pStyle w:val="BodyText"/>
            </w:pPr>
            <w:r w:rsidRPr="004F75B5">
              <w:rPr>
                <w:rStyle w:val="SpecialBold"/>
              </w:rPr>
              <w:t>ELEMENT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5B5">
            <w:pPr>
              <w:pStyle w:val="BodyText"/>
              <w:rPr>
                <w:lang w:val="en-NZ"/>
              </w:rPr>
            </w:pPr>
            <w:r w:rsidRPr="004F75B5">
              <w:rPr>
                <w:rStyle w:val="SpecialBold"/>
              </w:rPr>
              <w:t>PERFORMANCE CRITERIA</w:t>
            </w:r>
          </w:p>
        </w:tc>
      </w:tr>
      <w:tr w:rsidTr="004F75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5B5" w:rsidP="004F75B5">
            <w:pPr>
              <w:pStyle w:val="BodyText"/>
            </w:pPr>
            <w:r w:rsidRPr="004F75B5">
              <w:rPr>
                <w:rStyle w:val="Emphasis"/>
              </w:rPr>
              <w:t>Elements describe the essential outcomes.</w:t>
            </w:r>
          </w:p>
        </w:tc>
        <w:tc>
          <w:tcPr>
            <w:tcW w:w="67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5B5">
            <w:pPr>
              <w:pStyle w:val="BodyText"/>
              <w:rPr>
                <w:lang w:val="en-NZ"/>
              </w:rPr>
            </w:pPr>
            <w:r w:rsidRPr="004F75B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75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5B5">
            <w:pPr>
              <w:pStyle w:val="BodyText"/>
              <w:rPr>
                <w:lang w:val="en-NZ"/>
              </w:rPr>
            </w:pPr>
            <w:r w:rsidRPr="004F75B5">
              <w:t>1. Prepare to work in RF EMR environment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5B5" w:rsidP="004F75B5">
            <w:pPr>
              <w:pStyle w:val="BodyText"/>
            </w:pPr>
            <w:r w:rsidRPr="004F75B5">
              <w:t>1.1 Identify</w:t>
            </w:r>
            <w:r w:rsidRPr="004F75B5">
              <w:t xml:space="preserve"> characteristics of RF EMR and situations that can lead to exposure to RF EMR hazards</w:t>
            </w:r>
          </w:p>
          <w:p w:rsidR="00000000" w:rsidRPr="004F75B5" w:rsidP="004F75B5">
            <w:pPr>
              <w:pStyle w:val="BodyText"/>
            </w:pPr>
            <w:r w:rsidRPr="004F75B5">
              <w:t>1.2 Identify potential effects of RF EMR on human body and contributing factors that affect it</w:t>
            </w:r>
          </w:p>
          <w:p w:rsidR="00000000" w:rsidRPr="004F75B5" w:rsidP="004F75B5">
            <w:pPr>
              <w:pStyle w:val="BodyText"/>
            </w:pPr>
            <w:r w:rsidRPr="004F75B5">
              <w:t xml:space="preserve">1.3 Research relevant regulations and standards that apply to </w:t>
            </w:r>
            <w:r w:rsidRPr="004F75B5">
              <w:t xml:space="preserve">working with </w:t>
            </w:r>
            <w:r w:rsidRPr="004F75B5">
              <w:t>and controlling RF EMR hazards</w:t>
            </w:r>
          </w:p>
          <w:p w:rsidR="00000000" w:rsidP="004F75B5">
            <w:pPr>
              <w:pStyle w:val="BodyText"/>
              <w:rPr>
                <w:lang w:val="en-NZ"/>
              </w:rPr>
            </w:pPr>
            <w:r w:rsidRPr="004F75B5">
              <w:t>1.4 Obtain and review RF EMR information required for work environment</w:t>
            </w:r>
          </w:p>
        </w:tc>
      </w:tr>
      <w:tr w:rsidTr="004F75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5B5">
            <w:pPr>
              <w:pStyle w:val="BodyText"/>
              <w:rPr>
                <w:lang w:val="en-NZ"/>
              </w:rPr>
            </w:pPr>
            <w:r w:rsidRPr="004F75B5">
              <w:t xml:space="preserve">2. Assess RF EMR risks 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5B5" w:rsidP="004F75B5">
            <w:pPr>
              <w:pStyle w:val="BodyText"/>
            </w:pPr>
            <w:r w:rsidRPr="004F75B5">
              <w:t>2.1 Assess potential RF EMR hazards in telecommunications work environment</w:t>
            </w:r>
          </w:p>
          <w:p w:rsidR="00000000" w:rsidP="004F75B5">
            <w:pPr>
              <w:pStyle w:val="BodyText"/>
              <w:rPr>
                <w:lang w:val="en-NZ"/>
              </w:rPr>
            </w:pPr>
            <w:r w:rsidRPr="004F75B5">
              <w:t>2.2 Estimate likely field strength pattern of potential RF EMR hazard</w:t>
            </w:r>
          </w:p>
        </w:tc>
      </w:tr>
      <w:tr w:rsidTr="004F75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5B5">
            <w:pPr>
              <w:pStyle w:val="BodyText"/>
              <w:rPr>
                <w:lang w:val="en-NZ"/>
              </w:rPr>
            </w:pPr>
            <w:r w:rsidRPr="004F75B5">
              <w:t>3. Control RF EMR risks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5B5" w:rsidP="004F75B5">
            <w:pPr>
              <w:pStyle w:val="BodyText"/>
            </w:pPr>
            <w:r w:rsidRPr="004F75B5">
              <w:t>3.1 Explain typical organisational controls to manage and control identified RF EMR hazards</w:t>
            </w:r>
          </w:p>
          <w:p w:rsidR="00000000" w:rsidRPr="004F75B5" w:rsidP="004F75B5">
            <w:pPr>
              <w:pStyle w:val="BodyText"/>
            </w:pPr>
            <w:r w:rsidRPr="004F75B5">
              <w:t>3.2 Choose and apply appropriate RF EMR controls</w:t>
            </w:r>
          </w:p>
          <w:p w:rsidR="00000000" w:rsidRPr="004F75B5" w:rsidP="004F75B5">
            <w:pPr>
              <w:pStyle w:val="BodyText"/>
            </w:pPr>
            <w:r w:rsidRPr="004F75B5">
              <w:t>3.3 Report EMR expos</w:t>
            </w:r>
            <w:r w:rsidRPr="004F75B5">
              <w:t>ure that exceeds acceptable levels according to organisational work health and safety (WHS) requirements</w:t>
            </w:r>
          </w:p>
        </w:tc>
      </w:tr>
    </w:tbl>
    <w:p w:rsidR="00000000" w:rsidRPr="004F75B5" w:rsidP="004F75B5">
      <w:pPr>
        <w:pStyle w:val="BodyText"/>
      </w:pPr>
    </w:p>
    <w:p w:rsidR="00000000" w:rsidRPr="004F75B5" w:rsidP="004F75B5">
      <w:pPr>
        <w:pStyle w:val="AllowPageBreak"/>
      </w:pPr>
    </w:p>
    <w:p w:rsidR="00000000" w:rsidRPr="004F75B5" w:rsidP="004F75B5">
      <w:pPr>
        <w:pStyle w:val="Heading1"/>
      </w:pPr>
      <w:bookmarkStart w:id="5" w:name="O_770261"/>
      <w:bookmarkEnd w:id="5"/>
      <w:r w:rsidRPr="004F75B5">
        <w:t>Foundation Skills</w:t>
      </w:r>
    </w:p>
    <w:p w:rsidR="00000000" w:rsidRPr="00A91A01" w:rsidP="00A91A01">
      <w:pPr>
        <w:pStyle w:val="BodyText"/>
        <w:rPr>
          <w:i/>
        </w:rPr>
      </w:pPr>
      <w:r w:rsidRPr="00A91A01">
        <w:rPr>
          <w:rStyle w:val="Emphasis"/>
        </w:rPr>
        <w:t>This section describes language, literacy, numeracy and employment skills incorporated in the performance criteria</w:t>
      </w:r>
      <w:r w:rsidRPr="00A91A01">
        <w:rPr>
          <w:rStyle w:val="Emphasis"/>
        </w:rPr>
        <w:t xml:space="preserve">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4F75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5B5" w:rsidP="004F75B5">
            <w:pPr>
              <w:pStyle w:val="BodyText"/>
            </w:pPr>
            <w:r w:rsidRPr="004F75B5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5B5" w:rsidP="004F75B5">
            <w:pPr>
              <w:pStyle w:val="BodyText"/>
            </w:pPr>
            <w:r w:rsidRPr="004F75B5">
              <w:rPr>
                <w:rStyle w:val="SpecialBold"/>
              </w:rPr>
              <w:t>Performance</w:t>
            </w:r>
          </w:p>
          <w:p w:rsidR="00000000" w:rsidRPr="004F75B5" w:rsidP="004F75B5">
            <w:pPr>
              <w:pStyle w:val="BodyText"/>
            </w:pPr>
            <w:r w:rsidRPr="004F75B5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5B5">
            <w:pPr>
              <w:pStyle w:val="BodyText"/>
              <w:rPr>
                <w:lang w:val="en-NZ"/>
              </w:rPr>
            </w:pPr>
            <w:r w:rsidRPr="004F75B5">
              <w:rPr>
                <w:rStyle w:val="SpecialBold"/>
              </w:rPr>
              <w:t>Description</w:t>
            </w:r>
          </w:p>
        </w:tc>
      </w:tr>
      <w:tr w:rsidTr="004F75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5B5">
            <w:pPr>
              <w:pStyle w:val="BodyText"/>
              <w:rPr>
                <w:lang w:val="en-NZ"/>
              </w:rPr>
            </w:pPr>
            <w:r w:rsidRPr="004F75B5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5B5">
            <w:pPr>
              <w:pStyle w:val="BodyText"/>
              <w:rPr>
                <w:lang w:val="en-NZ"/>
              </w:rPr>
            </w:pPr>
            <w:r w:rsidRPr="004F75B5">
              <w:t>1.1-1.4, 2.1, 2.2,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5B5">
            <w:pPr>
              <w:pStyle w:val="ListBullet"/>
              <w:rPr>
                <w:lang w:val="en-NZ"/>
              </w:rPr>
            </w:pPr>
            <w:r w:rsidRPr="004F75B5">
              <w:t>Uses a number of reading strategies to identify and interpret relevant information within familiar text types</w:t>
            </w:r>
          </w:p>
        </w:tc>
      </w:tr>
      <w:tr w:rsidTr="004F75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5B5">
            <w:pPr>
              <w:pStyle w:val="BodyText"/>
              <w:rPr>
                <w:lang w:val="en-NZ"/>
              </w:rPr>
            </w:pPr>
            <w:r w:rsidRPr="004F75B5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5B5">
            <w:pPr>
              <w:pStyle w:val="BodyText"/>
              <w:rPr>
                <w:lang w:val="en-NZ"/>
              </w:rPr>
            </w:pPr>
            <w:r w:rsidRPr="004F75B5">
              <w:t>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5B5">
            <w:pPr>
              <w:pStyle w:val="ListBullet"/>
              <w:rPr>
                <w:lang w:val="en-NZ"/>
              </w:rPr>
            </w:pPr>
            <w:r w:rsidRPr="004F75B5">
              <w:t xml:space="preserve">Prepares organisational WHS documentation using clear language, correct spelling and terminology </w:t>
            </w:r>
          </w:p>
        </w:tc>
      </w:tr>
      <w:tr w:rsidTr="004F75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5B5">
            <w:pPr>
              <w:pStyle w:val="BodyText"/>
              <w:rPr>
                <w:lang w:val="en-NZ"/>
              </w:rPr>
            </w:pPr>
            <w:r w:rsidRPr="004F75B5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5B5">
            <w:pPr>
              <w:pStyle w:val="BodyText"/>
              <w:rPr>
                <w:lang w:val="en-NZ"/>
              </w:rPr>
            </w:pPr>
            <w:r w:rsidRPr="004F75B5">
              <w:t>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5B5">
            <w:pPr>
              <w:pStyle w:val="ListBullet"/>
              <w:rPr>
                <w:lang w:val="en-NZ"/>
              </w:rPr>
            </w:pPr>
            <w:r w:rsidRPr="004F75B5">
              <w:t>Uses clear language and concepts, and tone and pace appropriate for the audience and purpose</w:t>
            </w:r>
          </w:p>
        </w:tc>
      </w:tr>
      <w:tr w:rsidTr="004F75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5B5">
            <w:pPr>
              <w:pStyle w:val="BodyText"/>
              <w:rPr>
                <w:lang w:val="en-NZ"/>
              </w:rPr>
            </w:pPr>
            <w:r w:rsidRPr="004F75B5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5B5">
            <w:pPr>
              <w:pStyle w:val="BodyText"/>
              <w:rPr>
                <w:lang w:val="en-NZ"/>
              </w:rPr>
            </w:pPr>
            <w:r w:rsidRPr="004F75B5">
              <w:t>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5B5">
            <w:pPr>
              <w:pStyle w:val="ListBullet"/>
              <w:rPr>
                <w:lang w:val="en-NZ"/>
              </w:rPr>
            </w:pPr>
            <w:r w:rsidRPr="004F75B5">
              <w:t>Performs mathematical cal</w:t>
            </w:r>
            <w:r w:rsidRPr="004F75B5">
              <w:t>culations to estimate, interpret and compare RF signal strength</w:t>
            </w:r>
          </w:p>
        </w:tc>
      </w:tr>
      <w:tr w:rsidTr="004F75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5B5">
            <w:pPr>
              <w:pStyle w:val="BodyText"/>
              <w:rPr>
                <w:lang w:val="en-NZ"/>
              </w:rPr>
            </w:pPr>
            <w:r w:rsidRPr="004F75B5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5B5">
            <w:pPr>
              <w:pStyle w:val="BodyText"/>
              <w:rPr>
                <w:lang w:val="en-NZ"/>
              </w:rPr>
            </w:pPr>
            <w:r w:rsidRPr="004F75B5">
              <w:t xml:space="preserve">1.3, 1.4, 3.1-3.3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5B5">
            <w:pPr>
              <w:pStyle w:val="ListBullet"/>
              <w:rPr>
                <w:lang w:val="en-NZ"/>
              </w:rPr>
            </w:pPr>
            <w:r w:rsidRPr="004F75B5">
              <w:t>Understands responsibility to comply with legal and regulatory requirements</w:t>
            </w:r>
          </w:p>
        </w:tc>
      </w:tr>
      <w:tr w:rsidTr="004F75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5B5">
            <w:pPr>
              <w:pStyle w:val="BodyText"/>
              <w:rPr>
                <w:lang w:val="en-NZ"/>
              </w:rPr>
            </w:pPr>
            <w:r w:rsidRPr="004F75B5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5B5">
            <w:pPr>
              <w:pStyle w:val="BodyText"/>
              <w:rPr>
                <w:lang w:val="en-NZ"/>
              </w:rPr>
            </w:pPr>
            <w:r w:rsidRPr="004F75B5">
              <w:t>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5B5">
            <w:pPr>
              <w:pStyle w:val="ListBullet"/>
              <w:rPr>
                <w:lang w:val="en-NZ"/>
              </w:rPr>
            </w:pPr>
            <w:r w:rsidRPr="004F75B5">
              <w:t>Identifies and takes steps to follow accepted communication practices and protocols</w:t>
            </w:r>
          </w:p>
        </w:tc>
      </w:tr>
      <w:tr w:rsidTr="004F75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5B5">
            <w:pPr>
              <w:pStyle w:val="BodyText"/>
              <w:rPr>
                <w:lang w:val="en-NZ"/>
              </w:rPr>
            </w:pPr>
            <w:r w:rsidRPr="004F75B5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5B5">
            <w:pPr>
              <w:pStyle w:val="BodyText"/>
              <w:rPr>
                <w:lang w:val="en-NZ"/>
              </w:rPr>
            </w:pPr>
            <w:r w:rsidRPr="004F75B5">
              <w:t>1.1-1.4, 2.1,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5B5" w:rsidP="004F75B5">
            <w:pPr>
              <w:pStyle w:val="ListBullet"/>
            </w:pPr>
            <w:r w:rsidRPr="004F75B5">
              <w:t>Follows clearly defined instructions and sequencing, and monitors own progress for the task, seeking assistance when necessary</w:t>
            </w:r>
          </w:p>
          <w:p w:rsidR="00000000" w:rsidRPr="004F75B5" w:rsidP="004F75B5">
            <w:pPr>
              <w:pStyle w:val="ListBullet"/>
            </w:pPr>
            <w:r w:rsidRPr="004F75B5">
              <w:t>Ma</w:t>
            </w:r>
            <w:r w:rsidRPr="004F75B5">
              <w:t>kes low-impact decisions within familiar situations, based on a range of predefined or routine solutions</w:t>
            </w:r>
          </w:p>
          <w:p w:rsidR="00000000" w:rsidRPr="004F75B5" w:rsidP="004F75B5">
            <w:pPr>
              <w:pStyle w:val="ListBullet"/>
            </w:pPr>
            <w:r w:rsidRPr="004F75B5">
              <w:t>Responds to predictable routine problems and implements standard or logical solutions</w:t>
            </w:r>
          </w:p>
        </w:tc>
      </w:tr>
    </w:tbl>
    <w:p w:rsidR="00000000" w:rsidRPr="004F75B5" w:rsidP="004F75B5">
      <w:pPr>
        <w:pStyle w:val="BodyText"/>
      </w:pPr>
    </w:p>
    <w:p w:rsidR="00000000" w:rsidRPr="004F75B5" w:rsidP="004F75B5">
      <w:pPr>
        <w:pStyle w:val="AllowPageBreak"/>
      </w:pPr>
    </w:p>
    <w:p w:rsidR="00000000" w:rsidRPr="004F75B5" w:rsidP="004F75B5">
      <w:pPr>
        <w:pStyle w:val="Heading1"/>
      </w:pPr>
      <w:bookmarkStart w:id="6" w:name="O_770263"/>
      <w:bookmarkEnd w:id="6"/>
      <w:r w:rsidRPr="004F75B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7"/>
        <w:gridCol w:w="1787"/>
        <w:gridCol w:w="1345"/>
        <w:gridCol w:w="1472"/>
      </w:tblGrid>
      <w:tr w:rsidTr="004F7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5B5" w:rsidP="004F75B5">
            <w:pPr>
              <w:pStyle w:val="BodyText"/>
            </w:pPr>
            <w:r w:rsidRPr="004F75B5">
              <w:rPr>
                <w:rStyle w:val="SpecialBold"/>
              </w:rPr>
              <w:t xml:space="preserve">Code and title </w:t>
            </w:r>
          </w:p>
          <w:p w:rsidR="00000000" w:rsidRPr="004F75B5" w:rsidP="004F75B5">
            <w:pPr>
              <w:pStyle w:val="BodyText"/>
            </w:pPr>
            <w:r w:rsidRPr="004F75B5">
              <w:rPr>
                <w:rStyle w:val="SpecialBold"/>
              </w:rPr>
              <w:t>current version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5B5" w:rsidP="004F75B5">
            <w:pPr>
              <w:pStyle w:val="BodyText"/>
            </w:pPr>
            <w:r w:rsidRPr="004F75B5">
              <w:rPr>
                <w:rStyle w:val="SpecialBold"/>
              </w:rPr>
              <w:t>Code and title</w:t>
            </w:r>
          </w:p>
          <w:p w:rsidR="00000000" w:rsidRPr="004F75B5" w:rsidP="004F75B5">
            <w:pPr>
              <w:pStyle w:val="BodyText"/>
            </w:pPr>
            <w:r w:rsidRPr="004F75B5">
              <w:rPr>
                <w:rStyle w:val="SpecialBold"/>
              </w:rPr>
              <w:t>previous version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5B5" w:rsidP="004F75B5">
            <w:pPr>
              <w:pStyle w:val="BodyText"/>
            </w:pPr>
            <w:r w:rsidRPr="004F75B5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5B5">
            <w:pPr>
              <w:pStyle w:val="BodyText"/>
              <w:rPr>
                <w:lang w:val="en-NZ"/>
              </w:rPr>
            </w:pPr>
            <w:r w:rsidRPr="004F75B5">
              <w:rPr>
                <w:rStyle w:val="SpecialBold"/>
              </w:rPr>
              <w:t>Equivalence status</w:t>
            </w:r>
          </w:p>
        </w:tc>
      </w:tr>
      <w:tr w:rsidTr="004F7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5B5" w:rsidP="004F75B5">
            <w:pPr>
              <w:pStyle w:val="BodyText"/>
            </w:pPr>
            <w:r w:rsidRPr="004F75B5">
              <w:t>ICTWHS202 Work safely in a radio frequency electromagnetic radiation environment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5B5" w:rsidP="004F75B5">
            <w:pPr>
              <w:pStyle w:val="BodyText"/>
            </w:pPr>
            <w:r w:rsidRPr="004F75B5">
              <w:t>ICTWHS2081A Work safely in a radio frequency electromagnetic radiation environment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5B5">
            <w:pPr>
              <w:pStyle w:val="BodyText"/>
              <w:rPr>
                <w:lang w:val="en-NZ"/>
              </w:rPr>
            </w:pPr>
            <w:r w:rsidRPr="004F75B5">
              <w:t>Updated to me</w:t>
            </w:r>
            <w:r w:rsidRPr="004F75B5">
              <w:t>et Standards for Training Packages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5B5" w:rsidP="004F75B5">
            <w:pPr>
              <w:pStyle w:val="BodyText"/>
            </w:pPr>
            <w:r w:rsidRPr="004F75B5">
              <w:t>Equivalent unit</w:t>
            </w:r>
          </w:p>
        </w:tc>
      </w:tr>
    </w:tbl>
    <w:p w:rsidR="00000000" w:rsidRPr="004F75B5" w:rsidP="004F75B5">
      <w:pPr>
        <w:pStyle w:val="BodyText"/>
      </w:pPr>
    </w:p>
    <w:p w:rsidR="00000000" w:rsidRPr="004F75B5" w:rsidP="004F75B5">
      <w:pPr>
        <w:pStyle w:val="AllowPageBreak"/>
      </w:pPr>
    </w:p>
    <w:p w:rsidR="00000000" w:rsidRPr="004F75B5" w:rsidP="004F75B5">
      <w:pPr>
        <w:pStyle w:val="Heading1"/>
      </w:pPr>
      <w:bookmarkStart w:id="7" w:name="O_770270"/>
      <w:bookmarkEnd w:id="7"/>
      <w:r w:rsidRPr="004F75B5">
        <w:t>Links</w:t>
      </w:r>
    </w:p>
    <w:p w:rsidR="00000000" w:rsidRPr="004F75B5" w:rsidP="00A91A01">
      <w:pPr>
        <w:pStyle w:val="BodyText"/>
      </w:pPr>
      <w:r w:rsidRPr="004F75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63C6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F75B5" w:rsidP="004F75B5"/>
    <w:sectPr w:rsidSect="004F75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5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5B5" w:rsidRPr="00A91A01" w:rsidP="00A91A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5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A01" w:rsidP="004F75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1A01" w:rsidP="004F75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91A01" w:rsidP="004F75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5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A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75B5" w:rsidRPr="00A91A01" w:rsidP="00A91A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5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A01" w:rsidRPr="002D2AF8" w:rsidP="004F75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ICTWHS202 Work safely in a radio frequency electromagnetic radiation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91A01" w:rsidP="004F75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26BD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6633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5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75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75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75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75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75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75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75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75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75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75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75B5"/>
  </w:style>
  <w:style w:type="character" w:customStyle="1" w:styleId="Heading1Char">
    <w:name w:val="Heading 1 Char"/>
    <w:basedOn w:val="DefaultParagraphFont"/>
    <w:link w:val="Heading1"/>
    <w:rsid w:val="004F75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75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75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75B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75B5"/>
    <w:rPr>
      <w:b/>
      <w:spacing w:val="0"/>
    </w:rPr>
  </w:style>
  <w:style w:type="character" w:styleId="Emphasis">
    <w:name w:val="Emphasis"/>
    <w:basedOn w:val="DefaultParagraphFont"/>
    <w:qFormat/>
    <w:rsid w:val="004F75B5"/>
    <w:rPr>
      <w:i/>
    </w:rPr>
  </w:style>
  <w:style w:type="paragraph" w:customStyle="1" w:styleId="SuperHeading">
    <w:name w:val="SuperHeading"/>
    <w:basedOn w:val="Normal"/>
    <w:rsid w:val="004F75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75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75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75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75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75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75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75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75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75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75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75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75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75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75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75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75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75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75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75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75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75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75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75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75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75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75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75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75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75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75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75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75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75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75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75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75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75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75B5"/>
  </w:style>
  <w:style w:type="paragraph" w:styleId="TableofFigures">
    <w:name w:val="table of figures"/>
    <w:basedOn w:val="Normal"/>
    <w:next w:val="Normal"/>
    <w:semiHidden/>
    <w:rsid w:val="004F75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75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75B5"/>
    <w:rPr>
      <w:rFonts w:ascii="Wingdings" w:hAnsi="Wingdings"/>
    </w:rPr>
  </w:style>
  <w:style w:type="paragraph" w:customStyle="1" w:styleId="TableHeading">
    <w:name w:val="Table Heading"/>
    <w:basedOn w:val="HeadingBase"/>
    <w:rsid w:val="004F75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75B5"/>
    <w:rPr>
      <w:color w:val="0033CC"/>
      <w:u w:val="none"/>
    </w:rPr>
  </w:style>
  <w:style w:type="paragraph" w:customStyle="1" w:styleId="BodyTextRight">
    <w:name w:val="Body Text Right"/>
    <w:basedOn w:val="BodyText"/>
    <w:rsid w:val="004F75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75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75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75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75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75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75B5"/>
    <w:rPr>
      <w:sz w:val="32"/>
    </w:rPr>
  </w:style>
  <w:style w:type="paragraph" w:customStyle="1" w:styleId="HeadingProcedure">
    <w:name w:val="Heading Procedure"/>
    <w:basedOn w:val="HeadingBase"/>
    <w:next w:val="Normal"/>
    <w:rsid w:val="004F75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75B5"/>
    <w:pPr>
      <w:spacing w:before="60" w:after="60"/>
    </w:pPr>
  </w:style>
  <w:style w:type="paragraph" w:styleId="ListContinue">
    <w:name w:val="List Continue"/>
    <w:basedOn w:val="List"/>
    <w:rsid w:val="004F75B5"/>
    <w:pPr>
      <w:ind w:firstLine="0"/>
    </w:pPr>
  </w:style>
  <w:style w:type="paragraph" w:customStyle="1" w:styleId="ListNote">
    <w:name w:val="List Note"/>
    <w:basedOn w:val="List"/>
    <w:rsid w:val="004F75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75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75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75B5"/>
    <w:rPr>
      <w:rFonts w:ascii="Courier New" w:hAnsi="Courier New"/>
    </w:rPr>
  </w:style>
  <w:style w:type="paragraph" w:customStyle="1" w:styleId="NoteBullet">
    <w:name w:val="Note Bullet"/>
    <w:basedOn w:val="Note"/>
    <w:rsid w:val="004F75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75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75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75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75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75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75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75B5"/>
    <w:rPr>
      <w:b/>
      <w:smallCaps/>
    </w:rPr>
  </w:style>
  <w:style w:type="paragraph" w:customStyle="1" w:styleId="TableListNumber">
    <w:name w:val="Table List Number"/>
    <w:basedOn w:val="ListNumber"/>
    <w:rsid w:val="004F75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75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75B5"/>
    <w:pPr>
      <w:numPr>
        <w:numId w:val="8"/>
      </w:numPr>
    </w:pPr>
  </w:style>
  <w:style w:type="paragraph" w:customStyle="1" w:styleId="ListAlpha2">
    <w:name w:val="List Alpha 2"/>
    <w:basedOn w:val="List2"/>
    <w:rsid w:val="004F75B5"/>
    <w:pPr>
      <w:numPr>
        <w:numId w:val="7"/>
      </w:numPr>
    </w:pPr>
  </w:style>
  <w:style w:type="paragraph" w:styleId="List2">
    <w:name w:val="List 2"/>
    <w:basedOn w:val="BodyText"/>
    <w:rsid w:val="004F75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75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75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75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75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75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75B5"/>
    <w:pPr>
      <w:numPr>
        <w:numId w:val="3"/>
      </w:numPr>
    </w:pPr>
  </w:style>
  <w:style w:type="paragraph" w:styleId="ListContinue2">
    <w:name w:val="List Continue 2"/>
    <w:basedOn w:val="List2"/>
    <w:rsid w:val="004F75B5"/>
    <w:pPr>
      <w:ind w:firstLine="0"/>
    </w:pPr>
  </w:style>
  <w:style w:type="paragraph" w:styleId="ListContinue3">
    <w:name w:val="List Continue 3"/>
    <w:basedOn w:val="List3"/>
    <w:rsid w:val="004F75B5"/>
    <w:pPr>
      <w:ind w:left="1021" w:firstLine="0"/>
    </w:pPr>
  </w:style>
  <w:style w:type="paragraph" w:styleId="ListContinue4">
    <w:name w:val="List Continue 4"/>
    <w:basedOn w:val="List4"/>
    <w:rsid w:val="004F75B5"/>
    <w:pPr>
      <w:ind w:firstLine="0"/>
    </w:pPr>
  </w:style>
  <w:style w:type="paragraph" w:styleId="ListContinue5">
    <w:name w:val="List Continue 5"/>
    <w:basedOn w:val="List5"/>
    <w:rsid w:val="004F75B5"/>
    <w:pPr>
      <w:ind w:firstLine="0"/>
    </w:pPr>
  </w:style>
  <w:style w:type="paragraph" w:styleId="ListNumber3">
    <w:name w:val="List Number 3"/>
    <w:basedOn w:val="List3"/>
    <w:rsid w:val="004F75B5"/>
    <w:pPr>
      <w:numPr>
        <w:numId w:val="4"/>
      </w:numPr>
    </w:pPr>
  </w:style>
  <w:style w:type="paragraph" w:styleId="ListNumber4">
    <w:name w:val="List Number 4"/>
    <w:basedOn w:val="List4"/>
    <w:rsid w:val="004F75B5"/>
    <w:pPr>
      <w:numPr>
        <w:numId w:val="5"/>
      </w:numPr>
    </w:pPr>
  </w:style>
  <w:style w:type="paragraph" w:styleId="ListNumber5">
    <w:name w:val="List Number 5"/>
    <w:basedOn w:val="List5"/>
    <w:rsid w:val="004F75B5"/>
    <w:pPr>
      <w:numPr>
        <w:numId w:val="6"/>
      </w:numPr>
    </w:pPr>
  </w:style>
  <w:style w:type="paragraph" w:styleId="BlockText">
    <w:name w:val="Block Text"/>
    <w:basedOn w:val="Normal"/>
    <w:rsid w:val="004F75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75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75B5"/>
    <w:rPr>
      <w:sz w:val="16"/>
      <w:vertAlign w:val="superscript"/>
    </w:rPr>
  </w:style>
  <w:style w:type="character" w:customStyle="1" w:styleId="Symbols">
    <w:name w:val="Symbols"/>
    <w:basedOn w:val="DefaultParagraphFont"/>
    <w:rsid w:val="004F75B5"/>
    <w:rPr>
      <w:rFonts w:ascii="Symbol" w:hAnsi="Symbol"/>
    </w:rPr>
  </w:style>
  <w:style w:type="character" w:customStyle="1" w:styleId="MenuOptions">
    <w:name w:val="Menu Options"/>
    <w:basedOn w:val="DefaultParagraphFont"/>
    <w:rsid w:val="004F75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75B5"/>
    <w:rPr>
      <w:b/>
    </w:rPr>
  </w:style>
  <w:style w:type="character" w:customStyle="1" w:styleId="Underlined">
    <w:name w:val="Underlined"/>
    <w:basedOn w:val="DefaultParagraphFont"/>
    <w:rsid w:val="004F75B5"/>
    <w:rPr>
      <w:u w:val="single"/>
    </w:rPr>
  </w:style>
  <w:style w:type="paragraph" w:customStyle="1" w:styleId="TableBodyTextRight">
    <w:name w:val="Table Body Text Right"/>
    <w:basedOn w:val="TableBodyText"/>
    <w:rsid w:val="004F75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75B5"/>
    <w:rPr>
      <w:sz w:val="18"/>
    </w:rPr>
  </w:style>
  <w:style w:type="paragraph" w:customStyle="1" w:styleId="BodySmallRight">
    <w:name w:val="Body Small Right"/>
    <w:basedOn w:val="BodyTextRight"/>
    <w:rsid w:val="004F75B5"/>
    <w:rPr>
      <w:sz w:val="18"/>
      <w:szCs w:val="18"/>
    </w:rPr>
  </w:style>
  <w:style w:type="paragraph" w:customStyle="1" w:styleId="MarginEdition">
    <w:name w:val="Margin Edition"/>
    <w:basedOn w:val="MarginNote"/>
    <w:rsid w:val="004F75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75B5"/>
    <w:rPr>
      <w:sz w:val="2"/>
      <w:szCs w:val="2"/>
    </w:rPr>
  </w:style>
  <w:style w:type="character" w:customStyle="1" w:styleId="Small">
    <w:name w:val="Small"/>
    <w:basedOn w:val="DefaultParagraphFont"/>
    <w:rsid w:val="004F75B5"/>
    <w:rPr>
      <w:sz w:val="16"/>
    </w:rPr>
  </w:style>
  <w:style w:type="paragraph" w:customStyle="1" w:styleId="WideTable">
    <w:name w:val="Wide Table"/>
    <w:basedOn w:val="Normal"/>
    <w:rsid w:val="004F75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75B5"/>
  </w:style>
  <w:style w:type="paragraph" w:styleId="Quote">
    <w:name w:val="Quote"/>
    <w:basedOn w:val="Heading1"/>
    <w:link w:val="QuoteChar"/>
    <w:qFormat/>
    <w:rsid w:val="004F75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75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75B5"/>
    <w:pPr>
      <w:pageBreakBefore/>
    </w:pPr>
  </w:style>
  <w:style w:type="paragraph" w:customStyle="1" w:styleId="Border">
    <w:name w:val="Border"/>
    <w:basedOn w:val="Normal"/>
    <w:qFormat/>
    <w:rsid w:val="004F75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75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5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5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75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75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75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75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75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75B5"/>
    <w:rPr>
      <w:u w:val="single"/>
    </w:rPr>
  </w:style>
  <w:style w:type="character" w:customStyle="1" w:styleId="BoldandItalics">
    <w:name w:val="Bold and Italics"/>
    <w:qFormat/>
    <w:rsid w:val="004F75B5"/>
    <w:rPr>
      <w:b/>
      <w:i/>
      <w:u w:val="none"/>
    </w:rPr>
  </w:style>
  <w:style w:type="paragraph" w:styleId="BalloonText">
    <w:name w:val="Balloon Text"/>
    <w:basedOn w:val="Normal"/>
    <w:link w:val="BalloonTextChar"/>
    <w:rsid w:val="004F75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75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75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75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75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75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75B5"/>
    <w:pPr>
      <w:spacing w:before="0" w:after="0"/>
    </w:pPr>
  </w:style>
  <w:style w:type="paragraph" w:customStyle="1" w:styleId="BodyTextBold">
    <w:name w:val="Body Text Bold"/>
    <w:basedOn w:val="BodyText"/>
    <w:qFormat/>
    <w:rsid w:val="004F75B5"/>
    <w:rPr>
      <w:b/>
    </w:rPr>
  </w:style>
  <w:style w:type="character" w:styleId="Hyperlink">
    <w:name w:val="Hyperlink"/>
    <w:basedOn w:val="DefaultParagraphFont"/>
    <w:uiPriority w:val="99"/>
    <w:unhideWhenUsed/>
    <w:rsid w:val="00A91A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559</Words>
  <Characters>3517</Characters>
  <Application>Microsoft Office Word</Application>
  <DocSecurity>0</DocSecurity>
  <Lines>152</Lines>
  <Paragraphs>88</Paragraphs>
  <ScaleCrop>false</ScaleCrop>
  <Company>Author-it Software Corporation Ltd.</Company>
  <LinksUpToDate>false</LinksUpToDate>
  <CharactersWithSpaces>3988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ICTWHS202 Work safely in a radio frequency electromagnetic radiation environment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2024-12-17T22:28:00Z</dcterms:created>
  <dcterms:modified xsi:type="dcterms:W3CDTF">2024-12-17T22:28:00Z</dcterms:modified>
</cp:coreProperties>
</file>