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17D" w:rsidP="005B31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ICTTEN607 Analyse and organise repair of highly complex telecommunications network faults</w:t>
      </w:r>
      <w:r>
        <w:fldChar w:fldCharType="end"/>
      </w:r>
    </w:p>
    <w:p w:rsidR="005B317D" w:rsidP="005B317D">
      <w:pPr>
        <w:pStyle w:val="Version"/>
        <w:sectPr w:rsidSect="007623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2399" w:rsidP="00762399">
      <w:pPr>
        <w:pStyle w:val="SuperHeading"/>
      </w:pPr>
      <w:r w:rsidRPr="00762399">
        <w:t>Assessment Requirements for ICTTEN607 Analyse and organise repair of highly complex telecommunications network faults</w:t>
      </w:r>
    </w:p>
    <w:p w:rsidR="00000000" w:rsidRPr="00762399" w:rsidP="00762399">
      <w:pPr>
        <w:pStyle w:val="Heading1"/>
      </w:pPr>
      <w:bookmarkStart w:id="1" w:name="O_770017"/>
      <w:bookmarkEnd w:id="1"/>
      <w:r w:rsidRPr="007623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62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399" w:rsidP="00762399">
            <w:pPr>
              <w:pStyle w:val="BodyText"/>
            </w:pPr>
            <w:r w:rsidRPr="007623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399">
            <w:pPr>
              <w:pStyle w:val="BodyText"/>
              <w:rPr>
                <w:lang w:val="en-NZ"/>
              </w:rPr>
            </w:pPr>
            <w:r w:rsidRPr="00762399">
              <w:rPr>
                <w:rStyle w:val="SpecialBold"/>
              </w:rPr>
              <w:t>Comments</w:t>
            </w:r>
          </w:p>
        </w:tc>
      </w:tr>
      <w:tr w:rsidTr="00762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399">
            <w:pPr>
              <w:pStyle w:val="BodyText"/>
              <w:rPr>
                <w:lang w:val="en-NZ"/>
              </w:rPr>
            </w:pPr>
            <w:r w:rsidRPr="007623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399" w:rsidP="00762399">
            <w:pPr>
              <w:pStyle w:val="BodyText"/>
            </w:pPr>
            <w:r w:rsidRPr="00762399">
              <w:t>This version first released with ICT Information and Communications Technology Training Package Version 2.0.</w:t>
            </w:r>
          </w:p>
        </w:tc>
      </w:tr>
    </w:tbl>
    <w:p w:rsidR="00000000" w:rsidRPr="00762399" w:rsidP="00762399">
      <w:pPr>
        <w:pStyle w:val="BodyText"/>
      </w:pPr>
    </w:p>
    <w:p w:rsidR="00000000" w:rsidRPr="00762399" w:rsidP="00762399">
      <w:pPr>
        <w:pStyle w:val="AllowPageBreak"/>
      </w:pPr>
    </w:p>
    <w:p w:rsidR="00000000" w:rsidRPr="00762399" w:rsidP="00762399">
      <w:pPr>
        <w:pStyle w:val="Heading1"/>
      </w:pPr>
      <w:bookmarkStart w:id="2" w:name="O_770018"/>
      <w:bookmarkEnd w:id="2"/>
      <w:r w:rsidRPr="00762399">
        <w:t>Performance Evidence</w:t>
      </w:r>
    </w:p>
    <w:p w:rsidR="00000000" w:rsidRPr="00762399" w:rsidP="005B317D">
      <w:pPr>
        <w:pStyle w:val="BodyText"/>
      </w:pPr>
      <w:r w:rsidRPr="00762399">
        <w:t>Evidence of ability to:</w:t>
      </w:r>
    </w:p>
    <w:p w:rsidR="00000000" w:rsidRPr="00762399" w:rsidP="00762399">
      <w:pPr>
        <w:pStyle w:val="ListBullet"/>
      </w:pPr>
      <w:r w:rsidRPr="00762399">
        <w:t>diagnose network faults using established methodical strategies without undue disr</w:t>
      </w:r>
      <w:r w:rsidRPr="00762399">
        <w:t>uption to other services</w:t>
      </w:r>
    </w:p>
    <w:p w:rsidR="00000000" w:rsidRPr="00762399" w:rsidP="00762399">
      <w:pPr>
        <w:pStyle w:val="ListBullet"/>
      </w:pPr>
      <w:r w:rsidRPr="00762399">
        <w:t>recommend fault rectification plan to the network operations centre (NOC)</w:t>
      </w:r>
    </w:p>
    <w:p w:rsidR="00000000" w:rsidRPr="00762399" w:rsidP="00762399">
      <w:pPr>
        <w:pStyle w:val="ListBullet"/>
      </w:pPr>
      <w:r w:rsidRPr="00762399">
        <w:t>instruct on-site repairers</w:t>
      </w:r>
    </w:p>
    <w:p w:rsidR="00000000" w:rsidRPr="00762399" w:rsidP="00762399">
      <w:pPr>
        <w:pStyle w:val="ListBullet"/>
      </w:pPr>
      <w:r w:rsidRPr="00762399">
        <w:t>facilitate replacement or repair of faulty equipment with appropriate advice from vendors and manufacturers</w:t>
      </w:r>
    </w:p>
    <w:p w:rsidR="00000000" w:rsidRPr="00762399" w:rsidP="00762399">
      <w:pPr>
        <w:pStyle w:val="ListBullet"/>
      </w:pPr>
      <w:r w:rsidRPr="00762399">
        <w:t>facilitate final testing of rectified faults to ensure required performance</w:t>
      </w:r>
    </w:p>
    <w:p w:rsidR="00000000" w:rsidRPr="00762399" w:rsidP="00762399">
      <w:pPr>
        <w:pStyle w:val="ListBullet"/>
      </w:pPr>
      <w:r w:rsidRPr="00762399">
        <w:t>prepare report including deficiencies, analysis and recommendations.</w:t>
      </w:r>
    </w:p>
    <w:p w:rsidR="00000000" w:rsidRPr="00762399" w:rsidP="00762399">
      <w:pPr>
        <w:pStyle w:val="BodyText"/>
      </w:pPr>
    </w:p>
    <w:p w:rsidR="00000000" w:rsidRPr="00762399" w:rsidP="005B317D">
      <w:pPr>
        <w:pStyle w:val="BodyText"/>
      </w:pPr>
      <w:r w:rsidRPr="00762399">
        <w:t>Note: If a specific volume or frequency is not stated, then evidence must be provided at least once.</w:t>
      </w:r>
    </w:p>
    <w:p w:rsidR="00000000" w:rsidRPr="00762399" w:rsidP="00762399">
      <w:pPr>
        <w:pStyle w:val="Heading1"/>
      </w:pPr>
      <w:bookmarkStart w:id="3" w:name="O_770019"/>
      <w:bookmarkEnd w:id="3"/>
      <w:r w:rsidRPr="00762399">
        <w:t>Knowledge Evidence</w:t>
      </w:r>
    </w:p>
    <w:p w:rsidR="00000000" w:rsidRPr="00762399" w:rsidP="005B317D">
      <w:pPr>
        <w:pStyle w:val="BodyText"/>
      </w:pPr>
      <w:r w:rsidRPr="00762399">
        <w:t>To complete the unit requirements safely and effectively, the individual must:</w:t>
      </w:r>
    </w:p>
    <w:p w:rsidR="00000000" w:rsidRPr="00762399" w:rsidP="00762399">
      <w:pPr>
        <w:pStyle w:val="ListBullet"/>
      </w:pPr>
      <w:r w:rsidRPr="00762399">
        <w:t>summarise fault escalation procedures</w:t>
      </w:r>
    </w:p>
    <w:p w:rsidR="00000000" w:rsidRPr="00762399" w:rsidP="00762399">
      <w:pPr>
        <w:pStyle w:val="ListBullet"/>
      </w:pPr>
      <w:r w:rsidRPr="00762399">
        <w:t>explain fault-finding techniques and use of test equipment</w:t>
      </w:r>
    </w:p>
    <w:p w:rsidR="00000000" w:rsidRPr="00762399" w:rsidP="00762399">
      <w:pPr>
        <w:pStyle w:val="ListBullet"/>
      </w:pPr>
      <w:r w:rsidRPr="00762399">
        <w:t>outline fault types and rectification</w:t>
      </w:r>
    </w:p>
    <w:p w:rsidR="00000000" w:rsidRPr="00762399" w:rsidP="00762399">
      <w:pPr>
        <w:pStyle w:val="ListBullet"/>
      </w:pPr>
      <w:r w:rsidRPr="00762399">
        <w:t>outline the op</w:t>
      </w:r>
      <w:r w:rsidRPr="00762399">
        <w:t>eration of integrated packet optical transport networks (P-OTNs)</w:t>
      </w:r>
    </w:p>
    <w:p w:rsidR="00000000" w:rsidRPr="00762399" w:rsidP="00762399">
      <w:pPr>
        <w:pStyle w:val="ListBullet"/>
      </w:pPr>
      <w:r w:rsidRPr="00762399">
        <w:t>explain the use of International Telecommunication Union (ITU) ITU-T G.709 standard</w:t>
      </w:r>
    </w:p>
    <w:p w:rsidR="00000000" w:rsidRPr="00762399" w:rsidP="00762399">
      <w:pPr>
        <w:pStyle w:val="ListBullet"/>
      </w:pPr>
      <w:r w:rsidRPr="00762399">
        <w:t>explain network protocols</w:t>
      </w:r>
    </w:p>
    <w:p w:rsidR="00000000" w:rsidRPr="00762399" w:rsidP="00762399">
      <w:pPr>
        <w:pStyle w:val="ListBullet"/>
      </w:pPr>
      <w:r w:rsidRPr="00762399">
        <w:t>outline safety requirements and standards</w:t>
      </w:r>
    </w:p>
    <w:p w:rsidR="00000000" w:rsidRPr="00762399" w:rsidP="00762399">
      <w:pPr>
        <w:pStyle w:val="ListBullet"/>
      </w:pPr>
      <w:r w:rsidRPr="00762399">
        <w:t>explain service agreements</w:t>
      </w:r>
    </w:p>
    <w:p w:rsidR="00000000" w:rsidRPr="00762399" w:rsidP="00762399">
      <w:pPr>
        <w:pStyle w:val="ListBullet"/>
      </w:pPr>
      <w:r w:rsidRPr="00762399">
        <w:t>explain sync</w:t>
      </w:r>
      <w:r w:rsidRPr="00762399">
        <w:t>hronous digital hierarchy (SDH)</w:t>
      </w:r>
    </w:p>
    <w:p w:rsidR="00000000" w:rsidRPr="00762399" w:rsidP="00762399">
      <w:pPr>
        <w:pStyle w:val="ListBullet"/>
      </w:pPr>
      <w:r w:rsidRPr="00762399">
        <w:t>summarise transmission control protocol (TCP)-internet protocol (IP)</w:t>
      </w:r>
    </w:p>
    <w:p w:rsidR="00000000" w:rsidRPr="00762399" w:rsidP="00762399">
      <w:pPr>
        <w:pStyle w:val="ListBullet"/>
      </w:pPr>
      <w:r w:rsidRPr="00762399">
        <w:t>summarise the following types of networks and equipment:</w:t>
      </w:r>
    </w:p>
    <w:p w:rsidR="00000000" w:rsidRPr="00762399" w:rsidP="00762399">
      <w:pPr>
        <w:pStyle w:val="ListBullet2"/>
      </w:pPr>
      <w:r w:rsidRPr="00762399">
        <w:t>access</w:t>
      </w:r>
    </w:p>
    <w:p w:rsidR="00000000" w:rsidRPr="00762399" w:rsidP="00762399">
      <w:pPr>
        <w:pStyle w:val="ListBullet2"/>
      </w:pPr>
      <w:r w:rsidRPr="00762399">
        <w:t>broadband deployment</w:t>
      </w:r>
    </w:p>
    <w:p w:rsidR="00000000" w:rsidRPr="00762399" w:rsidP="00762399">
      <w:pPr>
        <w:pStyle w:val="ListBullet2"/>
      </w:pPr>
      <w:r w:rsidRPr="00762399">
        <w:t>cabling</w:t>
      </w:r>
    </w:p>
    <w:p w:rsidR="00000000" w:rsidRPr="00762399" w:rsidP="00762399">
      <w:pPr>
        <w:pStyle w:val="ListBullet2"/>
      </w:pPr>
      <w:r w:rsidRPr="00762399">
        <w:t>customer premises’ equipment (CPE)</w:t>
      </w:r>
    </w:p>
    <w:p w:rsidR="00000000" w:rsidRPr="00762399" w:rsidP="00762399">
      <w:pPr>
        <w:pStyle w:val="ListBullet2"/>
      </w:pPr>
      <w:r w:rsidRPr="00762399">
        <w:t>IP networks for enterprise and customer systems and installations</w:t>
      </w:r>
    </w:p>
    <w:p w:rsidR="00000000" w:rsidRPr="00762399" w:rsidP="00762399">
      <w:pPr>
        <w:pStyle w:val="ListBullet2"/>
      </w:pPr>
      <w:r w:rsidRPr="00762399">
        <w:t>local area networks (LAN)</w:t>
      </w:r>
    </w:p>
    <w:p w:rsidR="00000000" w:rsidRPr="00762399" w:rsidP="00762399">
      <w:pPr>
        <w:pStyle w:val="ListBullet2"/>
      </w:pPr>
      <w:r w:rsidRPr="00762399">
        <w:t>telephony</w:t>
      </w:r>
    </w:p>
    <w:p w:rsidR="00000000" w:rsidRPr="00762399" w:rsidP="00762399">
      <w:pPr>
        <w:pStyle w:val="ListBullet2"/>
      </w:pPr>
      <w:r w:rsidRPr="00762399">
        <w:t>wide area networks (WAN).</w:t>
      </w:r>
    </w:p>
    <w:p w:rsidR="00000000" w:rsidRPr="00762399" w:rsidP="00762399">
      <w:pPr>
        <w:pStyle w:val="AllowPageBreak"/>
      </w:pPr>
    </w:p>
    <w:p w:rsidR="00000000" w:rsidRPr="00762399" w:rsidP="00762399">
      <w:pPr>
        <w:pStyle w:val="Heading1"/>
      </w:pPr>
      <w:bookmarkStart w:id="4" w:name="O_770020"/>
      <w:bookmarkEnd w:id="4"/>
      <w:r w:rsidRPr="00762399">
        <w:t>Assessment Conditions</w:t>
      </w:r>
    </w:p>
    <w:p w:rsidR="00000000" w:rsidRPr="00762399" w:rsidP="005B317D">
      <w:pPr>
        <w:pStyle w:val="BodyText"/>
      </w:pPr>
      <w:r w:rsidRPr="00762399">
        <w:t>Gather evidence to demonstrate consistent performance in conditions that are safe and rep</w:t>
      </w:r>
      <w:r w:rsidRPr="00762399">
        <w:t>licate the workplace. Noise levels, production flow, interruptions and time variances should be typical of those experienced in the telecommunications networks engineering field of work and include access to:</w:t>
      </w:r>
    </w:p>
    <w:p w:rsidR="00000000" w:rsidRPr="00762399" w:rsidP="00762399">
      <w:pPr>
        <w:pStyle w:val="ListBullet"/>
      </w:pPr>
      <w:r w:rsidRPr="00762399">
        <w:t>a site where highly complex network faults may</w:t>
      </w:r>
      <w:r w:rsidRPr="00762399">
        <w:t xml:space="preserve"> be demonstrated and analysed without jeopardising live traffic</w:t>
      </w:r>
    </w:p>
    <w:p w:rsidR="00000000" w:rsidRPr="00762399" w:rsidP="00762399">
      <w:pPr>
        <w:pStyle w:val="ListBullet"/>
      </w:pPr>
      <w:r w:rsidRPr="00762399">
        <w:t>equipment currently used in industry</w:t>
      </w:r>
    </w:p>
    <w:p w:rsidR="00000000" w:rsidRPr="00762399" w:rsidP="00762399">
      <w:pPr>
        <w:pStyle w:val="ListBullet"/>
      </w:pPr>
      <w:r w:rsidRPr="00762399">
        <w:t>design specifications and manufacturer</w:t>
      </w:r>
      <w:r>
        <w:t>’</w:t>
      </w:r>
      <w:r w:rsidRPr="00762399">
        <w:t>s manuals and reference materials.</w:t>
      </w:r>
    </w:p>
    <w:p w:rsidR="00000000" w:rsidRPr="00762399" w:rsidP="00762399">
      <w:pPr>
        <w:pStyle w:val="BodyText"/>
      </w:pPr>
    </w:p>
    <w:p w:rsidR="00000000" w:rsidRPr="00762399" w:rsidP="005B317D">
      <w:pPr>
        <w:pStyle w:val="BodyText"/>
      </w:pPr>
      <w:r w:rsidRPr="00762399">
        <w:t>Assessors of this unit must satisfy the requirements for assessors in applicable vocational education and training legislation, frameworks and/or standards.</w:t>
      </w:r>
    </w:p>
    <w:p w:rsidR="00000000" w:rsidRPr="00762399" w:rsidP="00762399">
      <w:pPr>
        <w:pStyle w:val="Heading1"/>
      </w:pPr>
      <w:bookmarkStart w:id="5" w:name="O_770023"/>
      <w:bookmarkEnd w:id="5"/>
      <w:r w:rsidRPr="00762399">
        <w:t>Links</w:t>
      </w:r>
    </w:p>
    <w:p w:rsidR="00000000" w:rsidRPr="00762399" w:rsidP="005B317D">
      <w:pPr>
        <w:pStyle w:val="BodyText"/>
      </w:pPr>
      <w:r w:rsidRPr="007623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A043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62399" w:rsidP="00762399"/>
    <w:sectPr w:rsidSect="007623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3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399" w:rsidRPr="005B317D" w:rsidP="005B31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3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7D" w:rsidP="00762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317D" w:rsidP="00762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317D" w:rsidP="007623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3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399" w:rsidRPr="005B317D" w:rsidP="005B31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3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7D" w:rsidRPr="002D2AF8" w:rsidP="00762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ICTTEN607 Analyse and organise repair of highly complex telecommunications network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5B317D" w:rsidP="007623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48C9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C80B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FEFF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3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3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3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3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3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3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3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3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3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3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3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399"/>
  </w:style>
  <w:style w:type="character" w:customStyle="1" w:styleId="Heading1Char">
    <w:name w:val="Heading 1 Char"/>
    <w:basedOn w:val="DefaultParagraphFont"/>
    <w:link w:val="Heading1"/>
    <w:rsid w:val="007623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3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3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23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2399"/>
    <w:rPr>
      <w:b/>
      <w:spacing w:val="0"/>
    </w:rPr>
  </w:style>
  <w:style w:type="paragraph" w:styleId="ListBullet2">
    <w:name w:val="List Bullet 2"/>
    <w:basedOn w:val="List2"/>
    <w:rsid w:val="007623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23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3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23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3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3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3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3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3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3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3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3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3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3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3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3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3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23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23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23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3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3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23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3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3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3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3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3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3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3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3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2399"/>
    <w:rPr>
      <w:i/>
    </w:rPr>
  </w:style>
  <w:style w:type="paragraph" w:styleId="Caption">
    <w:name w:val="caption"/>
    <w:basedOn w:val="BodyText"/>
    <w:next w:val="Normal"/>
    <w:qFormat/>
    <w:rsid w:val="007623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3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3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399"/>
  </w:style>
  <w:style w:type="paragraph" w:styleId="TableofFigures">
    <w:name w:val="table of figures"/>
    <w:basedOn w:val="Normal"/>
    <w:next w:val="Normal"/>
    <w:semiHidden/>
    <w:rsid w:val="007623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3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2399"/>
    <w:rPr>
      <w:rFonts w:ascii="Wingdings" w:hAnsi="Wingdings"/>
    </w:rPr>
  </w:style>
  <w:style w:type="paragraph" w:customStyle="1" w:styleId="TableHeading">
    <w:name w:val="Table Heading"/>
    <w:basedOn w:val="HeadingBase"/>
    <w:rsid w:val="007623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399"/>
    <w:rPr>
      <w:color w:val="0033CC"/>
      <w:u w:val="none"/>
    </w:rPr>
  </w:style>
  <w:style w:type="paragraph" w:customStyle="1" w:styleId="BodyTextRight">
    <w:name w:val="Body Text Right"/>
    <w:basedOn w:val="BodyText"/>
    <w:rsid w:val="007623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3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3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3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3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3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399"/>
    <w:rPr>
      <w:sz w:val="32"/>
    </w:rPr>
  </w:style>
  <w:style w:type="paragraph" w:customStyle="1" w:styleId="HeadingProcedure">
    <w:name w:val="Heading Procedure"/>
    <w:basedOn w:val="HeadingBase"/>
    <w:next w:val="Normal"/>
    <w:rsid w:val="007623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399"/>
    <w:pPr>
      <w:spacing w:before="60" w:after="60"/>
    </w:pPr>
  </w:style>
  <w:style w:type="paragraph" w:styleId="ListContinue">
    <w:name w:val="List Continue"/>
    <w:basedOn w:val="List"/>
    <w:rsid w:val="00762399"/>
    <w:pPr>
      <w:ind w:firstLine="0"/>
    </w:pPr>
  </w:style>
  <w:style w:type="paragraph" w:customStyle="1" w:styleId="ListNote">
    <w:name w:val="List Note"/>
    <w:basedOn w:val="List"/>
    <w:rsid w:val="007623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3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3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399"/>
    <w:rPr>
      <w:rFonts w:ascii="Courier New" w:hAnsi="Courier New"/>
    </w:rPr>
  </w:style>
  <w:style w:type="paragraph" w:customStyle="1" w:styleId="NoteBullet">
    <w:name w:val="Note Bullet"/>
    <w:basedOn w:val="Note"/>
    <w:rsid w:val="007623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3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3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3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3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23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3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399"/>
    <w:rPr>
      <w:b/>
      <w:smallCaps/>
    </w:rPr>
  </w:style>
  <w:style w:type="paragraph" w:customStyle="1" w:styleId="TableListNumber">
    <w:name w:val="Table List Number"/>
    <w:basedOn w:val="ListNumber"/>
    <w:rsid w:val="007623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3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399"/>
    <w:pPr>
      <w:numPr>
        <w:numId w:val="9"/>
      </w:numPr>
    </w:pPr>
  </w:style>
  <w:style w:type="paragraph" w:customStyle="1" w:styleId="ListAlpha2">
    <w:name w:val="List Alpha 2"/>
    <w:basedOn w:val="List2"/>
    <w:rsid w:val="00762399"/>
    <w:pPr>
      <w:numPr>
        <w:numId w:val="8"/>
      </w:numPr>
    </w:pPr>
  </w:style>
  <w:style w:type="paragraph" w:styleId="List2">
    <w:name w:val="List 2"/>
    <w:basedOn w:val="BodyText"/>
    <w:rsid w:val="007623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3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3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3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3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3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2399"/>
    <w:pPr>
      <w:numPr>
        <w:numId w:val="4"/>
      </w:numPr>
    </w:pPr>
  </w:style>
  <w:style w:type="paragraph" w:styleId="ListContinue2">
    <w:name w:val="List Continue 2"/>
    <w:basedOn w:val="List2"/>
    <w:rsid w:val="00762399"/>
    <w:pPr>
      <w:ind w:firstLine="0"/>
    </w:pPr>
  </w:style>
  <w:style w:type="paragraph" w:styleId="ListContinue3">
    <w:name w:val="List Continue 3"/>
    <w:basedOn w:val="List3"/>
    <w:rsid w:val="00762399"/>
    <w:pPr>
      <w:ind w:left="1021" w:firstLine="0"/>
    </w:pPr>
  </w:style>
  <w:style w:type="paragraph" w:styleId="ListContinue4">
    <w:name w:val="List Continue 4"/>
    <w:basedOn w:val="List4"/>
    <w:rsid w:val="00762399"/>
    <w:pPr>
      <w:ind w:firstLine="0"/>
    </w:pPr>
  </w:style>
  <w:style w:type="paragraph" w:styleId="ListContinue5">
    <w:name w:val="List Continue 5"/>
    <w:basedOn w:val="List5"/>
    <w:rsid w:val="00762399"/>
    <w:pPr>
      <w:ind w:firstLine="0"/>
    </w:pPr>
  </w:style>
  <w:style w:type="paragraph" w:styleId="ListNumber3">
    <w:name w:val="List Number 3"/>
    <w:basedOn w:val="List3"/>
    <w:rsid w:val="00762399"/>
    <w:pPr>
      <w:numPr>
        <w:numId w:val="5"/>
      </w:numPr>
    </w:pPr>
  </w:style>
  <w:style w:type="paragraph" w:styleId="ListNumber4">
    <w:name w:val="List Number 4"/>
    <w:basedOn w:val="List4"/>
    <w:rsid w:val="00762399"/>
    <w:pPr>
      <w:numPr>
        <w:numId w:val="6"/>
      </w:numPr>
    </w:pPr>
  </w:style>
  <w:style w:type="paragraph" w:styleId="ListNumber5">
    <w:name w:val="List Number 5"/>
    <w:basedOn w:val="List5"/>
    <w:rsid w:val="00762399"/>
    <w:pPr>
      <w:numPr>
        <w:numId w:val="7"/>
      </w:numPr>
    </w:pPr>
  </w:style>
  <w:style w:type="paragraph" w:styleId="BlockText">
    <w:name w:val="Block Text"/>
    <w:basedOn w:val="Normal"/>
    <w:rsid w:val="007623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3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399"/>
    <w:rPr>
      <w:sz w:val="16"/>
      <w:vertAlign w:val="superscript"/>
    </w:rPr>
  </w:style>
  <w:style w:type="character" w:customStyle="1" w:styleId="Symbols">
    <w:name w:val="Symbols"/>
    <w:basedOn w:val="DefaultParagraphFont"/>
    <w:rsid w:val="00762399"/>
    <w:rPr>
      <w:rFonts w:ascii="Symbol" w:hAnsi="Symbol"/>
    </w:rPr>
  </w:style>
  <w:style w:type="character" w:customStyle="1" w:styleId="MenuOptions">
    <w:name w:val="Menu Options"/>
    <w:basedOn w:val="DefaultParagraphFont"/>
    <w:rsid w:val="007623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399"/>
    <w:rPr>
      <w:b/>
    </w:rPr>
  </w:style>
  <w:style w:type="character" w:customStyle="1" w:styleId="Underlined">
    <w:name w:val="Underlined"/>
    <w:basedOn w:val="DefaultParagraphFont"/>
    <w:rsid w:val="00762399"/>
    <w:rPr>
      <w:u w:val="single"/>
    </w:rPr>
  </w:style>
  <w:style w:type="paragraph" w:customStyle="1" w:styleId="TableBodyTextRight">
    <w:name w:val="Table Body Text Right"/>
    <w:basedOn w:val="TableBodyText"/>
    <w:rsid w:val="007623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399"/>
    <w:rPr>
      <w:sz w:val="18"/>
    </w:rPr>
  </w:style>
  <w:style w:type="paragraph" w:customStyle="1" w:styleId="BodySmallRight">
    <w:name w:val="Body Small Right"/>
    <w:basedOn w:val="BodyTextRight"/>
    <w:rsid w:val="00762399"/>
    <w:rPr>
      <w:sz w:val="18"/>
      <w:szCs w:val="18"/>
    </w:rPr>
  </w:style>
  <w:style w:type="paragraph" w:customStyle="1" w:styleId="MarginEdition">
    <w:name w:val="Margin Edition"/>
    <w:basedOn w:val="MarginNote"/>
    <w:rsid w:val="007623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399"/>
    <w:rPr>
      <w:sz w:val="2"/>
      <w:szCs w:val="2"/>
    </w:rPr>
  </w:style>
  <w:style w:type="character" w:customStyle="1" w:styleId="Small">
    <w:name w:val="Small"/>
    <w:basedOn w:val="DefaultParagraphFont"/>
    <w:rsid w:val="00762399"/>
    <w:rPr>
      <w:sz w:val="16"/>
    </w:rPr>
  </w:style>
  <w:style w:type="paragraph" w:customStyle="1" w:styleId="WideTable">
    <w:name w:val="Wide Table"/>
    <w:basedOn w:val="Normal"/>
    <w:rsid w:val="007623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399"/>
  </w:style>
  <w:style w:type="paragraph" w:styleId="Quote">
    <w:name w:val="Quote"/>
    <w:basedOn w:val="Heading1"/>
    <w:link w:val="QuoteChar"/>
    <w:qFormat/>
    <w:rsid w:val="007623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3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399"/>
    <w:pPr>
      <w:pageBreakBefore/>
    </w:pPr>
  </w:style>
  <w:style w:type="paragraph" w:customStyle="1" w:styleId="Border">
    <w:name w:val="Border"/>
    <w:basedOn w:val="Normal"/>
    <w:qFormat/>
    <w:rsid w:val="007623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3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3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3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3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3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3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3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3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399"/>
    <w:rPr>
      <w:u w:val="single"/>
    </w:rPr>
  </w:style>
  <w:style w:type="character" w:customStyle="1" w:styleId="BoldandItalics">
    <w:name w:val="Bold and Italics"/>
    <w:qFormat/>
    <w:rsid w:val="00762399"/>
    <w:rPr>
      <w:b/>
      <w:i/>
      <w:u w:val="none"/>
    </w:rPr>
  </w:style>
  <w:style w:type="paragraph" w:styleId="BalloonText">
    <w:name w:val="Balloon Text"/>
    <w:basedOn w:val="Normal"/>
    <w:link w:val="BalloonTextChar"/>
    <w:rsid w:val="00762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3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3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3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3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3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399"/>
    <w:pPr>
      <w:spacing w:before="0" w:after="0"/>
    </w:pPr>
  </w:style>
  <w:style w:type="paragraph" w:customStyle="1" w:styleId="BodyTextBold">
    <w:name w:val="Body Text Bold"/>
    <w:basedOn w:val="BodyText"/>
    <w:qFormat/>
    <w:rsid w:val="00762399"/>
    <w:rPr>
      <w:b/>
    </w:rPr>
  </w:style>
  <w:style w:type="character" w:styleId="Hyperlink">
    <w:name w:val="Hyperlink"/>
    <w:basedOn w:val="DefaultParagraphFont"/>
    <w:uiPriority w:val="99"/>
    <w:unhideWhenUsed/>
    <w:rsid w:val="005B31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2538</Characters>
  <Application>Microsoft Office Word</Application>
  <DocSecurity>0</DocSecurity>
  <Lines>72</Lines>
  <Paragraphs>54</Paragraphs>
  <ScaleCrop>false</ScaleCrop>
  <Company>Author-it Software Corporation Ltd.</Company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ICTTEN607 Analyse and organise repair of highly complex telecommunications network faults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2020-10-02T07:55:00Z</dcterms:created>
  <dcterms:modified xsi:type="dcterms:W3CDTF">2020-10-02T07:55:00Z</dcterms:modified>
</cp:coreProperties>
</file>