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1CE" w:rsidP="00F75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ICTTEN431 Design a dense wavelength division multiplexing system</w:t>
      </w:r>
      <w:r>
        <w:fldChar w:fldCharType="end"/>
      </w:r>
    </w:p>
    <w:p w:rsidR="00F751CE" w:rsidP="00F751CE">
      <w:pPr>
        <w:pStyle w:val="Version"/>
        <w:sectPr w:rsidSect="00EC3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679" w:rsidP="00EC3679">
      <w:pPr>
        <w:pStyle w:val="SuperHeading"/>
      </w:pPr>
      <w:r w:rsidRPr="00EC3679">
        <w:t>ICTTEN431 Design a dense wavelength division multiplexing system</w:t>
      </w:r>
    </w:p>
    <w:p w:rsidR="00000000" w:rsidRPr="00EC3679" w:rsidP="00EC3679">
      <w:pPr>
        <w:pStyle w:val="Heading1"/>
      </w:pPr>
      <w:bookmarkStart w:id="1" w:name="O_766302"/>
      <w:bookmarkEnd w:id="1"/>
      <w:r w:rsidRPr="00EC3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3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rPr>
                <w:rStyle w:val="SpecialBold"/>
              </w:rPr>
              <w:t>Comments</w:t>
            </w:r>
          </w:p>
        </w:tc>
      </w:tr>
      <w:tr w:rsidTr="00EC3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t>This version first released with ICT Information and Communications Technology Training Package Version 2.0.</w:t>
            </w:r>
          </w:p>
        </w:tc>
      </w:tr>
    </w:tbl>
    <w:p w:rsidR="00000000" w:rsidRPr="00EC3679" w:rsidP="00EC3679">
      <w:pPr>
        <w:pStyle w:val="BodyText"/>
      </w:pPr>
    </w:p>
    <w:p w:rsidR="00000000" w:rsidRPr="00EC3679" w:rsidP="00EC3679">
      <w:pPr>
        <w:pStyle w:val="AllowPageBreak"/>
      </w:pPr>
    </w:p>
    <w:p w:rsidR="00000000" w:rsidRPr="00EC3679" w:rsidP="00EC3679">
      <w:pPr>
        <w:pStyle w:val="Heading1"/>
      </w:pPr>
      <w:bookmarkStart w:id="2" w:name="O_766303"/>
      <w:bookmarkEnd w:id="2"/>
      <w:r w:rsidRPr="00EC3679">
        <w:t>Application</w:t>
      </w:r>
    </w:p>
    <w:p w:rsidR="00000000" w:rsidRPr="00EC3679" w:rsidP="00F751CE">
      <w:pPr>
        <w:pStyle w:val="BodyText"/>
      </w:pPr>
      <w:r w:rsidRPr="00EC3679">
        <w:t>This unit describes the performance outcomes, skills and knowledge required to design a dense wavelength division multiplexing (DWDM) system in optical networks.</w:t>
      </w:r>
    </w:p>
    <w:p w:rsidR="00000000" w:rsidRPr="00EC3679" w:rsidP="00F751CE">
      <w:pPr>
        <w:pStyle w:val="BodyText"/>
      </w:pPr>
      <w:r w:rsidRPr="00EC3679">
        <w:t>It applies t</w:t>
      </w:r>
      <w:r w:rsidRPr="00EC3679">
        <w:t>o telecommunications technical staff who design systems for installation of long haul or metropolitan area DWDM equipment.</w:t>
      </w:r>
    </w:p>
    <w:p w:rsidR="00000000" w:rsidRPr="00EC3679" w:rsidP="00F751CE">
      <w:pPr>
        <w:pStyle w:val="BodyText"/>
      </w:pPr>
      <w:r w:rsidRPr="00EC3679">
        <w:t>No licensing, legislative or certification requirements apply to this unit at the time of publication.</w:t>
      </w:r>
    </w:p>
    <w:p w:rsidR="00000000" w:rsidRPr="00EC3679" w:rsidP="00EC3679">
      <w:pPr>
        <w:pStyle w:val="Heading1"/>
      </w:pPr>
      <w:bookmarkStart w:id="3" w:name="O_766306"/>
      <w:bookmarkEnd w:id="3"/>
      <w:r w:rsidRPr="00EC3679">
        <w:t>Unit Sector</w:t>
      </w:r>
    </w:p>
    <w:p w:rsidR="00000000" w:rsidRPr="00EC3679" w:rsidP="00F751CE">
      <w:pPr>
        <w:pStyle w:val="BodyText"/>
      </w:pPr>
      <w:r w:rsidRPr="00EC3679">
        <w:t>Telecommunications – Telecommunications Networks Engineering</w:t>
      </w:r>
    </w:p>
    <w:p w:rsidR="00000000" w:rsidRPr="00EC3679" w:rsidP="00EC3679">
      <w:pPr>
        <w:pStyle w:val="Heading1"/>
      </w:pPr>
      <w:bookmarkStart w:id="4" w:name="O_766307"/>
      <w:bookmarkEnd w:id="4"/>
      <w:r w:rsidRPr="00EC3679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961"/>
      </w:tblGrid>
      <w:tr w:rsidTr="00EC3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ELEMENT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rPr>
                <w:rStyle w:val="SpecialBold"/>
              </w:rPr>
              <w:t>PERFORMANCE CRITERIA</w:t>
            </w:r>
          </w:p>
        </w:tc>
      </w:tr>
      <w:tr w:rsidTr="00EC3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Emphasis"/>
              </w:rPr>
              <w:t>Elements describe the essential outcomes.</w:t>
            </w:r>
          </w:p>
        </w:tc>
        <w:tc>
          <w:tcPr>
            <w:tcW w:w="696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rPr>
                <w:rStyle w:val="Emphasis"/>
              </w:rPr>
              <w:t>Performance criteria describe the performance needed to demonstrate achi</w:t>
            </w:r>
            <w:r w:rsidRPr="00EC3679">
              <w:rPr>
                <w:rStyle w:val="Emphasis"/>
              </w:rPr>
              <w:t>evement of the element.</w:t>
            </w:r>
          </w:p>
        </w:tc>
      </w:tr>
      <w:tr w:rsidTr="00EC3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1. Obtain access to worksite safely and with authority from site owner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t>1.1 Obtain and review DWDM installation brief</w:t>
            </w:r>
          </w:p>
          <w:p w:rsidR="00000000" w:rsidRPr="00EC3679" w:rsidP="00EC3679">
            <w:pPr>
              <w:pStyle w:val="BodyText"/>
            </w:pPr>
            <w:r w:rsidRPr="00EC3679">
              <w:t>1.2 Determine site access requirements</w:t>
            </w:r>
          </w:p>
          <w:p w:rsidR="00000000" w:rsidRPr="00EC3679" w:rsidP="00EC3679">
            <w:pPr>
              <w:pStyle w:val="BodyText"/>
            </w:pPr>
            <w:r w:rsidRPr="00EC3679">
              <w:t xml:space="preserve">1.3 Notify parties if necessary to arrange site access and discuss DWDM installation requirements </w:t>
            </w:r>
          </w:p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 xml:space="preserve">1.4 Assess site-specific safety requirements and enterprise work health and safety (WHS) processes and procedures </w:t>
            </w:r>
          </w:p>
        </w:tc>
      </w:tr>
      <w:tr w:rsidTr="00EC3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2. Prepare to install design DWDM units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t>2</w:t>
            </w:r>
            <w:r w:rsidRPr="00EC3679">
              <w:t>.1 Survey location for DWDM installation and scope installation parameters</w:t>
            </w:r>
          </w:p>
          <w:p w:rsidR="00000000" w:rsidRPr="00EC3679" w:rsidP="00EC3679">
            <w:pPr>
              <w:pStyle w:val="BodyText"/>
            </w:pPr>
            <w:r w:rsidRPr="00EC3679">
              <w:t>2.2 Identify suitable location for DWDM equipment racks</w:t>
            </w:r>
          </w:p>
          <w:p w:rsidR="00000000" w:rsidRPr="00EC3679" w:rsidP="00EC3679">
            <w:pPr>
              <w:pStyle w:val="BodyText"/>
            </w:pPr>
            <w:r w:rsidRPr="00EC3679">
              <w:t>2.3 Determine number and location of shelves and cards in racks</w:t>
            </w:r>
          </w:p>
          <w:p w:rsidR="00000000" w:rsidRPr="00EC3679" w:rsidP="00EC3679">
            <w:pPr>
              <w:pStyle w:val="BodyText"/>
            </w:pPr>
            <w:r w:rsidRPr="00EC3679">
              <w:t>2.4 Determine capacity of optical distribution frames (ODFs),</w:t>
            </w:r>
            <w:r w:rsidRPr="00EC3679">
              <w:t xml:space="preserve"> patching and network management system (NMS) connections for the installation</w:t>
            </w:r>
          </w:p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2.5 Determine power feed options</w:t>
            </w:r>
          </w:p>
        </w:tc>
      </w:tr>
      <w:tr w:rsidTr="00EC3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3. Design DWDM units and associated cabling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t>3.1 Design DWDM racks, including locations and layout</w:t>
            </w:r>
          </w:p>
          <w:p w:rsidR="00000000" w:rsidRPr="00EC3679" w:rsidP="00EC3679">
            <w:pPr>
              <w:pStyle w:val="BodyText"/>
            </w:pPr>
            <w:r w:rsidRPr="00EC3679">
              <w:t>3.2 Examine standards, practices and requirem</w:t>
            </w:r>
            <w:r w:rsidRPr="00EC3679">
              <w:t>ents for designing DWDM systems</w:t>
            </w:r>
          </w:p>
          <w:p w:rsidR="00000000" w:rsidRPr="00EC3679" w:rsidP="00EC3679">
            <w:pPr>
              <w:pStyle w:val="BodyText"/>
            </w:pPr>
            <w:r w:rsidRPr="00EC3679">
              <w:t>3.3 Design DWDM shelf and card positions from customer and manufacturer documents</w:t>
            </w:r>
          </w:p>
          <w:p w:rsidR="00000000" w:rsidRPr="00EC3679" w:rsidP="00EC3679">
            <w:pPr>
              <w:pStyle w:val="BodyText"/>
            </w:pPr>
            <w:r w:rsidRPr="00EC3679">
              <w:t>3.4 Design supporting patch panel and jumpering schemes</w:t>
            </w:r>
          </w:p>
          <w:p w:rsidR="00000000" w:rsidRPr="00EC3679" w:rsidP="00EC3679">
            <w:pPr>
              <w:pStyle w:val="BodyText"/>
            </w:pPr>
            <w:r w:rsidRPr="00EC3679">
              <w:t>3.5 Include appropriate ancillary equipment and connections in design specifications</w:t>
            </w:r>
          </w:p>
          <w:p w:rsidR="00000000" w:rsidRPr="00EC3679" w:rsidP="00EC3679">
            <w:pPr>
              <w:pStyle w:val="BodyText"/>
            </w:pPr>
            <w:r w:rsidRPr="00EC3679">
              <w:t>3</w:t>
            </w:r>
            <w:r w:rsidRPr="00EC3679">
              <w:t>.6 Prepare detailed design drawings for racks, shelves and cards from manufacturer and carrier documents</w:t>
            </w:r>
          </w:p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3.7 Prepare detailed design drawings for patching, jumpering and power feeds from manufacturer and carrier documents</w:t>
            </w:r>
          </w:p>
        </w:tc>
      </w:tr>
      <w:tr w:rsidTr="00EC3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4. Review design for compliance w</w:t>
            </w:r>
            <w:r w:rsidRPr="00EC3679">
              <w:t>ith standards and legislation</w:t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t>4.1 Confirm DWDM installation design meets the brief</w:t>
            </w:r>
          </w:p>
          <w:p w:rsidR="00000000" w:rsidRPr="00EC3679" w:rsidP="00EC3679">
            <w:pPr>
              <w:pStyle w:val="BodyText"/>
            </w:pPr>
            <w:r w:rsidRPr="00EC3679">
              <w:t>4.2 Review installation design to ensure compliance with requirements of federal, state and local regulations, relevant legislation, codes and standards</w:t>
            </w:r>
          </w:p>
        </w:tc>
      </w:tr>
    </w:tbl>
    <w:p w:rsidR="00000000" w:rsidRPr="00EC3679" w:rsidP="00EC3679">
      <w:pPr>
        <w:pStyle w:val="BodyText"/>
      </w:pPr>
    </w:p>
    <w:p w:rsidR="00000000" w:rsidRPr="00EC3679" w:rsidP="00EC3679">
      <w:pPr>
        <w:pStyle w:val="AllowPageBreak"/>
      </w:pPr>
    </w:p>
    <w:p w:rsidR="00000000" w:rsidRPr="00EC3679" w:rsidP="00EC3679">
      <w:pPr>
        <w:pStyle w:val="Heading1"/>
      </w:pPr>
      <w:bookmarkStart w:id="5" w:name="O_766308"/>
      <w:bookmarkEnd w:id="5"/>
      <w:r w:rsidRPr="00EC3679">
        <w:t>Foundation Skills</w:t>
      </w:r>
    </w:p>
    <w:p w:rsidR="00000000" w:rsidRPr="00F751CE" w:rsidP="00F751CE">
      <w:pPr>
        <w:pStyle w:val="BodyText"/>
        <w:rPr>
          <w:i/>
        </w:rPr>
      </w:pPr>
      <w:r w:rsidRPr="00F751C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684"/>
      </w:tblGrid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Performance</w:t>
            </w:r>
          </w:p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Criteria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rPr>
                <w:rStyle w:val="SpecialBold"/>
              </w:rPr>
              <w:t>Description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 xml:space="preserve">1.1, 1.4, 3.2, 3.3, 3.6, 3.7, </w:t>
            </w:r>
            <w:r w:rsidRPr="00EC3679">
              <w:t>4.1, 4.2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ListBullet"/>
              <w:rPr>
                <w:lang w:val="en-NZ"/>
              </w:rPr>
            </w:pPr>
            <w:r w:rsidRPr="00EC3679">
              <w:t xml:space="preserve">Critically analyses complex documentation from a variety of sources and consolidates information relating to specific criteria to determine design </w:t>
            </w:r>
            <w:r w:rsidRPr="00EC3679">
              <w:t>requirements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 xml:space="preserve">1.3, 3.1, 3.3-3.7 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ListBullet"/>
            </w:pPr>
            <w:r w:rsidRPr="00EC3679">
              <w:t xml:space="preserve">Prepares and produces dynamic material for a specific audience using clear and detailed language to convey explicit information, requirements and recommendations </w:t>
            </w:r>
          </w:p>
          <w:p w:rsidR="00000000" w:rsidP="00EC3679">
            <w:pPr>
              <w:pStyle w:val="ListBullet"/>
              <w:rPr>
                <w:lang w:val="en-NZ"/>
              </w:rPr>
            </w:pPr>
            <w:r w:rsidRPr="00EC3679">
              <w:t>Produces plans using industry-relevant terminology and recognised industry symbols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Oral Comm</w:t>
            </w:r>
            <w:r w:rsidRPr="00EC3679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1.3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ListBullet"/>
              <w:rPr>
                <w:lang w:val="en-NZ"/>
              </w:rPr>
            </w:pPr>
            <w:r w:rsidRPr="00EC3679">
              <w:t>Uses collaborative and inclusive techniques, including active listening and questioning and reading of verbal and non-verbal signals, to convey and clarify information and confirm understanding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2.3-2.5, 3.1, 3.3, 3.4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ListBullet"/>
              <w:rPr>
                <w:lang w:val="en-NZ"/>
              </w:rPr>
            </w:pPr>
            <w:r w:rsidRPr="00EC3679">
              <w:t>Uses highly-d</w:t>
            </w:r>
            <w:r w:rsidRPr="00EC3679">
              <w:t>eveloped numeracy skills to interpret complex information, perform calculations and record outcomes for designs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1.4, 3.2, 4.2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ListBullet"/>
            </w:pPr>
            <w:r w:rsidRPr="00EC3679">
              <w:t>Works independently or with others to make decisions to achieve organisation outcomes</w:t>
            </w:r>
          </w:p>
          <w:p w:rsidR="00000000" w:rsidP="00EC3679">
            <w:pPr>
              <w:pStyle w:val="ListBullet"/>
              <w:rPr>
                <w:lang w:val="en-NZ"/>
              </w:rPr>
            </w:pPr>
            <w:r w:rsidRPr="00EC3679">
              <w:t>Takes full responsibility for following policies, procedures and legislative requirements, and identifies organisational implications of new legislation or regulation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1.3, 4.1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ListBullet"/>
              <w:rPr>
                <w:lang w:val="en-NZ"/>
              </w:rPr>
            </w:pPr>
            <w:r w:rsidRPr="00EC3679">
              <w:t>Implements strategies for a diverse range of colleagues a</w:t>
            </w:r>
            <w:r w:rsidRPr="00EC3679">
              <w:t>nd clients to build rapport and foster strong relationships</w:t>
            </w:r>
          </w:p>
        </w:tc>
      </w:tr>
      <w:tr w:rsidTr="00EC3679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1.1, 1.2, 1.4, 2.1-2.5, 3.1, 3.3, 3.6, 3.7,  4.1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ListBullet"/>
            </w:pPr>
            <w:r w:rsidRPr="00EC3679">
              <w:t xml:space="preserve">Accepts responsibility for planning and sequencing complex tasks and workload, negotiating key aspects with others taking into </w:t>
            </w:r>
            <w:r w:rsidRPr="00EC3679">
              <w:t>account capabilities, efficiencies and effectiveness</w:t>
            </w:r>
          </w:p>
          <w:p w:rsidR="00000000" w:rsidRPr="00EC3679" w:rsidP="00EC3679">
            <w:pPr>
              <w:pStyle w:val="ListBullet"/>
            </w:pPr>
            <w:r w:rsidRPr="00EC3679">
              <w:t>Makes critical decisions quickly and intuitively in complex situations, taking into consideration a range of variables</w:t>
            </w:r>
          </w:p>
          <w:p w:rsidR="00000000" w:rsidRPr="00EC3679" w:rsidP="00EC3679">
            <w:pPr>
              <w:pStyle w:val="ListBullet"/>
            </w:pPr>
            <w:r w:rsidRPr="00EC3679">
              <w:t>Applies systematic and analytical decision-making processes for complex and non-rout</w:t>
            </w:r>
            <w:r w:rsidRPr="00EC3679">
              <w:t>ine situations</w:t>
            </w:r>
          </w:p>
          <w:p w:rsidR="00000000" w:rsidRPr="00EC3679" w:rsidP="00EC3679">
            <w:pPr>
              <w:pStyle w:val="ListBullet"/>
            </w:pPr>
            <w:r w:rsidRPr="00EC3679">
              <w:t>Responds intuitively to problems requiring immediate resolution, drawing on past experiences to focus on the cause of a problem</w:t>
            </w:r>
          </w:p>
          <w:p w:rsidR="00000000" w:rsidRPr="00EC3679" w:rsidP="00EC3679">
            <w:pPr>
              <w:pStyle w:val="ListBullet"/>
            </w:pPr>
            <w:r w:rsidRPr="00EC3679">
              <w:t>Uses and investigates new digital technologies and applications to manage and manipulate data and communicate eff</w:t>
            </w:r>
            <w:r w:rsidRPr="00EC3679">
              <w:t>ectively with others, in a secure and stable digital environment</w:t>
            </w:r>
          </w:p>
        </w:tc>
      </w:tr>
    </w:tbl>
    <w:p w:rsidR="00000000" w:rsidRPr="00EC3679" w:rsidP="00EC3679">
      <w:pPr>
        <w:pStyle w:val="BodyText"/>
      </w:pPr>
    </w:p>
    <w:p w:rsidR="00000000" w:rsidRPr="00EC3679" w:rsidP="00EC3679">
      <w:pPr>
        <w:pStyle w:val="AllowPageBreak"/>
      </w:pPr>
    </w:p>
    <w:p w:rsidR="00000000" w:rsidRPr="00EC3679" w:rsidP="00EC3679">
      <w:pPr>
        <w:pStyle w:val="Heading1"/>
      </w:pPr>
      <w:bookmarkStart w:id="6" w:name="O_766310"/>
      <w:bookmarkEnd w:id="6"/>
      <w:r w:rsidRPr="00EC36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6"/>
        <w:gridCol w:w="1705"/>
        <w:gridCol w:w="1435"/>
        <w:gridCol w:w="1557"/>
      </w:tblGrid>
      <w:tr w:rsidTr="00EC3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 xml:space="preserve">Code and title </w:t>
            </w:r>
          </w:p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current version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Code and title</w:t>
            </w:r>
          </w:p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previous version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rPr>
                <w:rStyle w:val="SpecialBold"/>
              </w:rPr>
              <w:t>Equivalence status</w:t>
            </w:r>
          </w:p>
        </w:tc>
      </w:tr>
      <w:tr w:rsidTr="00EC3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ICTTEN431 Design a dense wavelength division multiplexing system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ICTTEN4246A Design a dense wavelength division multiplexing installations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79">
            <w:pPr>
              <w:pStyle w:val="BodyText"/>
              <w:rPr>
                <w:lang w:val="en-NZ"/>
              </w:rPr>
            </w:pPr>
            <w:r w:rsidRPr="00EC3679">
              <w:t>Updated to meet Standards for Training Packages.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79" w:rsidP="00EC3679">
            <w:pPr>
              <w:pStyle w:val="BodyText"/>
            </w:pPr>
            <w:r w:rsidRPr="00EC3679">
              <w:t>Equivalent unit</w:t>
            </w:r>
          </w:p>
        </w:tc>
      </w:tr>
    </w:tbl>
    <w:p w:rsidR="00000000" w:rsidRPr="00EC3679" w:rsidP="00EC3679">
      <w:pPr>
        <w:pStyle w:val="BodyText"/>
      </w:pPr>
    </w:p>
    <w:p w:rsidR="00000000" w:rsidRPr="00EC3679" w:rsidP="00EC3679">
      <w:pPr>
        <w:pStyle w:val="AllowPageBreak"/>
      </w:pPr>
    </w:p>
    <w:p w:rsidR="00000000" w:rsidRPr="00EC3679" w:rsidP="00EC3679">
      <w:pPr>
        <w:pStyle w:val="Heading1"/>
      </w:pPr>
      <w:bookmarkStart w:id="7" w:name="O_766317"/>
      <w:bookmarkEnd w:id="7"/>
      <w:r w:rsidRPr="00EC3679">
        <w:t>Links</w:t>
      </w:r>
    </w:p>
    <w:p w:rsidR="00000000" w:rsidRPr="00EC3679" w:rsidP="00F751CE">
      <w:pPr>
        <w:pStyle w:val="BodyText"/>
      </w:pPr>
      <w:r w:rsidRPr="00EC3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01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3679" w:rsidP="00EC3679"/>
    <w:sectPr w:rsidSect="00EC3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79" w:rsidRPr="00F751CE" w:rsidP="00F75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CE" w:rsidP="00EC3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1CE" w:rsidP="00EC3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51CE" w:rsidP="00EC3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679" w:rsidRPr="00F751CE" w:rsidP="00F75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CE" w:rsidRPr="002D2AF8" w:rsidP="00EC3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ICTTEN431 Design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F751CE" w:rsidP="00EC3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8B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B64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679"/>
  </w:style>
  <w:style w:type="character" w:customStyle="1" w:styleId="Heading1Char">
    <w:name w:val="Heading 1 Char"/>
    <w:basedOn w:val="DefaultParagraphFont"/>
    <w:link w:val="Heading1"/>
    <w:rsid w:val="00EC3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679"/>
    <w:rPr>
      <w:b/>
      <w:spacing w:val="0"/>
    </w:rPr>
  </w:style>
  <w:style w:type="character" w:styleId="Emphasis">
    <w:name w:val="Emphasis"/>
    <w:basedOn w:val="DefaultParagraphFont"/>
    <w:qFormat/>
    <w:rsid w:val="00EC3679"/>
    <w:rPr>
      <w:i/>
    </w:rPr>
  </w:style>
  <w:style w:type="paragraph" w:customStyle="1" w:styleId="SuperHeading">
    <w:name w:val="SuperHeading"/>
    <w:basedOn w:val="Normal"/>
    <w:rsid w:val="00EC3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679"/>
  </w:style>
  <w:style w:type="paragraph" w:styleId="TableofFigures">
    <w:name w:val="table of figures"/>
    <w:basedOn w:val="Normal"/>
    <w:next w:val="Normal"/>
    <w:semiHidden/>
    <w:rsid w:val="00EC3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679"/>
    <w:rPr>
      <w:rFonts w:ascii="Wingdings" w:hAnsi="Wingdings"/>
    </w:rPr>
  </w:style>
  <w:style w:type="paragraph" w:customStyle="1" w:styleId="TableHeading">
    <w:name w:val="Table Heading"/>
    <w:basedOn w:val="HeadingBase"/>
    <w:rsid w:val="00EC3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679"/>
    <w:rPr>
      <w:color w:val="0033CC"/>
      <w:u w:val="none"/>
    </w:rPr>
  </w:style>
  <w:style w:type="paragraph" w:customStyle="1" w:styleId="BodyTextRight">
    <w:name w:val="Body Text Right"/>
    <w:basedOn w:val="BodyText"/>
    <w:rsid w:val="00EC3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679"/>
    <w:rPr>
      <w:sz w:val="32"/>
    </w:rPr>
  </w:style>
  <w:style w:type="paragraph" w:customStyle="1" w:styleId="HeadingProcedure">
    <w:name w:val="Heading Procedure"/>
    <w:basedOn w:val="HeadingBase"/>
    <w:next w:val="Normal"/>
    <w:rsid w:val="00EC3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679"/>
    <w:pPr>
      <w:spacing w:before="60" w:after="60"/>
    </w:pPr>
  </w:style>
  <w:style w:type="paragraph" w:styleId="ListContinue">
    <w:name w:val="List Continue"/>
    <w:basedOn w:val="List"/>
    <w:rsid w:val="00EC3679"/>
    <w:pPr>
      <w:ind w:firstLine="0"/>
    </w:pPr>
  </w:style>
  <w:style w:type="paragraph" w:customStyle="1" w:styleId="ListNote">
    <w:name w:val="List Note"/>
    <w:basedOn w:val="List"/>
    <w:rsid w:val="00EC3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679"/>
    <w:rPr>
      <w:rFonts w:ascii="Courier New" w:hAnsi="Courier New"/>
    </w:rPr>
  </w:style>
  <w:style w:type="paragraph" w:customStyle="1" w:styleId="NoteBullet">
    <w:name w:val="Note Bullet"/>
    <w:basedOn w:val="Note"/>
    <w:rsid w:val="00EC3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679"/>
    <w:rPr>
      <w:b/>
      <w:smallCaps/>
    </w:rPr>
  </w:style>
  <w:style w:type="paragraph" w:customStyle="1" w:styleId="TableListNumber">
    <w:name w:val="Table List Number"/>
    <w:basedOn w:val="ListNumber"/>
    <w:rsid w:val="00EC3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679"/>
    <w:pPr>
      <w:numPr>
        <w:numId w:val="8"/>
      </w:numPr>
    </w:pPr>
  </w:style>
  <w:style w:type="paragraph" w:customStyle="1" w:styleId="ListAlpha2">
    <w:name w:val="List Alpha 2"/>
    <w:basedOn w:val="List2"/>
    <w:rsid w:val="00EC3679"/>
    <w:pPr>
      <w:numPr>
        <w:numId w:val="7"/>
      </w:numPr>
    </w:pPr>
  </w:style>
  <w:style w:type="paragraph" w:styleId="List2">
    <w:name w:val="List 2"/>
    <w:basedOn w:val="BodyText"/>
    <w:rsid w:val="00EC3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679"/>
    <w:pPr>
      <w:numPr>
        <w:numId w:val="3"/>
      </w:numPr>
    </w:pPr>
  </w:style>
  <w:style w:type="paragraph" w:styleId="ListContinue2">
    <w:name w:val="List Continue 2"/>
    <w:basedOn w:val="List2"/>
    <w:rsid w:val="00EC3679"/>
    <w:pPr>
      <w:ind w:firstLine="0"/>
    </w:pPr>
  </w:style>
  <w:style w:type="paragraph" w:styleId="ListContinue3">
    <w:name w:val="List Continue 3"/>
    <w:basedOn w:val="List3"/>
    <w:rsid w:val="00EC3679"/>
    <w:pPr>
      <w:ind w:left="1021" w:firstLine="0"/>
    </w:pPr>
  </w:style>
  <w:style w:type="paragraph" w:styleId="ListContinue4">
    <w:name w:val="List Continue 4"/>
    <w:basedOn w:val="List4"/>
    <w:rsid w:val="00EC3679"/>
    <w:pPr>
      <w:ind w:firstLine="0"/>
    </w:pPr>
  </w:style>
  <w:style w:type="paragraph" w:styleId="ListContinue5">
    <w:name w:val="List Continue 5"/>
    <w:basedOn w:val="List5"/>
    <w:rsid w:val="00EC3679"/>
    <w:pPr>
      <w:ind w:firstLine="0"/>
    </w:pPr>
  </w:style>
  <w:style w:type="paragraph" w:styleId="ListNumber3">
    <w:name w:val="List Number 3"/>
    <w:basedOn w:val="List3"/>
    <w:rsid w:val="00EC3679"/>
    <w:pPr>
      <w:numPr>
        <w:numId w:val="4"/>
      </w:numPr>
    </w:pPr>
  </w:style>
  <w:style w:type="paragraph" w:styleId="ListNumber4">
    <w:name w:val="List Number 4"/>
    <w:basedOn w:val="List4"/>
    <w:rsid w:val="00EC3679"/>
    <w:pPr>
      <w:numPr>
        <w:numId w:val="5"/>
      </w:numPr>
    </w:pPr>
  </w:style>
  <w:style w:type="paragraph" w:styleId="ListNumber5">
    <w:name w:val="List Number 5"/>
    <w:basedOn w:val="List5"/>
    <w:rsid w:val="00EC3679"/>
    <w:pPr>
      <w:numPr>
        <w:numId w:val="6"/>
      </w:numPr>
    </w:pPr>
  </w:style>
  <w:style w:type="paragraph" w:styleId="BlockText">
    <w:name w:val="Block Text"/>
    <w:basedOn w:val="Normal"/>
    <w:rsid w:val="00EC3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679"/>
    <w:rPr>
      <w:sz w:val="16"/>
      <w:vertAlign w:val="superscript"/>
    </w:rPr>
  </w:style>
  <w:style w:type="character" w:customStyle="1" w:styleId="Symbols">
    <w:name w:val="Symbols"/>
    <w:basedOn w:val="DefaultParagraphFont"/>
    <w:rsid w:val="00EC3679"/>
    <w:rPr>
      <w:rFonts w:ascii="Symbol" w:hAnsi="Symbol"/>
    </w:rPr>
  </w:style>
  <w:style w:type="character" w:customStyle="1" w:styleId="MenuOptions">
    <w:name w:val="Menu Options"/>
    <w:basedOn w:val="DefaultParagraphFont"/>
    <w:rsid w:val="00EC3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679"/>
    <w:rPr>
      <w:b/>
    </w:rPr>
  </w:style>
  <w:style w:type="character" w:customStyle="1" w:styleId="Underlined">
    <w:name w:val="Underlined"/>
    <w:basedOn w:val="DefaultParagraphFont"/>
    <w:rsid w:val="00EC3679"/>
    <w:rPr>
      <w:u w:val="single"/>
    </w:rPr>
  </w:style>
  <w:style w:type="paragraph" w:customStyle="1" w:styleId="TableBodyTextRight">
    <w:name w:val="Table Body Text Right"/>
    <w:basedOn w:val="TableBodyText"/>
    <w:rsid w:val="00EC3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679"/>
    <w:rPr>
      <w:sz w:val="18"/>
    </w:rPr>
  </w:style>
  <w:style w:type="paragraph" w:customStyle="1" w:styleId="BodySmallRight">
    <w:name w:val="Body Small Right"/>
    <w:basedOn w:val="BodyTextRight"/>
    <w:rsid w:val="00EC3679"/>
    <w:rPr>
      <w:sz w:val="18"/>
      <w:szCs w:val="18"/>
    </w:rPr>
  </w:style>
  <w:style w:type="paragraph" w:customStyle="1" w:styleId="MarginEdition">
    <w:name w:val="Margin Edition"/>
    <w:basedOn w:val="MarginNote"/>
    <w:rsid w:val="00EC3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679"/>
    <w:rPr>
      <w:sz w:val="2"/>
      <w:szCs w:val="2"/>
    </w:rPr>
  </w:style>
  <w:style w:type="character" w:customStyle="1" w:styleId="Small">
    <w:name w:val="Small"/>
    <w:basedOn w:val="DefaultParagraphFont"/>
    <w:rsid w:val="00EC3679"/>
    <w:rPr>
      <w:sz w:val="16"/>
    </w:rPr>
  </w:style>
  <w:style w:type="paragraph" w:customStyle="1" w:styleId="WideTable">
    <w:name w:val="Wide Table"/>
    <w:basedOn w:val="Normal"/>
    <w:rsid w:val="00EC3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679"/>
  </w:style>
  <w:style w:type="paragraph" w:styleId="Quote">
    <w:name w:val="Quote"/>
    <w:basedOn w:val="Heading1"/>
    <w:link w:val="QuoteChar"/>
    <w:qFormat/>
    <w:rsid w:val="00EC3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679"/>
    <w:pPr>
      <w:pageBreakBefore/>
    </w:pPr>
  </w:style>
  <w:style w:type="paragraph" w:customStyle="1" w:styleId="Border">
    <w:name w:val="Border"/>
    <w:basedOn w:val="Normal"/>
    <w:qFormat/>
    <w:rsid w:val="00EC3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679"/>
    <w:rPr>
      <w:u w:val="single"/>
    </w:rPr>
  </w:style>
  <w:style w:type="character" w:customStyle="1" w:styleId="BoldandItalics">
    <w:name w:val="Bold and Italics"/>
    <w:qFormat/>
    <w:rsid w:val="00EC3679"/>
    <w:rPr>
      <w:b/>
      <w:i/>
      <w:u w:val="none"/>
    </w:rPr>
  </w:style>
  <w:style w:type="paragraph" w:styleId="BalloonText">
    <w:name w:val="Balloon Text"/>
    <w:basedOn w:val="Normal"/>
    <w:link w:val="BalloonTextChar"/>
    <w:rsid w:val="00EC3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679"/>
    <w:pPr>
      <w:spacing w:before="0" w:after="0"/>
    </w:pPr>
  </w:style>
  <w:style w:type="paragraph" w:customStyle="1" w:styleId="BodyTextBold">
    <w:name w:val="Body Text Bold"/>
    <w:basedOn w:val="BodyText"/>
    <w:qFormat/>
    <w:rsid w:val="00EC3679"/>
    <w:rPr>
      <w:b/>
    </w:rPr>
  </w:style>
  <w:style w:type="character" w:styleId="Hyperlink">
    <w:name w:val="Hyperlink"/>
    <w:basedOn w:val="DefaultParagraphFont"/>
    <w:uiPriority w:val="99"/>
    <w:unhideWhenUsed/>
    <w:rsid w:val="00F75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4865</Characters>
  <Application>Microsoft Office Word</Application>
  <DocSecurity>0</DocSecurity>
  <Lines>194</Lines>
  <Paragraphs>101</Paragraphs>
  <ScaleCrop>false</ScaleCrop>
  <Company>Author-it Software Corporation Ltd.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ICTTEN431 Design a dense wavelength division multiplexing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2021-01-19T01:10:00Z</dcterms:created>
  <dcterms:modified xsi:type="dcterms:W3CDTF">2021-01-19T01:10:00Z</dcterms:modified>
</cp:coreProperties>
</file>