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B51" w:rsidP="00F90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ICTTEN431 Design a dense wavelength division multiplexing system</w:t>
      </w:r>
      <w:r>
        <w:fldChar w:fldCharType="end"/>
      </w:r>
    </w:p>
    <w:p w:rsidR="00F90B51" w:rsidP="00F90B51">
      <w:pPr>
        <w:pStyle w:val="Version"/>
        <w:sectPr w:rsidSect="00073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490" w:rsidP="00073490">
      <w:pPr>
        <w:pStyle w:val="SuperHeading"/>
      </w:pPr>
      <w:r w:rsidRPr="00073490">
        <w:t>ICTTEN431 Design a dense wavelength division multiplexing system</w:t>
      </w:r>
    </w:p>
    <w:p w:rsidR="00000000" w:rsidRPr="00073490" w:rsidP="00073490">
      <w:pPr>
        <w:pStyle w:val="Heading1"/>
      </w:pPr>
      <w:bookmarkStart w:id="1" w:name="O_766302"/>
      <w:bookmarkEnd w:id="1"/>
      <w:r w:rsidRPr="00073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SpecialBold"/>
              </w:rPr>
              <w:t>Comments</w:t>
            </w:r>
          </w:p>
        </w:tc>
      </w:tr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This version first released with ICT Information and Communications Technology Training Package Version 2.0.</w:t>
            </w:r>
          </w:p>
        </w:tc>
      </w:tr>
    </w:tbl>
    <w:p w:rsidR="00000000" w:rsidRPr="00073490" w:rsidP="00073490">
      <w:pPr>
        <w:pStyle w:val="BodyText"/>
      </w:pP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2" w:name="O_766303"/>
      <w:bookmarkEnd w:id="2"/>
      <w:r w:rsidRPr="00073490">
        <w:t>Application</w:t>
      </w:r>
    </w:p>
    <w:p w:rsidR="00000000" w:rsidRPr="00073490" w:rsidP="00F90B51">
      <w:pPr>
        <w:pStyle w:val="BodyText"/>
      </w:pPr>
      <w:r w:rsidRPr="00073490">
        <w:t>This unit describes the performance outcomes, skills and knowledge required to design a dense wavelength division multiplexing (DWDM) system in optical networks.</w:t>
      </w:r>
    </w:p>
    <w:p w:rsidR="00000000" w:rsidRPr="00073490" w:rsidP="00F90B51">
      <w:pPr>
        <w:pStyle w:val="BodyText"/>
      </w:pPr>
      <w:r w:rsidRPr="00073490">
        <w:t>It applies to telecommunications technical staff who design systems for installation of long haul or metropolitan area DWDM equipment.</w:t>
      </w:r>
    </w:p>
    <w:p w:rsidR="00000000" w:rsidRPr="00073490" w:rsidP="00F90B51">
      <w:pPr>
        <w:pStyle w:val="BodyText"/>
      </w:pPr>
      <w:r w:rsidRPr="00073490">
        <w:t>No licensing, legislative or certification requirements apply to this unit at the time of publication.</w:t>
      </w:r>
    </w:p>
    <w:p w:rsidR="00000000" w:rsidRPr="00073490" w:rsidP="00073490">
      <w:pPr>
        <w:pStyle w:val="Heading1"/>
      </w:pPr>
      <w:bookmarkStart w:id="3" w:name="O_766306"/>
      <w:bookmarkEnd w:id="3"/>
      <w:r w:rsidRPr="00073490">
        <w:t>Unit Sector</w:t>
      </w:r>
    </w:p>
    <w:p w:rsidR="00000000" w:rsidRPr="00073490" w:rsidP="00F90B51">
      <w:pPr>
        <w:pStyle w:val="BodyText"/>
      </w:pPr>
      <w:r w:rsidRPr="00073490">
        <w:t>Telecommunications – Telecommunications Networks Engineering</w:t>
      </w:r>
    </w:p>
    <w:p w:rsidR="00000000" w:rsidRPr="00073490" w:rsidP="00073490">
      <w:pPr>
        <w:pStyle w:val="Heading1"/>
      </w:pPr>
      <w:bookmarkStart w:id="4" w:name="O_766307"/>
      <w:bookmarkEnd w:id="4"/>
      <w:r w:rsidRPr="00073490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961"/>
      </w:tblGrid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ELEMENT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SpecialBold"/>
              </w:rPr>
              <w:t>PERFORMANCE CRITERIA</w:t>
            </w:r>
          </w:p>
        </w:tc>
      </w:tr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Emphasis"/>
              </w:rPr>
              <w:t>Elements describe the essential outcomes.</w:t>
            </w:r>
          </w:p>
        </w:tc>
        <w:tc>
          <w:tcPr>
            <w:tcW w:w="69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Emphasis"/>
              </w:rPr>
              <w:t>Performance criteria describe the performance needed to demo</w:t>
            </w:r>
            <w:r w:rsidRPr="00073490">
              <w:rPr>
                <w:rStyle w:val="Emphasis"/>
              </w:rPr>
              <w:t>nstrate achievement of the element.</w:t>
            </w:r>
          </w:p>
        </w:tc>
      </w:tr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 Obtain access to worksite safely and with authority from site owner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1.1 Obtain and review DWDM installation brief</w:t>
            </w:r>
          </w:p>
          <w:p w:rsidR="00000000" w:rsidRPr="00073490" w:rsidP="00073490">
            <w:pPr>
              <w:pStyle w:val="BodyText"/>
            </w:pPr>
            <w:r w:rsidRPr="00073490">
              <w:t>1.2 Determine site access requirements</w:t>
            </w:r>
          </w:p>
          <w:p w:rsidR="00000000" w:rsidRPr="00073490" w:rsidP="00073490">
            <w:pPr>
              <w:pStyle w:val="BodyText"/>
            </w:pPr>
            <w:r w:rsidRPr="00073490">
              <w:t xml:space="preserve">1.3 Notify parties if necessary to arrange site access and discuss DWDM installation requirements </w:t>
            </w:r>
          </w:p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 xml:space="preserve">1.4 Assess site-specific safety requirements and enterprise work health and safety (WHS) processes and procedures </w:t>
            </w:r>
          </w:p>
        </w:tc>
      </w:tr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2. Prepare to install design DWDM units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2</w:t>
            </w:r>
            <w:r w:rsidRPr="00073490">
              <w:t>.1 Survey location for DWDM installation and scope installation parameters</w:t>
            </w:r>
          </w:p>
          <w:p w:rsidR="00000000" w:rsidRPr="00073490" w:rsidP="00073490">
            <w:pPr>
              <w:pStyle w:val="BodyText"/>
            </w:pPr>
            <w:r w:rsidRPr="00073490">
              <w:t>2.2 Identify suitable location for DWDM equipment racks</w:t>
            </w:r>
          </w:p>
          <w:p w:rsidR="00000000" w:rsidRPr="00073490" w:rsidP="00073490">
            <w:pPr>
              <w:pStyle w:val="BodyText"/>
            </w:pPr>
            <w:r w:rsidRPr="00073490">
              <w:t>2.3 Determine number and location of shelves and cards in racks</w:t>
            </w:r>
          </w:p>
          <w:p w:rsidR="00000000" w:rsidRPr="00073490" w:rsidP="00073490">
            <w:pPr>
              <w:pStyle w:val="BodyText"/>
            </w:pPr>
            <w:r w:rsidRPr="00073490">
              <w:t>2.4 Determine capacity of optical distribution frames (ODFs),</w:t>
            </w:r>
            <w:r w:rsidRPr="00073490">
              <w:t xml:space="preserve"> patching and network management system (NMS) connections for the installation</w:t>
            </w:r>
          </w:p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2.5 Determine power feed options</w:t>
            </w:r>
          </w:p>
        </w:tc>
      </w:tr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3. Design DWDM units and associated cabling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3.1 Design DWDM racks, including locations and layout</w:t>
            </w:r>
          </w:p>
          <w:p w:rsidR="00000000" w:rsidRPr="00073490" w:rsidP="00073490">
            <w:pPr>
              <w:pStyle w:val="BodyText"/>
            </w:pPr>
            <w:r w:rsidRPr="00073490">
              <w:t>3.2 Examine standards, practices and requirem</w:t>
            </w:r>
            <w:r w:rsidRPr="00073490">
              <w:t>ents for designing DWDM systems</w:t>
            </w:r>
          </w:p>
          <w:p w:rsidR="00000000" w:rsidRPr="00073490" w:rsidP="00073490">
            <w:pPr>
              <w:pStyle w:val="BodyText"/>
            </w:pPr>
            <w:r w:rsidRPr="00073490">
              <w:t>3.3 Design DWDM shelf and card positions from customer and manufacturer documents</w:t>
            </w:r>
          </w:p>
          <w:p w:rsidR="00000000" w:rsidRPr="00073490" w:rsidP="00073490">
            <w:pPr>
              <w:pStyle w:val="BodyText"/>
            </w:pPr>
            <w:r w:rsidRPr="00073490">
              <w:t>3.4 Design supporting patch panel and jumpering schemes</w:t>
            </w:r>
          </w:p>
          <w:p w:rsidR="00000000" w:rsidRPr="00073490" w:rsidP="00073490">
            <w:pPr>
              <w:pStyle w:val="BodyText"/>
            </w:pPr>
            <w:r w:rsidRPr="00073490">
              <w:t>3.5 Include appropriate ancillary equipment and connections in design specifications</w:t>
            </w:r>
          </w:p>
          <w:p w:rsidR="00000000" w:rsidRPr="00073490" w:rsidP="00073490">
            <w:pPr>
              <w:pStyle w:val="BodyText"/>
            </w:pPr>
            <w:r w:rsidRPr="00073490">
              <w:t>3.6 Prepare detailed design drawings for racks, shelves and cards from manufacturer and carrier documents</w:t>
            </w:r>
          </w:p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3.7 Prepare detailed design drawings for patching, jumpering and power feeds from manufacturer and carrier documents</w:t>
            </w:r>
          </w:p>
        </w:tc>
      </w:tr>
      <w:tr w:rsidTr="0007349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 xml:space="preserve">4. Review design for compliance </w:t>
            </w:r>
            <w:r w:rsidRPr="00073490">
              <w:t>with standards and legislation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4.1 Confirm DWDM installation design meets the brief</w:t>
            </w:r>
          </w:p>
          <w:p w:rsidR="00000000" w:rsidRPr="00073490" w:rsidP="00073490">
            <w:pPr>
              <w:pStyle w:val="BodyText"/>
            </w:pPr>
            <w:r w:rsidRPr="00073490">
              <w:t>4.2 Review installation design to ensure compliance with requirements of federal, state and local regulations, relevant legislation, codes and standards</w:t>
            </w:r>
          </w:p>
        </w:tc>
      </w:tr>
    </w:tbl>
    <w:p w:rsidR="00000000" w:rsidRPr="00073490" w:rsidP="00073490">
      <w:pPr>
        <w:pStyle w:val="BodyText"/>
      </w:pP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5" w:name="O_766308"/>
      <w:bookmarkEnd w:id="5"/>
      <w:r w:rsidRPr="00073490">
        <w:t>Foundation Skills</w:t>
      </w:r>
    </w:p>
    <w:p w:rsidR="00000000" w:rsidRPr="00F90B51" w:rsidP="00F90B51">
      <w:pPr>
        <w:pStyle w:val="BodyText"/>
        <w:rPr>
          <w:i/>
        </w:rPr>
      </w:pPr>
      <w:r w:rsidRPr="00F90B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684"/>
      </w:tblGrid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Performance</w:t>
            </w:r>
          </w:p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Criteria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SpecialBold"/>
              </w:rPr>
              <w:t>Description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1.1, 1.4, 3.2, 3.3, 3.6, 3.7, 4.1, 4.2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 xml:space="preserve">Critically analyses complex documentation from a variety of sources and consolidates information relating to specific criteria to determine design </w:t>
            </w:r>
            <w:r w:rsidRPr="00073490">
              <w:t>requirements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 xml:space="preserve">1.3, 3.1, 3.3-3.7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ListBullet"/>
            </w:pPr>
            <w:r w:rsidRPr="00073490">
              <w:t>Prepares and produces dynam</w:t>
            </w:r>
            <w:r w:rsidRPr="00073490">
              <w:t xml:space="preserve">ic material for a specific audience using clear and detailed language to convey explicit information, requirements and recommendations </w:t>
            </w:r>
          </w:p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>Produces plans using industry-relevant terminology and recognised industry symbols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1.3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>Uses collabo</w:t>
            </w:r>
            <w:r w:rsidRPr="00073490">
              <w:t>rative and inclusive techniques, including active listening and questioning and reading of verbal and non-verbal signals, to convey and clarify information and confirm understanding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2.3-2.5, 3.1, 3.3, 3.4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>Uses highly-developed numeracy skills to interpret complex information, perform calculations and record outcomes for designs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1.4, 3.2, 4.2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ListBullet"/>
            </w:pPr>
            <w:r w:rsidRPr="00073490">
              <w:t>Works independently or with others to make decisions to achieve organisation outcomes</w:t>
            </w:r>
          </w:p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>Ta</w:t>
            </w:r>
            <w:r w:rsidRPr="00073490">
              <w:t>kes full responsibility for following policies, procedures and legislative requirements, and identifies organisational implications of new legislation or regulation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1.3, 4.1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ListBullet"/>
              <w:rPr>
                <w:lang w:val="en-NZ"/>
              </w:rPr>
            </w:pPr>
            <w:r w:rsidRPr="00073490">
              <w:t>Implements strategies for a diverse range of colleagues and</w:t>
            </w:r>
            <w:r w:rsidRPr="00073490">
              <w:t xml:space="preserve"> clients to build rapport and foster strong relationships</w:t>
            </w:r>
          </w:p>
        </w:tc>
      </w:tr>
      <w:tr w:rsidTr="00073490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1.1, 1.2, 1.4, 2.1-2.5, 3.1, 3.3, 3.6, 3.7,  4.1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ListBullet"/>
            </w:pPr>
            <w:r w:rsidRPr="00073490">
              <w:t xml:space="preserve">Accepts responsibility for planning and sequencing complex tasks and workload, negotiating key </w:t>
            </w:r>
            <w:r w:rsidRPr="00073490">
              <w:t>aspects with others taking into account capabilities, efficiencies and effectiveness</w:t>
            </w:r>
          </w:p>
          <w:p w:rsidR="00000000" w:rsidRPr="00073490" w:rsidP="00073490">
            <w:pPr>
              <w:pStyle w:val="ListBullet"/>
            </w:pPr>
            <w:r w:rsidRPr="00073490">
              <w:t>Makes critical decisions quickly and intuitively in complex situations, taking into consideration a range of variables</w:t>
            </w:r>
          </w:p>
          <w:p w:rsidR="00000000" w:rsidRPr="00073490" w:rsidP="00073490">
            <w:pPr>
              <w:pStyle w:val="ListBullet"/>
            </w:pPr>
            <w:r w:rsidRPr="00073490">
              <w:t>Applies systematic and analytical decision-making pr</w:t>
            </w:r>
            <w:r w:rsidRPr="00073490">
              <w:t>ocesses for complex and non-routine situations</w:t>
            </w:r>
          </w:p>
          <w:p w:rsidR="00000000" w:rsidRPr="00073490" w:rsidP="00073490">
            <w:pPr>
              <w:pStyle w:val="ListBullet"/>
            </w:pPr>
            <w:r w:rsidRPr="00073490">
              <w:t>Responds intuitively to problems requiring immediate resolution, drawing on past experiences to focus on the cause of a problem</w:t>
            </w:r>
          </w:p>
          <w:p w:rsidR="00000000" w:rsidRPr="00073490" w:rsidP="00073490">
            <w:pPr>
              <w:pStyle w:val="ListBullet"/>
            </w:pPr>
            <w:r w:rsidRPr="00073490">
              <w:t>Uses and investigates new digital technologies and applications to manage and man</w:t>
            </w:r>
            <w:r w:rsidRPr="00073490">
              <w:t>ipulate data and communicate effectively with others, in a secure and stable digital environment</w:t>
            </w:r>
          </w:p>
        </w:tc>
      </w:tr>
    </w:tbl>
    <w:p w:rsidR="00000000" w:rsidRPr="00073490" w:rsidP="00073490">
      <w:pPr>
        <w:pStyle w:val="BodyText"/>
      </w:pP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6" w:name="O_766310"/>
      <w:bookmarkEnd w:id="6"/>
      <w:r w:rsidRPr="000734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6"/>
        <w:gridCol w:w="1705"/>
        <w:gridCol w:w="1435"/>
        <w:gridCol w:w="1557"/>
      </w:tblGrid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 xml:space="preserve">Code and title </w:t>
            </w:r>
          </w:p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current version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Code and title</w:t>
            </w:r>
          </w:p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previous version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SpecialBold"/>
              </w:rPr>
              <w:t>Equivalence status</w:t>
            </w:r>
          </w:p>
        </w:tc>
      </w:tr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ICTTEN431 Design a dense wavelength division multiplexing system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ICTTEN4246A Design a dense wavelength division multiplexing installations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Updated to meet Standards for Training Packages.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Equivalent unit</w:t>
            </w:r>
          </w:p>
        </w:tc>
      </w:tr>
    </w:tbl>
    <w:p w:rsidR="00000000" w:rsidRPr="00073490" w:rsidP="00073490">
      <w:pPr>
        <w:pStyle w:val="BodyText"/>
      </w:pP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7" w:name="O_766317"/>
      <w:bookmarkEnd w:id="7"/>
      <w:r w:rsidRPr="00073490">
        <w:t>Links</w:t>
      </w:r>
    </w:p>
    <w:p w:rsidR="00000000" w:rsidRPr="00073490" w:rsidP="00F90B51">
      <w:pPr>
        <w:pStyle w:val="BodyText"/>
      </w:pPr>
      <w:r w:rsidRPr="00073490">
        <w:t>Companion Volume implementa</w:t>
      </w:r>
      <w:r w:rsidRPr="00073490">
        <w:t xml:space="preserve">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17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490" w:rsidP="00F90B51">
      <w:pPr>
        <w:pStyle w:val="BodyText"/>
        <w:sectPr w:rsidSect="000734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490" w:rsidP="00073490">
      <w:pPr>
        <w:pStyle w:val="SuperHeading"/>
      </w:pPr>
      <w:r w:rsidRPr="00073490">
        <w:t>Assessment Requirements for I</w:t>
      </w:r>
      <w:r w:rsidRPr="00073490">
        <w:t>CTTEN431 Design a dense wavelength division multiplexing system</w:t>
      </w:r>
    </w:p>
    <w:p w:rsidR="00000000" w:rsidRPr="00073490" w:rsidP="00073490">
      <w:pPr>
        <w:pStyle w:val="Heading1"/>
      </w:pPr>
      <w:bookmarkStart w:id="8" w:name="O_766312"/>
      <w:bookmarkEnd w:id="8"/>
      <w:r w:rsidRPr="00073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rPr>
                <w:rStyle w:val="SpecialBold"/>
              </w:rPr>
              <w:t>Comments</w:t>
            </w:r>
          </w:p>
        </w:tc>
      </w:tr>
      <w:tr w:rsidTr="000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90">
            <w:pPr>
              <w:pStyle w:val="BodyText"/>
              <w:rPr>
                <w:lang w:val="en-NZ"/>
              </w:rPr>
            </w:pPr>
            <w:r w:rsidRPr="00073490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90" w:rsidP="00073490">
            <w:pPr>
              <w:pStyle w:val="BodyText"/>
            </w:pPr>
            <w:r w:rsidRPr="00073490">
              <w:t>This version first released with ICT Information and Communications Technology Training Package Version 2.0.</w:t>
            </w:r>
          </w:p>
        </w:tc>
      </w:tr>
    </w:tbl>
    <w:p w:rsidR="00000000" w:rsidRPr="00073490" w:rsidP="00073490">
      <w:pPr>
        <w:pStyle w:val="BodyText"/>
      </w:pP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9" w:name="O_766313"/>
      <w:bookmarkEnd w:id="9"/>
      <w:r w:rsidRPr="00073490">
        <w:t>Performance Evidence</w:t>
      </w:r>
    </w:p>
    <w:p w:rsidR="00000000" w:rsidRPr="00073490" w:rsidP="00F90B51">
      <w:pPr>
        <w:pStyle w:val="BodyText"/>
      </w:pPr>
      <w:r w:rsidRPr="00073490">
        <w:t>Evidence of ability to:</w:t>
      </w:r>
    </w:p>
    <w:p w:rsidR="00000000" w:rsidRPr="00073490" w:rsidP="00073490">
      <w:pPr>
        <w:pStyle w:val="ListBullet"/>
      </w:pPr>
      <w:r w:rsidRPr="00073490">
        <w:t>design a dense wavelength division multiplexing (DWDM) system and associated cabling according to plans and specifications</w:t>
      </w:r>
    </w:p>
    <w:p w:rsidR="00000000" w:rsidRPr="00073490" w:rsidP="00073490">
      <w:pPr>
        <w:pStyle w:val="ListBullet"/>
      </w:pPr>
      <w:r w:rsidRPr="00073490">
        <w:t>design DWDM power and ground connections</w:t>
      </w:r>
    </w:p>
    <w:p w:rsidR="00000000" w:rsidRPr="00073490" w:rsidP="00073490">
      <w:pPr>
        <w:pStyle w:val="ListBullet"/>
      </w:pPr>
      <w:r w:rsidRPr="00073490">
        <w:t>complete and confirm installation desi</w:t>
      </w:r>
      <w:r w:rsidRPr="00073490">
        <w:t>gn report.</w:t>
      </w:r>
    </w:p>
    <w:p w:rsidR="00000000" w:rsidRPr="00073490" w:rsidP="00073490">
      <w:pPr>
        <w:pStyle w:val="BodyText"/>
      </w:pPr>
    </w:p>
    <w:p w:rsidR="00000000" w:rsidRPr="00073490" w:rsidP="00F90B51">
      <w:pPr>
        <w:pStyle w:val="BodyText"/>
      </w:pPr>
      <w:r w:rsidRPr="00073490">
        <w:t>Note: If a specific volume or frequency is not stated, then evidence must be provided at least once.</w:t>
      </w:r>
    </w:p>
    <w:p w:rsidR="00000000" w:rsidRPr="00073490" w:rsidP="00073490">
      <w:pPr>
        <w:pStyle w:val="Heading1"/>
      </w:pPr>
      <w:bookmarkStart w:id="10" w:name="O_766314"/>
      <w:bookmarkEnd w:id="10"/>
      <w:r w:rsidRPr="00073490">
        <w:t>Knowledge Evidence</w:t>
      </w:r>
    </w:p>
    <w:p w:rsidR="00000000" w:rsidRPr="00073490" w:rsidP="00F90B51">
      <w:pPr>
        <w:pStyle w:val="BodyText"/>
      </w:pPr>
      <w:r w:rsidRPr="00073490">
        <w:t>To complete the unit requirements safely and effectively, the individual must:</w:t>
      </w:r>
    </w:p>
    <w:p w:rsidR="00000000" w:rsidRPr="00073490" w:rsidP="00073490">
      <w:pPr>
        <w:pStyle w:val="ListBullet"/>
      </w:pPr>
      <w:r w:rsidRPr="00073490">
        <w:t>recognise principles of ope</w:t>
      </w:r>
      <w:r w:rsidRPr="00073490">
        <w:t xml:space="preserve">ration of a DWDM </w:t>
      </w:r>
    </w:p>
    <w:p w:rsidR="00000000" w:rsidRPr="00073490" w:rsidP="00073490">
      <w:pPr>
        <w:pStyle w:val="ListBullet"/>
      </w:pPr>
      <w:r w:rsidRPr="00073490">
        <w:t xml:space="preserve">recognise electrostatic discharge and apply work practices to minimise damage to equipment </w:t>
      </w:r>
    </w:p>
    <w:p w:rsidR="00000000" w:rsidRPr="00073490" w:rsidP="00073490">
      <w:pPr>
        <w:pStyle w:val="ListBullet"/>
      </w:pPr>
      <w:r w:rsidRPr="00073490">
        <w:t>recognise and describe the function and types of optical fibre connectors and characteristics of optical fibre</w:t>
      </w:r>
    </w:p>
    <w:p w:rsidR="00000000" w:rsidRPr="00073490" w:rsidP="00073490">
      <w:pPr>
        <w:pStyle w:val="ListBullet"/>
      </w:pPr>
      <w:r w:rsidRPr="00073490">
        <w:t>describe specific work health and s</w:t>
      </w:r>
      <w:r w:rsidRPr="00073490">
        <w:t>afety (WHS) requirements that impact the safe inspection of optical connectors</w:t>
      </w:r>
    </w:p>
    <w:p w:rsidR="00000000" w:rsidRPr="00073490" w:rsidP="00073490">
      <w:pPr>
        <w:pStyle w:val="ListBullet"/>
      </w:pPr>
      <w:r w:rsidRPr="00073490">
        <w:t>recognise and apply principles of safe measurement of optical power for laser transmission systems</w:t>
      </w:r>
    </w:p>
    <w:p w:rsidR="00000000" w:rsidRPr="00073490" w:rsidP="00073490">
      <w:pPr>
        <w:pStyle w:val="ListBullet"/>
      </w:pPr>
      <w:r w:rsidRPr="00073490">
        <w:t>describe tools and ancillary equipment commonly used for DWDM systems</w:t>
      </w:r>
    </w:p>
    <w:p w:rsidR="00000000" w:rsidRPr="00073490" w:rsidP="00073490">
      <w:pPr>
        <w:pStyle w:val="ListBullet"/>
      </w:pPr>
      <w:r w:rsidRPr="00073490">
        <w:t>recognis</w:t>
      </w:r>
      <w:r w:rsidRPr="00073490">
        <w:t>e and describe common power wiring faults.</w:t>
      </w:r>
    </w:p>
    <w:p w:rsidR="00000000" w:rsidRPr="00073490" w:rsidP="00073490">
      <w:pPr>
        <w:pStyle w:val="AllowPageBreak"/>
      </w:pPr>
    </w:p>
    <w:p w:rsidR="00000000" w:rsidRPr="00073490" w:rsidP="00073490">
      <w:pPr>
        <w:pStyle w:val="Heading1"/>
      </w:pPr>
      <w:bookmarkStart w:id="11" w:name="O_766315"/>
      <w:bookmarkEnd w:id="11"/>
      <w:r w:rsidRPr="00073490">
        <w:t>Assessment Conditions</w:t>
      </w:r>
    </w:p>
    <w:p w:rsidR="00000000" w:rsidRPr="00073490" w:rsidP="00F90B51">
      <w:pPr>
        <w:pStyle w:val="BodyText"/>
      </w:pPr>
      <w:r w:rsidRPr="00073490">
        <w:t xml:space="preserve">Gather evidence to demonstrate consistent performance in conditions that are safe and replicate the workplace. Noise levels, production flow, interruptions and time </w:t>
      </w:r>
      <w:r w:rsidRPr="00073490">
        <w:t>variances should be typical of those experienced in the telecommunications networks engineering field of work and include access to:</w:t>
      </w:r>
    </w:p>
    <w:p w:rsidR="00000000" w:rsidRPr="00073490" w:rsidP="00073490">
      <w:pPr>
        <w:pStyle w:val="ListBullet"/>
      </w:pPr>
      <w:r w:rsidRPr="00073490">
        <w:t>special purpose tools, equipment and materials</w:t>
      </w:r>
    </w:p>
    <w:p w:rsidR="00000000" w:rsidRPr="00073490" w:rsidP="00073490">
      <w:pPr>
        <w:pStyle w:val="ListBullet"/>
      </w:pPr>
      <w:r w:rsidRPr="00073490">
        <w:t>a suitable site for DWDM equipment installation</w:t>
      </w:r>
    </w:p>
    <w:p w:rsidR="00000000" w:rsidRPr="00073490" w:rsidP="00073490">
      <w:pPr>
        <w:pStyle w:val="ListBullet"/>
      </w:pPr>
      <w:r w:rsidRPr="00073490">
        <w:t>tools and equipment require</w:t>
      </w:r>
      <w:r w:rsidRPr="00073490">
        <w:t>d for installation</w:t>
      </w:r>
    </w:p>
    <w:p w:rsidR="00000000" w:rsidRPr="00073490" w:rsidP="00073490">
      <w:pPr>
        <w:pStyle w:val="ListBullet"/>
      </w:pPr>
      <w:r w:rsidRPr="00073490">
        <w:t>a range of optical fibres to suit the installation.</w:t>
      </w:r>
    </w:p>
    <w:p w:rsidR="00000000" w:rsidRPr="00073490" w:rsidP="00073490">
      <w:pPr>
        <w:pStyle w:val="BodyText"/>
      </w:pPr>
    </w:p>
    <w:p w:rsidR="00000000" w:rsidRPr="00073490" w:rsidP="00F90B51">
      <w:pPr>
        <w:pStyle w:val="BodyText"/>
      </w:pPr>
      <w:r w:rsidRPr="00073490">
        <w:t>Assessors of this unit must satisfy the requirements for assessors in applicable vocational education and training legislation, frameworks and/or standards.</w:t>
      </w:r>
    </w:p>
    <w:p w:rsidR="00000000" w:rsidRPr="00073490" w:rsidP="00073490">
      <w:pPr>
        <w:pStyle w:val="Heading1"/>
      </w:pPr>
      <w:bookmarkStart w:id="12" w:name="O_766318"/>
      <w:bookmarkEnd w:id="12"/>
      <w:r w:rsidRPr="00073490">
        <w:t>Links</w:t>
      </w:r>
    </w:p>
    <w:p w:rsidR="00000000" w:rsidRPr="00073490" w:rsidP="00F90B51">
      <w:pPr>
        <w:pStyle w:val="BodyText"/>
      </w:pPr>
      <w:r w:rsidRPr="00073490">
        <w:t>Comp</w:t>
      </w:r>
      <w:r w:rsidRPr="0007349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17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490" w:rsidP="00073490"/>
    <w:sectPr w:rsidSect="000734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 w:rsidRPr="00F90B51" w:rsidP="00F90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51" w:rsidP="00073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0B51" w:rsidP="00073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0B51" w:rsidP="000734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 w:rsidP="00073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B51">
      <w:t>Approved</w:t>
    </w:r>
    <w:r w:rsidR="00F90B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B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B51">
      <w:rPr>
        <w:noProof/>
      </w:rPr>
      <w:t>5</w:t>
    </w:r>
    <w:r>
      <w:rPr>
        <w:noProof/>
      </w:rPr>
      <w:fldChar w:fldCharType="end"/>
    </w:r>
  </w:p>
  <w:p w:rsidR="00073490" w:rsidP="00073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B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B51">
      <w:t>Future Skills Organisation</w:t>
    </w:r>
    <w:r w:rsidR="00F90B51">
      <w:fldChar w:fldCharType="end"/>
    </w:r>
  </w:p>
  <w:p w:rsidR="00073490" w:rsidP="00073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490" w:rsidRPr="00F90B51" w:rsidP="00F90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51" w:rsidRPr="002D2AF8" w:rsidP="00073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ICTTEN431 Design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0B51" w:rsidP="000734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90" w:rsidRPr="002D2AF8" w:rsidP="00073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B51">
      <w:t>ICTTEN431 Design a dense wavelength division multiplexing system</w:t>
    </w:r>
    <w:r w:rsidR="00F90B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B51">
      <w:rPr>
        <w:noProof/>
      </w:rPr>
      <w:t>2 March 2025</w:t>
    </w:r>
    <w:r>
      <w:fldChar w:fldCharType="end"/>
    </w:r>
  </w:p>
  <w:p w:rsidR="00073490" w:rsidP="00073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5E0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062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490"/>
  </w:style>
  <w:style w:type="character" w:customStyle="1" w:styleId="Heading1Char">
    <w:name w:val="Heading 1 Char"/>
    <w:basedOn w:val="DefaultParagraphFont"/>
    <w:link w:val="Heading1"/>
    <w:rsid w:val="00073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4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490"/>
    <w:rPr>
      <w:b/>
      <w:spacing w:val="0"/>
    </w:rPr>
  </w:style>
  <w:style w:type="character" w:styleId="Emphasis">
    <w:name w:val="Emphasis"/>
    <w:basedOn w:val="DefaultParagraphFont"/>
    <w:qFormat/>
    <w:rsid w:val="00073490"/>
    <w:rPr>
      <w:i/>
    </w:rPr>
  </w:style>
  <w:style w:type="paragraph" w:customStyle="1" w:styleId="SuperHeading">
    <w:name w:val="SuperHeading"/>
    <w:basedOn w:val="Normal"/>
    <w:rsid w:val="00073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4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490"/>
  </w:style>
  <w:style w:type="paragraph" w:styleId="TableofFigures">
    <w:name w:val="table of figures"/>
    <w:basedOn w:val="Normal"/>
    <w:next w:val="Normal"/>
    <w:semiHidden/>
    <w:rsid w:val="00073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4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490"/>
    <w:rPr>
      <w:rFonts w:ascii="Wingdings" w:hAnsi="Wingdings"/>
    </w:rPr>
  </w:style>
  <w:style w:type="paragraph" w:customStyle="1" w:styleId="TableHeading">
    <w:name w:val="Table Heading"/>
    <w:basedOn w:val="HeadingBase"/>
    <w:rsid w:val="00073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490"/>
    <w:rPr>
      <w:color w:val="0033CC"/>
      <w:u w:val="none"/>
    </w:rPr>
  </w:style>
  <w:style w:type="paragraph" w:customStyle="1" w:styleId="BodyTextRight">
    <w:name w:val="Body Text Right"/>
    <w:basedOn w:val="BodyText"/>
    <w:rsid w:val="00073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4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490"/>
    <w:rPr>
      <w:sz w:val="32"/>
    </w:rPr>
  </w:style>
  <w:style w:type="paragraph" w:customStyle="1" w:styleId="HeadingProcedure">
    <w:name w:val="Heading Procedure"/>
    <w:basedOn w:val="HeadingBase"/>
    <w:next w:val="Normal"/>
    <w:rsid w:val="00073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490"/>
    <w:pPr>
      <w:spacing w:before="60" w:after="60"/>
    </w:pPr>
  </w:style>
  <w:style w:type="paragraph" w:styleId="ListContinue">
    <w:name w:val="List Continue"/>
    <w:basedOn w:val="List"/>
    <w:rsid w:val="00073490"/>
    <w:pPr>
      <w:ind w:firstLine="0"/>
    </w:pPr>
  </w:style>
  <w:style w:type="paragraph" w:customStyle="1" w:styleId="ListNote">
    <w:name w:val="List Note"/>
    <w:basedOn w:val="List"/>
    <w:rsid w:val="00073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490"/>
    <w:rPr>
      <w:rFonts w:ascii="Courier New" w:hAnsi="Courier New"/>
    </w:rPr>
  </w:style>
  <w:style w:type="paragraph" w:customStyle="1" w:styleId="NoteBullet">
    <w:name w:val="Note Bullet"/>
    <w:basedOn w:val="Note"/>
    <w:rsid w:val="00073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4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490"/>
    <w:rPr>
      <w:b/>
      <w:smallCaps/>
    </w:rPr>
  </w:style>
  <w:style w:type="paragraph" w:customStyle="1" w:styleId="TableListNumber">
    <w:name w:val="Table List Number"/>
    <w:basedOn w:val="ListNumber"/>
    <w:rsid w:val="00073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490"/>
    <w:pPr>
      <w:numPr>
        <w:numId w:val="8"/>
      </w:numPr>
    </w:pPr>
  </w:style>
  <w:style w:type="paragraph" w:customStyle="1" w:styleId="ListAlpha2">
    <w:name w:val="List Alpha 2"/>
    <w:basedOn w:val="List2"/>
    <w:rsid w:val="00073490"/>
    <w:pPr>
      <w:numPr>
        <w:numId w:val="7"/>
      </w:numPr>
    </w:pPr>
  </w:style>
  <w:style w:type="paragraph" w:styleId="List2">
    <w:name w:val="List 2"/>
    <w:basedOn w:val="BodyText"/>
    <w:rsid w:val="00073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4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4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490"/>
    <w:pPr>
      <w:numPr>
        <w:numId w:val="3"/>
      </w:numPr>
    </w:pPr>
  </w:style>
  <w:style w:type="paragraph" w:styleId="ListContinue2">
    <w:name w:val="List Continue 2"/>
    <w:basedOn w:val="List2"/>
    <w:rsid w:val="00073490"/>
    <w:pPr>
      <w:ind w:firstLine="0"/>
    </w:pPr>
  </w:style>
  <w:style w:type="paragraph" w:styleId="ListContinue3">
    <w:name w:val="List Continue 3"/>
    <w:basedOn w:val="List3"/>
    <w:rsid w:val="00073490"/>
    <w:pPr>
      <w:ind w:left="1021" w:firstLine="0"/>
    </w:pPr>
  </w:style>
  <w:style w:type="paragraph" w:styleId="ListContinue4">
    <w:name w:val="List Continue 4"/>
    <w:basedOn w:val="List4"/>
    <w:rsid w:val="00073490"/>
    <w:pPr>
      <w:ind w:firstLine="0"/>
    </w:pPr>
  </w:style>
  <w:style w:type="paragraph" w:styleId="ListContinue5">
    <w:name w:val="List Continue 5"/>
    <w:basedOn w:val="List5"/>
    <w:rsid w:val="00073490"/>
    <w:pPr>
      <w:ind w:firstLine="0"/>
    </w:pPr>
  </w:style>
  <w:style w:type="paragraph" w:styleId="ListNumber3">
    <w:name w:val="List Number 3"/>
    <w:basedOn w:val="List3"/>
    <w:rsid w:val="00073490"/>
    <w:pPr>
      <w:numPr>
        <w:numId w:val="4"/>
      </w:numPr>
    </w:pPr>
  </w:style>
  <w:style w:type="paragraph" w:styleId="ListNumber4">
    <w:name w:val="List Number 4"/>
    <w:basedOn w:val="List4"/>
    <w:rsid w:val="00073490"/>
    <w:pPr>
      <w:numPr>
        <w:numId w:val="5"/>
      </w:numPr>
    </w:pPr>
  </w:style>
  <w:style w:type="paragraph" w:styleId="ListNumber5">
    <w:name w:val="List Number 5"/>
    <w:basedOn w:val="List5"/>
    <w:rsid w:val="00073490"/>
    <w:pPr>
      <w:numPr>
        <w:numId w:val="6"/>
      </w:numPr>
    </w:pPr>
  </w:style>
  <w:style w:type="paragraph" w:styleId="BlockText">
    <w:name w:val="Block Text"/>
    <w:basedOn w:val="Normal"/>
    <w:rsid w:val="00073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490"/>
    <w:rPr>
      <w:sz w:val="16"/>
      <w:vertAlign w:val="superscript"/>
    </w:rPr>
  </w:style>
  <w:style w:type="character" w:customStyle="1" w:styleId="Symbols">
    <w:name w:val="Symbols"/>
    <w:basedOn w:val="DefaultParagraphFont"/>
    <w:rsid w:val="00073490"/>
    <w:rPr>
      <w:rFonts w:ascii="Symbol" w:hAnsi="Symbol"/>
    </w:rPr>
  </w:style>
  <w:style w:type="character" w:customStyle="1" w:styleId="MenuOptions">
    <w:name w:val="Menu Options"/>
    <w:basedOn w:val="DefaultParagraphFont"/>
    <w:rsid w:val="00073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490"/>
    <w:rPr>
      <w:b/>
    </w:rPr>
  </w:style>
  <w:style w:type="character" w:customStyle="1" w:styleId="Underlined">
    <w:name w:val="Underlined"/>
    <w:basedOn w:val="DefaultParagraphFont"/>
    <w:rsid w:val="00073490"/>
    <w:rPr>
      <w:u w:val="single"/>
    </w:rPr>
  </w:style>
  <w:style w:type="paragraph" w:customStyle="1" w:styleId="TableBodyTextRight">
    <w:name w:val="Table Body Text Right"/>
    <w:basedOn w:val="TableBodyText"/>
    <w:rsid w:val="00073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490"/>
    <w:rPr>
      <w:sz w:val="18"/>
    </w:rPr>
  </w:style>
  <w:style w:type="paragraph" w:customStyle="1" w:styleId="BodySmallRight">
    <w:name w:val="Body Small Right"/>
    <w:basedOn w:val="BodyTextRight"/>
    <w:rsid w:val="00073490"/>
    <w:rPr>
      <w:sz w:val="18"/>
      <w:szCs w:val="18"/>
    </w:rPr>
  </w:style>
  <w:style w:type="paragraph" w:customStyle="1" w:styleId="MarginEdition">
    <w:name w:val="Margin Edition"/>
    <w:basedOn w:val="MarginNote"/>
    <w:rsid w:val="00073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490"/>
    <w:rPr>
      <w:sz w:val="2"/>
      <w:szCs w:val="2"/>
    </w:rPr>
  </w:style>
  <w:style w:type="character" w:customStyle="1" w:styleId="Small">
    <w:name w:val="Small"/>
    <w:basedOn w:val="DefaultParagraphFont"/>
    <w:rsid w:val="00073490"/>
    <w:rPr>
      <w:sz w:val="16"/>
    </w:rPr>
  </w:style>
  <w:style w:type="paragraph" w:customStyle="1" w:styleId="WideTable">
    <w:name w:val="Wide Table"/>
    <w:basedOn w:val="Normal"/>
    <w:rsid w:val="00073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490"/>
  </w:style>
  <w:style w:type="paragraph" w:styleId="Quote">
    <w:name w:val="Quote"/>
    <w:basedOn w:val="Heading1"/>
    <w:link w:val="QuoteChar"/>
    <w:qFormat/>
    <w:rsid w:val="00073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490"/>
    <w:pPr>
      <w:pageBreakBefore/>
    </w:pPr>
  </w:style>
  <w:style w:type="paragraph" w:customStyle="1" w:styleId="Border">
    <w:name w:val="Border"/>
    <w:basedOn w:val="Normal"/>
    <w:qFormat/>
    <w:rsid w:val="00073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490"/>
    <w:rPr>
      <w:u w:val="single"/>
    </w:rPr>
  </w:style>
  <w:style w:type="character" w:customStyle="1" w:styleId="BoldandItalics">
    <w:name w:val="Bold and Italics"/>
    <w:qFormat/>
    <w:rsid w:val="00073490"/>
    <w:rPr>
      <w:b/>
      <w:i/>
      <w:u w:val="none"/>
    </w:rPr>
  </w:style>
  <w:style w:type="paragraph" w:styleId="BalloonText">
    <w:name w:val="Balloon Text"/>
    <w:basedOn w:val="Normal"/>
    <w:link w:val="BalloonTextChar"/>
    <w:rsid w:val="00073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490"/>
    <w:pPr>
      <w:spacing w:before="0" w:after="0"/>
    </w:pPr>
  </w:style>
  <w:style w:type="paragraph" w:customStyle="1" w:styleId="BodyTextBold">
    <w:name w:val="Body Text Bold"/>
    <w:basedOn w:val="BodyText"/>
    <w:qFormat/>
    <w:rsid w:val="00073490"/>
    <w:rPr>
      <w:b/>
    </w:rPr>
  </w:style>
  <w:style w:type="character" w:styleId="Hyperlink">
    <w:name w:val="Hyperlink"/>
    <w:basedOn w:val="DefaultParagraphFont"/>
    <w:uiPriority w:val="99"/>
    <w:unhideWhenUsed/>
    <w:rsid w:val="00F90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6791</Characters>
  <Application>Microsoft Office Word</Application>
  <DocSecurity>0</DocSecurity>
  <Lines>251</Lines>
  <Paragraphs>139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ICTTEN431 Design a dense wavelength division multiplexing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