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D4B" w:rsidP="00A63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ICTTEN211 Work effectively in a telecommunications network environment</w:t>
      </w:r>
      <w:r>
        <w:fldChar w:fldCharType="end"/>
      </w:r>
    </w:p>
    <w:p w:rsidR="00A63D4B" w:rsidP="00A63D4B">
      <w:pPr>
        <w:pStyle w:val="Version"/>
        <w:sectPr w:rsidSect="00622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12B" w:rsidP="0062212B">
      <w:pPr>
        <w:pStyle w:val="SuperHeading"/>
      </w:pPr>
      <w:r w:rsidRPr="0062212B">
        <w:t>ICTTEN211 Work effectively in a telecommunications network environment</w:t>
      </w:r>
    </w:p>
    <w:p w:rsidR="00000000" w:rsidRPr="0062212B" w:rsidP="0062212B">
      <w:pPr>
        <w:pStyle w:val="Heading1"/>
      </w:pPr>
      <w:bookmarkStart w:id="1" w:name="O_1043046"/>
      <w:bookmarkEnd w:id="1"/>
      <w:r w:rsidRPr="006221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221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rPr>
                <w:rStyle w:val="SpecialBold"/>
              </w:rPr>
              <w:t>Comments</w:t>
            </w:r>
          </w:p>
        </w:tc>
      </w:tr>
      <w:tr w:rsidTr="006221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t>This version released with ICT Information and Communications Technology Training Package Version 5.0.</w:t>
            </w:r>
          </w:p>
        </w:tc>
      </w:tr>
    </w:tbl>
    <w:p w:rsidR="00000000" w:rsidRPr="0062212B" w:rsidP="0062212B">
      <w:pPr>
        <w:pStyle w:val="BodyText"/>
      </w:pPr>
    </w:p>
    <w:p w:rsidR="00000000" w:rsidRPr="0062212B" w:rsidP="0062212B">
      <w:pPr>
        <w:pStyle w:val="AllowPageBreak"/>
      </w:pPr>
    </w:p>
    <w:p w:rsidR="00000000" w:rsidRPr="0062212B" w:rsidP="0062212B">
      <w:pPr>
        <w:pStyle w:val="Heading1"/>
      </w:pPr>
      <w:bookmarkStart w:id="2" w:name="O_1043047"/>
      <w:bookmarkEnd w:id="2"/>
      <w:r w:rsidRPr="0062212B">
        <w:t>Application</w:t>
      </w:r>
    </w:p>
    <w:p w:rsidR="00000000" w:rsidRPr="0062212B" w:rsidP="00A63D4B">
      <w:pPr>
        <w:pStyle w:val="BodyText"/>
      </w:pPr>
      <w:r w:rsidRPr="0062212B">
        <w:t>This unit describes the skills and knowledge required to prepare for and work within a telecommunications network environment by familiarising oneself with the devices required to work on basic telecommunications networks and by perfor</w:t>
      </w:r>
      <w:r w:rsidRPr="0062212B">
        <w:t>ming information transmissions.</w:t>
      </w:r>
    </w:p>
    <w:p w:rsidR="00000000" w:rsidRPr="0062212B" w:rsidP="00A63D4B">
      <w:pPr>
        <w:pStyle w:val="BodyText"/>
      </w:pPr>
      <w:r w:rsidRPr="0062212B">
        <w:t>It applies to entry-level workers who undertake basic information transmission tasks on telecommunications networks.</w:t>
      </w:r>
    </w:p>
    <w:p w:rsidR="00000000" w:rsidRPr="0062212B" w:rsidP="00A63D4B">
      <w:pPr>
        <w:pStyle w:val="BodyText"/>
      </w:pPr>
      <w:r w:rsidRPr="0062212B">
        <w:t>No licensing, legislative or certification requirements apply to this unit at the time of publication.</w:t>
      </w:r>
    </w:p>
    <w:p w:rsidR="00000000" w:rsidRPr="0062212B" w:rsidP="0062212B">
      <w:pPr>
        <w:pStyle w:val="Heading1"/>
      </w:pPr>
      <w:bookmarkStart w:id="3" w:name="O_1043050"/>
      <w:bookmarkEnd w:id="3"/>
      <w:r w:rsidRPr="0062212B">
        <w:t>Unit Sector</w:t>
      </w:r>
    </w:p>
    <w:p w:rsidR="00000000" w:rsidRPr="0062212B" w:rsidP="00A63D4B">
      <w:pPr>
        <w:pStyle w:val="BodyText"/>
      </w:pPr>
      <w:r w:rsidRPr="0062212B">
        <w:t>Telecommunications – Telecommunications Network Engineering</w:t>
      </w:r>
    </w:p>
    <w:p w:rsidR="00000000" w:rsidRPr="0062212B" w:rsidP="0062212B">
      <w:pPr>
        <w:pStyle w:val="Heading1"/>
      </w:pPr>
      <w:bookmarkStart w:id="4" w:name="O_1043051"/>
      <w:bookmarkEnd w:id="4"/>
      <w:r w:rsidRPr="0062212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32"/>
      </w:tblGrid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rPr>
                <w:rStyle w:val="SpecialBold"/>
              </w:rPr>
              <w:t>ELEMENT</w:t>
            </w:r>
          </w:p>
        </w:tc>
        <w:tc>
          <w:tcPr>
            <w:tcW w:w="70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rPr>
                <w:rStyle w:val="SpecialBold"/>
              </w:rPr>
              <w:t>PERFORMANCE CRITERIA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rPr>
                <w:rStyle w:val="Emphasis"/>
              </w:rPr>
              <w:t>Elements describe the essential outcomes.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1. Use telecommunications devices to transmit information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t>1.1. Verify requirements for information transmission according to work specifications</w:t>
            </w:r>
          </w:p>
          <w:p w:rsidR="00000000" w:rsidRPr="0062212B" w:rsidP="0062212B">
            <w:pPr>
              <w:pStyle w:val="BodyText"/>
            </w:pPr>
            <w:r w:rsidRPr="0062212B">
              <w:t xml:space="preserve">1.2. Identify </w:t>
            </w:r>
            <w:r w:rsidRPr="0062212B">
              <w:t>and select an appropriate telecommunications device for information transmission</w:t>
            </w:r>
          </w:p>
          <w:p w:rsidR="00000000" w:rsidRPr="0062212B" w:rsidP="0062212B">
            <w:pPr>
              <w:pStyle w:val="BodyText"/>
            </w:pPr>
            <w:r w:rsidRPr="0062212B">
              <w:t>1.3. Determine the appropriate medium to transmit information</w:t>
            </w:r>
          </w:p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1.4. Transmit information to identified recipients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2. Use transmitted information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t xml:space="preserve">2.1 Identify and use physical </w:t>
            </w:r>
            <w:r w:rsidRPr="0062212B">
              <w:t>mediums to transmit information across devices and cables</w:t>
            </w:r>
          </w:p>
          <w:p w:rsidR="00000000" w:rsidRPr="0062212B" w:rsidP="0062212B">
            <w:pPr>
              <w:pStyle w:val="BodyText"/>
            </w:pPr>
            <w:r w:rsidRPr="0062212B">
              <w:t>2.2 Calculate physical distance characteristics that may affect each medium used</w:t>
            </w:r>
          </w:p>
          <w:p w:rsidR="00000000" w:rsidRPr="0062212B" w:rsidP="0062212B">
            <w:pPr>
              <w:pStyle w:val="BodyText"/>
            </w:pPr>
            <w:r w:rsidRPr="0062212B">
              <w:t>2.3 Calculate signal losses in relation to medium used</w:t>
            </w:r>
          </w:p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2.4 Connect test devices and record readings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 xml:space="preserve">3. Finalise telecommunications tasks </w:t>
            </w:r>
          </w:p>
        </w:tc>
        <w:tc>
          <w:tcPr>
            <w:tcW w:w="70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t>3.1 Complete finalisation report according to enterprise policies</w:t>
            </w:r>
          </w:p>
          <w:p w:rsidR="00000000" w:rsidRPr="0062212B" w:rsidP="0062212B">
            <w:pPr>
              <w:pStyle w:val="BodyText"/>
            </w:pPr>
            <w:r w:rsidRPr="0062212B">
              <w:t>3.2 Submit report to customers and stakeholders</w:t>
            </w:r>
          </w:p>
          <w:p w:rsidR="00000000" w:rsidRPr="0062212B" w:rsidP="0062212B">
            <w:pPr>
              <w:pStyle w:val="BodyText"/>
            </w:pPr>
            <w:r w:rsidRPr="0062212B">
              <w:t>3.3 Clean-up and reinstate site to original condition</w:t>
            </w:r>
          </w:p>
        </w:tc>
      </w:tr>
    </w:tbl>
    <w:p w:rsidR="00000000" w:rsidRPr="0062212B" w:rsidP="0062212B">
      <w:pPr>
        <w:pStyle w:val="BodyText"/>
      </w:pPr>
    </w:p>
    <w:p w:rsidR="00000000" w:rsidRPr="0062212B" w:rsidP="0062212B">
      <w:pPr>
        <w:pStyle w:val="AllowPageBreak"/>
      </w:pPr>
    </w:p>
    <w:p w:rsidR="00000000" w:rsidRPr="0062212B" w:rsidP="0062212B">
      <w:pPr>
        <w:pStyle w:val="Heading1"/>
      </w:pPr>
      <w:bookmarkStart w:id="5" w:name="O_1043052"/>
      <w:bookmarkEnd w:id="5"/>
      <w:r w:rsidRPr="0062212B">
        <w:t>Foundation Skills</w:t>
      </w:r>
    </w:p>
    <w:p w:rsidR="00000000" w:rsidRPr="00A63D4B" w:rsidP="00A63D4B">
      <w:pPr>
        <w:pStyle w:val="BodyText"/>
        <w:rPr>
          <w:i/>
        </w:rPr>
      </w:pPr>
      <w:r w:rsidRPr="00A63D4B">
        <w:rPr>
          <w:rStyle w:val="Emphasis"/>
        </w:rPr>
        <w:t>This sectio</w:t>
      </w:r>
      <w:r w:rsidRPr="00A63D4B">
        <w:rPr>
          <w:rStyle w:val="Emphasis"/>
        </w:rPr>
        <w:t>n describes those language, literacy, numeracy and employment skills that are essential to performance,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7750"/>
      </w:tblGrid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rPr>
                <w:rStyle w:val="SpecialBold"/>
              </w:rPr>
              <w:t>Skill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rPr>
                <w:rStyle w:val="SpecialBold"/>
              </w:rPr>
              <w:t>Description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Reading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ListBullet"/>
              <w:rPr>
                <w:lang w:val="en-NZ"/>
              </w:rPr>
            </w:pPr>
            <w:r w:rsidRPr="0062212B">
              <w:t>Uses explicit strategies to make connections between information and ideas obt</w:t>
            </w:r>
            <w:r w:rsidRPr="0062212B">
              <w:t>ained within specifications and manufacturers manuals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Writing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ListBullet"/>
              <w:rPr>
                <w:lang w:val="en-NZ"/>
              </w:rPr>
            </w:pPr>
            <w:r w:rsidRPr="0062212B">
              <w:t xml:space="preserve">Develops material for a specific audience using clear and detailed language in order to convey explicit information for findings report 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Oral Communication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ListBullet"/>
              <w:rPr>
                <w:lang w:val="en-NZ"/>
              </w:rPr>
            </w:pPr>
            <w:r w:rsidRPr="0062212B">
              <w:t>Participates in a verbal exchange of information by listening and questioning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Numeracy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ListBullet"/>
              <w:rPr>
                <w:lang w:val="en-NZ"/>
              </w:rPr>
            </w:pPr>
            <w:r w:rsidRPr="0062212B">
              <w:t>Uses mental and written calculation methods as well we technological tools to problem solve</w:t>
            </w:r>
          </w:p>
        </w:tc>
      </w:tr>
      <w:tr w:rsidTr="0062212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Get the work done</w:t>
            </w:r>
          </w:p>
        </w:tc>
        <w:tc>
          <w:tcPr>
            <w:tcW w:w="7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ListBullet"/>
            </w:pPr>
            <w:r w:rsidRPr="0062212B">
              <w:t>Interprets textual information from technical sources t</w:t>
            </w:r>
            <w:r w:rsidRPr="0062212B">
              <w:t xml:space="preserve">o identify relevant and key information </w:t>
            </w:r>
          </w:p>
        </w:tc>
      </w:tr>
    </w:tbl>
    <w:p w:rsidR="00000000" w:rsidRPr="0062212B" w:rsidP="0062212B">
      <w:pPr>
        <w:pStyle w:val="BodyText"/>
      </w:pPr>
    </w:p>
    <w:p w:rsidR="00000000" w:rsidRPr="0062212B" w:rsidP="0062212B">
      <w:pPr>
        <w:pStyle w:val="AllowPageBreak"/>
      </w:pPr>
    </w:p>
    <w:p w:rsidR="00000000" w:rsidRPr="0062212B" w:rsidP="0062212B">
      <w:pPr>
        <w:pStyle w:val="Heading1"/>
      </w:pPr>
      <w:bookmarkStart w:id="6" w:name="O_1043054"/>
      <w:bookmarkEnd w:id="6"/>
      <w:r w:rsidRPr="0062212B">
        <w:t>Unit Mapping Information</w:t>
      </w:r>
    </w:p>
    <w:p w:rsidR="00000000" w:rsidRPr="0062212B" w:rsidP="00A63D4B">
      <w:pPr>
        <w:pStyle w:val="BodyText"/>
      </w:pPr>
      <w:r w:rsidRPr="0062212B">
        <w:t>No equivalent unit. New unit.</w:t>
      </w:r>
    </w:p>
    <w:p w:rsidR="00000000" w:rsidRPr="0062212B" w:rsidP="0062212B">
      <w:pPr>
        <w:pStyle w:val="Heading1"/>
      </w:pPr>
      <w:bookmarkStart w:id="7" w:name="O_1043061"/>
      <w:bookmarkEnd w:id="7"/>
      <w:r w:rsidRPr="0062212B">
        <w:t>Links</w:t>
      </w:r>
    </w:p>
    <w:p w:rsidR="00000000" w:rsidRPr="0062212B" w:rsidP="00A63D4B">
      <w:pPr>
        <w:pStyle w:val="BodyText"/>
      </w:pPr>
      <w:r w:rsidRPr="0062212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2F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212B" w:rsidP="00A63D4B">
      <w:pPr>
        <w:pStyle w:val="BodyText"/>
        <w:sectPr w:rsidSect="006221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212B" w:rsidP="0062212B">
      <w:pPr>
        <w:pStyle w:val="SuperHeading"/>
      </w:pPr>
      <w:r w:rsidRPr="0062212B">
        <w:t>Assessment Requirements for ICTTEN211 Work effectively in</w:t>
      </w:r>
      <w:r w:rsidRPr="0062212B">
        <w:t xml:space="preserve"> a telecommunications network environment</w:t>
      </w:r>
    </w:p>
    <w:p w:rsidR="00000000" w:rsidRPr="0062212B" w:rsidP="0062212B">
      <w:pPr>
        <w:pStyle w:val="Heading1"/>
      </w:pPr>
      <w:bookmarkStart w:id="8" w:name="O_1043056"/>
      <w:bookmarkEnd w:id="8"/>
      <w:r w:rsidRPr="0062212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6221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rPr>
                <w:rStyle w:val="SpecialBold"/>
              </w:rPr>
              <w:t>Comments</w:t>
            </w:r>
          </w:p>
        </w:tc>
      </w:tr>
      <w:tr w:rsidTr="0062212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12B">
            <w:pPr>
              <w:pStyle w:val="BodyText"/>
              <w:rPr>
                <w:lang w:val="en-NZ"/>
              </w:rPr>
            </w:pPr>
            <w:r w:rsidRPr="0062212B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12B" w:rsidP="0062212B">
            <w:pPr>
              <w:pStyle w:val="BodyText"/>
            </w:pPr>
            <w:r w:rsidRPr="0062212B">
              <w:t>This version released with ICT Information and Communications Technology Training Package Version 5.0.</w:t>
            </w:r>
          </w:p>
        </w:tc>
      </w:tr>
    </w:tbl>
    <w:p w:rsidR="00A63D4B" w:rsidP="0062212B">
      <w:pPr>
        <w:pStyle w:val="BodyText"/>
      </w:pPr>
    </w:p>
    <w:p w:rsidR="00A63D4B" w:rsidP="0062212B">
      <w:pPr>
        <w:pStyle w:val="BodyText"/>
      </w:pPr>
    </w:p>
    <w:p w:rsidR="00000000" w:rsidRPr="0062212B" w:rsidP="0062212B">
      <w:pPr>
        <w:pStyle w:val="Heading1"/>
      </w:pPr>
      <w:bookmarkStart w:id="9" w:name="O_1043057"/>
      <w:bookmarkEnd w:id="9"/>
      <w:r w:rsidRPr="0062212B">
        <w:t>Performance Evidence</w:t>
      </w:r>
    </w:p>
    <w:p w:rsidR="00000000" w:rsidRPr="0062212B" w:rsidP="00A63D4B">
      <w:pPr>
        <w:pStyle w:val="BodyText"/>
      </w:pPr>
      <w:r w:rsidRPr="0062212B">
        <w:t>The candidate must demonstrate the ability to perform the tasks outlined in the elements, performance criteria, and foundation skills, and to:</w:t>
      </w:r>
    </w:p>
    <w:p w:rsidR="00000000" w:rsidRPr="0062212B" w:rsidP="0062212B">
      <w:pPr>
        <w:pStyle w:val="ListBullet"/>
      </w:pPr>
      <w:r w:rsidRPr="0062212B">
        <w:t>determine the basic components used in two telecommunications devices</w:t>
      </w:r>
    </w:p>
    <w:p w:rsidR="00000000" w:rsidRPr="0062212B" w:rsidP="0062212B">
      <w:pPr>
        <w:pStyle w:val="ListBullet"/>
      </w:pPr>
      <w:r w:rsidRPr="0062212B">
        <w:t>identify at least two signal devices and t</w:t>
      </w:r>
      <w:r w:rsidRPr="0062212B">
        <w:t>wo transmission mediums used in telecommunications system/s in two different situations</w:t>
      </w:r>
    </w:p>
    <w:p w:rsidR="00000000" w:rsidRPr="0062212B" w:rsidP="0062212B">
      <w:pPr>
        <w:pStyle w:val="ListBullet"/>
      </w:pPr>
      <w:r w:rsidRPr="0062212B">
        <w:t>identify two components used in basic switching system/s.</w:t>
      </w:r>
    </w:p>
    <w:p w:rsidR="00000000" w:rsidRPr="0062212B" w:rsidP="0062212B">
      <w:pPr>
        <w:pStyle w:val="AllowPageBreak"/>
      </w:pPr>
    </w:p>
    <w:p w:rsidR="00000000" w:rsidRPr="0062212B" w:rsidP="0062212B">
      <w:pPr>
        <w:pStyle w:val="Heading1"/>
      </w:pPr>
      <w:bookmarkStart w:id="10" w:name="O_1043058"/>
      <w:bookmarkEnd w:id="10"/>
      <w:r w:rsidRPr="0062212B">
        <w:t>Knowledge Evidence</w:t>
      </w:r>
    </w:p>
    <w:p w:rsidR="00000000" w:rsidRPr="0062212B" w:rsidP="00A63D4B">
      <w:pPr>
        <w:pStyle w:val="BodyText"/>
      </w:pPr>
      <w:r w:rsidRPr="0062212B">
        <w:t>The candidate must demonstrate the knowledge required to perform the tas</w:t>
      </w:r>
      <w:r w:rsidRPr="0062212B">
        <w:t>ks outlined in the elements, performance criteria, and foundation skills, which includes knowledge about:</w:t>
      </w:r>
    </w:p>
    <w:p w:rsidR="00000000" w:rsidRPr="0062212B" w:rsidP="0062212B">
      <w:pPr>
        <w:pStyle w:val="ListBullet"/>
      </w:pPr>
      <w:r w:rsidRPr="0062212B">
        <w:t>transmission devices used for telecommunications and information capture including:</w:t>
      </w:r>
    </w:p>
    <w:p w:rsidR="00000000" w:rsidRPr="0062212B" w:rsidP="0062212B">
      <w:pPr>
        <w:pStyle w:val="ListBullet2"/>
      </w:pPr>
      <w:r w:rsidRPr="0062212B">
        <w:t>smart phones</w:t>
      </w:r>
    </w:p>
    <w:p w:rsidR="00000000" w:rsidRPr="0062212B" w:rsidP="0062212B">
      <w:pPr>
        <w:pStyle w:val="ListBullet2"/>
      </w:pPr>
      <w:r w:rsidRPr="0062212B">
        <w:t>computers</w:t>
      </w:r>
    </w:p>
    <w:p w:rsidR="00000000" w:rsidRPr="0062212B" w:rsidP="0062212B">
      <w:pPr>
        <w:pStyle w:val="ListBullet2"/>
      </w:pPr>
      <w:r w:rsidRPr="0062212B">
        <w:t>network termination devices</w:t>
      </w:r>
    </w:p>
    <w:p w:rsidR="00000000" w:rsidRPr="0062212B" w:rsidP="0062212B">
      <w:pPr>
        <w:pStyle w:val="ListBullet2"/>
      </w:pPr>
      <w:r w:rsidRPr="0062212B">
        <w:t>ADSL/VDSL devices</w:t>
      </w:r>
    </w:p>
    <w:p w:rsidR="00000000" w:rsidRPr="0062212B" w:rsidP="0062212B">
      <w:pPr>
        <w:pStyle w:val="ListBullet2"/>
      </w:pPr>
      <w:r w:rsidRPr="0062212B">
        <w:t>telephones</w:t>
      </w:r>
    </w:p>
    <w:p w:rsidR="00000000" w:rsidRPr="0062212B" w:rsidP="0062212B">
      <w:pPr>
        <w:pStyle w:val="ListBullet2"/>
      </w:pPr>
      <w:r w:rsidRPr="0062212B">
        <w:t>wi-fi modem/router cabinets</w:t>
      </w:r>
    </w:p>
    <w:p w:rsidR="00000000" w:rsidRPr="0062212B" w:rsidP="0062212B">
      <w:pPr>
        <w:pStyle w:val="ListBullet"/>
      </w:pPr>
      <w:r w:rsidRPr="0062212B">
        <w:t>mediums for telecommunications information transmission including:</w:t>
      </w:r>
    </w:p>
    <w:p w:rsidR="00000000" w:rsidRPr="0062212B" w:rsidP="0062212B">
      <w:pPr>
        <w:pStyle w:val="ListBullet2"/>
      </w:pPr>
      <w:r w:rsidRPr="0062212B">
        <w:t>twisted pair cable and patch chords</w:t>
      </w:r>
    </w:p>
    <w:p w:rsidR="00000000" w:rsidRPr="0062212B" w:rsidP="0062212B">
      <w:pPr>
        <w:pStyle w:val="ListBullet2"/>
      </w:pPr>
      <w:r w:rsidRPr="0062212B">
        <w:t>coaxial cable</w:t>
      </w:r>
    </w:p>
    <w:p w:rsidR="00000000" w:rsidRPr="0062212B" w:rsidP="0062212B">
      <w:pPr>
        <w:pStyle w:val="ListBullet2"/>
      </w:pPr>
      <w:r w:rsidRPr="0062212B">
        <w:t>optical fibre cable</w:t>
      </w:r>
    </w:p>
    <w:p w:rsidR="00000000" w:rsidRPr="0062212B" w:rsidP="0062212B">
      <w:pPr>
        <w:pStyle w:val="ListBullet"/>
      </w:pPr>
      <w:r w:rsidRPr="0062212B">
        <w:t>radio and wireless associated connectors/sockets used in tr</w:t>
      </w:r>
      <w:r w:rsidRPr="0062212B">
        <w:t>ansmission mediums</w:t>
      </w:r>
    </w:p>
    <w:p w:rsidR="00000000" w:rsidRPr="0062212B" w:rsidP="0062212B">
      <w:pPr>
        <w:pStyle w:val="ListBullet"/>
      </w:pPr>
      <w:r w:rsidRPr="0062212B">
        <w:t>radio antenna types including:</w:t>
      </w:r>
    </w:p>
    <w:p w:rsidR="00000000" w:rsidRPr="0062212B" w:rsidP="0062212B">
      <w:pPr>
        <w:pStyle w:val="ListBullet2"/>
      </w:pPr>
      <w:r w:rsidRPr="0062212B">
        <w:t>wi-fi omni directional antenna</w:t>
      </w:r>
    </w:p>
    <w:p w:rsidR="00000000" w:rsidRPr="0062212B" w:rsidP="0062212B">
      <w:pPr>
        <w:pStyle w:val="ListBullet"/>
      </w:pPr>
      <w:r w:rsidRPr="0062212B">
        <w:t>switching and cable systems including:</w:t>
      </w:r>
    </w:p>
    <w:p w:rsidR="00000000" w:rsidRPr="0062212B" w:rsidP="0062212B">
      <w:pPr>
        <w:pStyle w:val="ListBullet2"/>
      </w:pPr>
      <w:r w:rsidRPr="0062212B">
        <w:t>analog and digital telephone systems</w:t>
      </w:r>
    </w:p>
    <w:p w:rsidR="00000000" w:rsidRPr="0062212B" w:rsidP="0062212B">
      <w:pPr>
        <w:pStyle w:val="ListBullet2"/>
      </w:pPr>
      <w:r w:rsidRPr="0062212B">
        <w:t>ethernet switch</w:t>
      </w:r>
    </w:p>
    <w:p w:rsidR="00000000" w:rsidRPr="0062212B" w:rsidP="0062212B">
      <w:pPr>
        <w:pStyle w:val="ListBullet2"/>
      </w:pPr>
      <w:r w:rsidRPr="0062212B">
        <w:t>point-to-point</w:t>
      </w:r>
    </w:p>
    <w:p w:rsidR="00000000" w:rsidRPr="0062212B" w:rsidP="0062212B">
      <w:pPr>
        <w:pStyle w:val="ListBullet"/>
      </w:pPr>
      <w:r w:rsidRPr="0062212B">
        <w:t>common exchange equipment including:</w:t>
      </w:r>
    </w:p>
    <w:p w:rsidR="00000000" w:rsidRPr="0062212B" w:rsidP="0062212B">
      <w:pPr>
        <w:pStyle w:val="ListBullet2"/>
      </w:pPr>
      <w:r w:rsidRPr="0062212B">
        <w:t>rack and stack equipment.</w:t>
      </w:r>
    </w:p>
    <w:p w:rsidR="00000000" w:rsidRPr="0062212B" w:rsidP="0062212B">
      <w:pPr>
        <w:pStyle w:val="AllowPageBreak"/>
      </w:pPr>
    </w:p>
    <w:p w:rsidR="00000000" w:rsidRPr="0062212B" w:rsidP="0062212B">
      <w:pPr>
        <w:pStyle w:val="Heading1"/>
      </w:pPr>
      <w:bookmarkStart w:id="11" w:name="O_1043059"/>
      <w:bookmarkEnd w:id="11"/>
      <w:r w:rsidRPr="0062212B">
        <w:t>Assessment Conditions</w:t>
      </w:r>
    </w:p>
    <w:p w:rsidR="00000000" w:rsidRPr="0062212B" w:rsidP="00A63D4B">
      <w:pPr>
        <w:pStyle w:val="BodyText"/>
      </w:pPr>
      <w:r w:rsidRPr="0062212B">
        <w:t>Skills must be assessed in a workplace or simulated environment where conditions are typical of those in a telecommunications work environment or workplace.</w:t>
      </w:r>
    </w:p>
    <w:p w:rsidR="00000000" w:rsidRPr="0062212B" w:rsidP="00A63D4B">
      <w:pPr>
        <w:pStyle w:val="BodyText"/>
      </w:pPr>
      <w:r w:rsidRPr="0062212B">
        <w:t>Access is required to:</w:t>
      </w:r>
    </w:p>
    <w:p w:rsidR="00000000" w:rsidRPr="0062212B" w:rsidP="0062212B">
      <w:pPr>
        <w:pStyle w:val="ListBullet"/>
      </w:pPr>
      <w:r w:rsidRPr="0062212B">
        <w:t>two types of common customer equip</w:t>
      </w:r>
      <w:r w:rsidRPr="0062212B">
        <w:t>ment</w:t>
      </w:r>
    </w:p>
    <w:p w:rsidR="00000000" w:rsidRPr="0062212B" w:rsidP="0062212B">
      <w:pPr>
        <w:pStyle w:val="ListBullet"/>
      </w:pPr>
      <w:r w:rsidRPr="0062212B">
        <w:t>two signal transmission mediums in use</w:t>
      </w:r>
    </w:p>
    <w:p w:rsidR="00000000" w:rsidRPr="0062212B" w:rsidP="0062212B">
      <w:pPr>
        <w:pStyle w:val="ListBullet"/>
      </w:pPr>
      <w:r w:rsidRPr="0062212B">
        <w:t>two different telecommunications switching equipment types</w:t>
      </w:r>
    </w:p>
    <w:p w:rsidR="00000000" w:rsidRPr="0062212B" w:rsidP="0062212B">
      <w:pPr>
        <w:pStyle w:val="ListBullet"/>
      </w:pPr>
      <w:r w:rsidRPr="0062212B">
        <w:t>two telephone exchange devices</w:t>
      </w:r>
    </w:p>
    <w:p w:rsidR="00000000" w:rsidRPr="0062212B" w:rsidP="0062212B">
      <w:pPr>
        <w:pStyle w:val="ListBullet"/>
      </w:pPr>
      <w:r w:rsidRPr="0062212B">
        <w:t>cabling products and cable used in telecommunications systems.</w:t>
      </w:r>
    </w:p>
    <w:p w:rsidR="00000000" w:rsidRPr="0062212B" w:rsidP="0062212B">
      <w:pPr>
        <w:pStyle w:val="BodyText"/>
      </w:pPr>
    </w:p>
    <w:p w:rsidR="00000000" w:rsidRPr="0062212B" w:rsidP="00A63D4B">
      <w:pPr>
        <w:pStyle w:val="BodyText"/>
      </w:pPr>
      <w:r w:rsidRPr="0062212B">
        <w:t>Assessors of this unit must satisfy the requirements for assessors in applicable vocational education and training legislation, frameworks and/or standards.</w:t>
      </w:r>
    </w:p>
    <w:p w:rsidR="00000000" w:rsidRPr="0062212B" w:rsidP="0062212B">
      <w:pPr>
        <w:pStyle w:val="Heading1"/>
      </w:pPr>
      <w:bookmarkStart w:id="12" w:name="O_1043062"/>
      <w:bookmarkEnd w:id="12"/>
      <w:r w:rsidRPr="0062212B">
        <w:t>Links</w:t>
      </w:r>
    </w:p>
    <w:p w:rsidR="00000000" w:rsidRPr="0062212B" w:rsidP="00A63D4B">
      <w:pPr>
        <w:pStyle w:val="BodyText"/>
      </w:pPr>
      <w:r w:rsidRPr="0062212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F2F0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2212B" w:rsidP="0062212B"/>
    <w:sectPr w:rsidSect="006221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2B" w:rsidRPr="00A63D4B" w:rsidP="00A63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4B" w:rsidP="00622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D4B" w:rsidP="00622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63D4B" w:rsidP="006221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2B" w:rsidP="00622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D4B">
      <w:t>Approved</w:t>
    </w:r>
    <w:r w:rsidR="00A63D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D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D4B">
      <w:rPr>
        <w:noProof/>
      </w:rPr>
      <w:t>4</w:t>
    </w:r>
    <w:r>
      <w:rPr>
        <w:noProof/>
      </w:rPr>
      <w:fldChar w:fldCharType="end"/>
    </w:r>
  </w:p>
  <w:p w:rsidR="0062212B" w:rsidP="00622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D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D4B">
      <w:t>Future Skills Organisation</w:t>
    </w:r>
    <w:r w:rsidR="00A63D4B">
      <w:fldChar w:fldCharType="end"/>
    </w:r>
  </w:p>
  <w:p w:rsidR="0062212B" w:rsidP="00622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12B" w:rsidRPr="00A63D4B" w:rsidP="00A63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D4B" w:rsidRPr="002D2AF8" w:rsidP="00622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ICTTEN211 Work effectively in a telecommunications network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D4B" w:rsidP="006221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12B" w:rsidRPr="002D2AF8" w:rsidP="00622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D4B">
      <w:t>ICTTEN211 Work effectively in a telecommunications network environment</w:t>
    </w:r>
    <w:r w:rsidR="00A63D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D4B">
      <w:rPr>
        <w:noProof/>
      </w:rPr>
      <w:t>2 March 2025</w:t>
    </w:r>
    <w:r>
      <w:fldChar w:fldCharType="end"/>
    </w:r>
  </w:p>
  <w:p w:rsidR="0062212B" w:rsidP="00622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7A71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1ED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F27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12B"/>
  </w:style>
  <w:style w:type="character" w:customStyle="1" w:styleId="Heading1Char">
    <w:name w:val="Heading 1 Char"/>
    <w:basedOn w:val="DefaultParagraphFont"/>
    <w:link w:val="Heading1"/>
    <w:rsid w:val="00622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1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12B"/>
    <w:rPr>
      <w:b/>
      <w:spacing w:val="0"/>
    </w:rPr>
  </w:style>
  <w:style w:type="paragraph" w:styleId="ListBullet2">
    <w:name w:val="List Bullet 2"/>
    <w:basedOn w:val="List2"/>
    <w:rsid w:val="006221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2212B"/>
    <w:rPr>
      <w:i/>
    </w:rPr>
  </w:style>
  <w:style w:type="paragraph" w:customStyle="1" w:styleId="SuperHeading">
    <w:name w:val="SuperHeading"/>
    <w:basedOn w:val="Normal"/>
    <w:rsid w:val="00622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2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12B"/>
  </w:style>
  <w:style w:type="paragraph" w:styleId="TableofFigures">
    <w:name w:val="table of figures"/>
    <w:basedOn w:val="Normal"/>
    <w:next w:val="Normal"/>
    <w:semiHidden/>
    <w:rsid w:val="00622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1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12B"/>
    <w:rPr>
      <w:rFonts w:ascii="Wingdings" w:hAnsi="Wingdings"/>
    </w:rPr>
  </w:style>
  <w:style w:type="paragraph" w:customStyle="1" w:styleId="TableHeading">
    <w:name w:val="Table Heading"/>
    <w:basedOn w:val="HeadingBase"/>
    <w:rsid w:val="00622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12B"/>
    <w:rPr>
      <w:color w:val="0033CC"/>
      <w:u w:val="none"/>
    </w:rPr>
  </w:style>
  <w:style w:type="paragraph" w:customStyle="1" w:styleId="BodyTextRight">
    <w:name w:val="Body Text Right"/>
    <w:basedOn w:val="BodyText"/>
    <w:rsid w:val="00622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1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12B"/>
    <w:rPr>
      <w:sz w:val="32"/>
    </w:rPr>
  </w:style>
  <w:style w:type="paragraph" w:customStyle="1" w:styleId="HeadingProcedure">
    <w:name w:val="Heading Procedure"/>
    <w:basedOn w:val="HeadingBase"/>
    <w:next w:val="Normal"/>
    <w:rsid w:val="00622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12B"/>
    <w:pPr>
      <w:spacing w:before="60" w:after="60"/>
    </w:pPr>
  </w:style>
  <w:style w:type="paragraph" w:styleId="ListContinue">
    <w:name w:val="List Continue"/>
    <w:basedOn w:val="List"/>
    <w:rsid w:val="0062212B"/>
    <w:pPr>
      <w:ind w:firstLine="0"/>
    </w:pPr>
  </w:style>
  <w:style w:type="paragraph" w:customStyle="1" w:styleId="ListNote">
    <w:name w:val="List Note"/>
    <w:basedOn w:val="List"/>
    <w:rsid w:val="00622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12B"/>
    <w:rPr>
      <w:rFonts w:ascii="Courier New" w:hAnsi="Courier New"/>
    </w:rPr>
  </w:style>
  <w:style w:type="paragraph" w:customStyle="1" w:styleId="NoteBullet">
    <w:name w:val="Note Bullet"/>
    <w:basedOn w:val="Note"/>
    <w:rsid w:val="00622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1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12B"/>
    <w:rPr>
      <w:b/>
      <w:smallCaps/>
    </w:rPr>
  </w:style>
  <w:style w:type="paragraph" w:customStyle="1" w:styleId="TableListNumber">
    <w:name w:val="Table List Number"/>
    <w:basedOn w:val="ListNumber"/>
    <w:rsid w:val="00622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12B"/>
    <w:pPr>
      <w:numPr>
        <w:numId w:val="9"/>
      </w:numPr>
    </w:pPr>
  </w:style>
  <w:style w:type="paragraph" w:customStyle="1" w:styleId="ListAlpha2">
    <w:name w:val="List Alpha 2"/>
    <w:basedOn w:val="List2"/>
    <w:rsid w:val="0062212B"/>
    <w:pPr>
      <w:numPr>
        <w:numId w:val="8"/>
      </w:numPr>
    </w:pPr>
  </w:style>
  <w:style w:type="paragraph" w:styleId="List2">
    <w:name w:val="List 2"/>
    <w:basedOn w:val="BodyText"/>
    <w:rsid w:val="00622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1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1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12B"/>
    <w:pPr>
      <w:numPr>
        <w:numId w:val="4"/>
      </w:numPr>
    </w:pPr>
  </w:style>
  <w:style w:type="paragraph" w:styleId="ListContinue2">
    <w:name w:val="List Continue 2"/>
    <w:basedOn w:val="List2"/>
    <w:rsid w:val="0062212B"/>
    <w:pPr>
      <w:ind w:firstLine="0"/>
    </w:pPr>
  </w:style>
  <w:style w:type="paragraph" w:styleId="ListContinue3">
    <w:name w:val="List Continue 3"/>
    <w:basedOn w:val="List3"/>
    <w:rsid w:val="0062212B"/>
    <w:pPr>
      <w:ind w:left="1021" w:firstLine="0"/>
    </w:pPr>
  </w:style>
  <w:style w:type="paragraph" w:styleId="ListContinue4">
    <w:name w:val="List Continue 4"/>
    <w:basedOn w:val="List4"/>
    <w:rsid w:val="0062212B"/>
    <w:pPr>
      <w:ind w:firstLine="0"/>
    </w:pPr>
  </w:style>
  <w:style w:type="paragraph" w:styleId="ListContinue5">
    <w:name w:val="List Continue 5"/>
    <w:basedOn w:val="List5"/>
    <w:rsid w:val="0062212B"/>
    <w:pPr>
      <w:ind w:firstLine="0"/>
    </w:pPr>
  </w:style>
  <w:style w:type="paragraph" w:styleId="ListNumber3">
    <w:name w:val="List Number 3"/>
    <w:basedOn w:val="List3"/>
    <w:rsid w:val="0062212B"/>
    <w:pPr>
      <w:numPr>
        <w:numId w:val="5"/>
      </w:numPr>
    </w:pPr>
  </w:style>
  <w:style w:type="paragraph" w:styleId="ListNumber4">
    <w:name w:val="List Number 4"/>
    <w:basedOn w:val="List4"/>
    <w:rsid w:val="0062212B"/>
    <w:pPr>
      <w:numPr>
        <w:numId w:val="6"/>
      </w:numPr>
    </w:pPr>
  </w:style>
  <w:style w:type="paragraph" w:styleId="ListNumber5">
    <w:name w:val="List Number 5"/>
    <w:basedOn w:val="List5"/>
    <w:rsid w:val="0062212B"/>
    <w:pPr>
      <w:numPr>
        <w:numId w:val="7"/>
      </w:numPr>
    </w:pPr>
  </w:style>
  <w:style w:type="paragraph" w:styleId="BlockText">
    <w:name w:val="Block Text"/>
    <w:basedOn w:val="Normal"/>
    <w:rsid w:val="00622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12B"/>
    <w:rPr>
      <w:sz w:val="16"/>
      <w:vertAlign w:val="superscript"/>
    </w:rPr>
  </w:style>
  <w:style w:type="character" w:customStyle="1" w:styleId="Symbols">
    <w:name w:val="Symbols"/>
    <w:basedOn w:val="DefaultParagraphFont"/>
    <w:rsid w:val="0062212B"/>
    <w:rPr>
      <w:rFonts w:ascii="Symbol" w:hAnsi="Symbol"/>
    </w:rPr>
  </w:style>
  <w:style w:type="character" w:customStyle="1" w:styleId="MenuOptions">
    <w:name w:val="Menu Options"/>
    <w:basedOn w:val="DefaultParagraphFont"/>
    <w:rsid w:val="00622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12B"/>
    <w:rPr>
      <w:b/>
    </w:rPr>
  </w:style>
  <w:style w:type="character" w:customStyle="1" w:styleId="Underlined">
    <w:name w:val="Underlined"/>
    <w:basedOn w:val="DefaultParagraphFont"/>
    <w:rsid w:val="0062212B"/>
    <w:rPr>
      <w:u w:val="single"/>
    </w:rPr>
  </w:style>
  <w:style w:type="paragraph" w:customStyle="1" w:styleId="TableBodyTextRight">
    <w:name w:val="Table Body Text Right"/>
    <w:basedOn w:val="TableBodyText"/>
    <w:rsid w:val="00622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12B"/>
    <w:rPr>
      <w:sz w:val="18"/>
    </w:rPr>
  </w:style>
  <w:style w:type="paragraph" w:customStyle="1" w:styleId="BodySmallRight">
    <w:name w:val="Body Small Right"/>
    <w:basedOn w:val="BodyTextRight"/>
    <w:rsid w:val="0062212B"/>
    <w:rPr>
      <w:sz w:val="18"/>
      <w:szCs w:val="18"/>
    </w:rPr>
  </w:style>
  <w:style w:type="paragraph" w:customStyle="1" w:styleId="MarginEdition">
    <w:name w:val="Margin Edition"/>
    <w:basedOn w:val="MarginNote"/>
    <w:rsid w:val="00622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12B"/>
    <w:rPr>
      <w:sz w:val="2"/>
      <w:szCs w:val="2"/>
    </w:rPr>
  </w:style>
  <w:style w:type="character" w:customStyle="1" w:styleId="Small">
    <w:name w:val="Small"/>
    <w:basedOn w:val="DefaultParagraphFont"/>
    <w:rsid w:val="0062212B"/>
    <w:rPr>
      <w:sz w:val="16"/>
    </w:rPr>
  </w:style>
  <w:style w:type="paragraph" w:customStyle="1" w:styleId="WideTable">
    <w:name w:val="Wide Table"/>
    <w:basedOn w:val="Normal"/>
    <w:rsid w:val="00622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12B"/>
  </w:style>
  <w:style w:type="paragraph" w:styleId="Quote">
    <w:name w:val="Quote"/>
    <w:basedOn w:val="Heading1"/>
    <w:link w:val="QuoteChar"/>
    <w:qFormat/>
    <w:rsid w:val="00622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12B"/>
    <w:pPr>
      <w:pageBreakBefore/>
    </w:pPr>
  </w:style>
  <w:style w:type="paragraph" w:customStyle="1" w:styleId="Border">
    <w:name w:val="Border"/>
    <w:basedOn w:val="Normal"/>
    <w:qFormat/>
    <w:rsid w:val="00622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12B"/>
    <w:rPr>
      <w:u w:val="single"/>
    </w:rPr>
  </w:style>
  <w:style w:type="character" w:customStyle="1" w:styleId="BoldandItalics">
    <w:name w:val="Bold and Italics"/>
    <w:qFormat/>
    <w:rsid w:val="0062212B"/>
    <w:rPr>
      <w:b/>
      <w:i/>
      <w:u w:val="none"/>
    </w:rPr>
  </w:style>
  <w:style w:type="paragraph" w:styleId="BalloonText">
    <w:name w:val="Balloon Text"/>
    <w:basedOn w:val="Normal"/>
    <w:link w:val="BalloonTextChar"/>
    <w:rsid w:val="00622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12B"/>
    <w:pPr>
      <w:spacing w:before="0" w:after="0"/>
    </w:pPr>
  </w:style>
  <w:style w:type="paragraph" w:customStyle="1" w:styleId="BodyTextBold">
    <w:name w:val="Body Text Bold"/>
    <w:basedOn w:val="BodyText"/>
    <w:qFormat/>
    <w:rsid w:val="0062212B"/>
    <w:rPr>
      <w:b/>
    </w:rPr>
  </w:style>
  <w:style w:type="character" w:styleId="Hyperlink">
    <w:name w:val="Hyperlink"/>
    <w:basedOn w:val="DefaultParagraphFont"/>
    <w:uiPriority w:val="99"/>
    <w:unhideWhenUsed/>
    <w:rsid w:val="00A63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4810</Characters>
  <Application>Microsoft Office Word</Application>
  <DocSecurity>0</DocSecurity>
  <Lines>160</Lines>
  <Paragraphs>112</Paragraphs>
  <ScaleCrop>false</ScaleCrop>
  <Company>Author-it Software Corporation Ltd.</Company>
  <LinksUpToDate>false</LinksUpToDate>
  <CharactersWithSpaces>5385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ICTTEN211 Work effectively in a telecommunications network environment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2025-03-01T15:34:00Z</dcterms:modified>
</cp:coreProperties>
</file>