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037" w:rsidP="00A87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ICTSUS811 Conduct and manage life cycle assessments for sustainability</w:t>
      </w:r>
      <w:r>
        <w:fldChar w:fldCharType="end"/>
      </w:r>
    </w:p>
    <w:p w:rsidR="00A87037" w:rsidP="00A87037">
      <w:pPr>
        <w:pStyle w:val="Version"/>
        <w:sectPr w:rsidSect="00494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38E" w:rsidP="0049438E">
      <w:pPr>
        <w:pStyle w:val="SuperHeading"/>
      </w:pPr>
      <w:r w:rsidRPr="0049438E">
        <w:t>ICTSUS811 Conduct and manage life cycle assessments for sustainability</w:t>
      </w:r>
    </w:p>
    <w:p w:rsidR="00000000" w:rsidRPr="0049438E" w:rsidP="0049438E">
      <w:pPr>
        <w:pStyle w:val="Heading1"/>
      </w:pPr>
      <w:bookmarkStart w:id="1" w:name="O_1143121"/>
      <w:bookmarkEnd w:id="1"/>
      <w:r w:rsidRPr="004943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94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BodyText"/>
            </w:pPr>
            <w:r w:rsidRPr="0049438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rPr>
                <w:rStyle w:val="SpecialBold"/>
              </w:rPr>
              <w:t>Comments</w:t>
            </w:r>
          </w:p>
        </w:tc>
      </w:tr>
      <w:tr w:rsidTr="00494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BodyText"/>
            </w:pPr>
            <w:r w:rsidRPr="0049438E">
              <w:t>This version first released with ICT Information and Communications Technology Training Package Version 7.0.</w:t>
            </w:r>
          </w:p>
        </w:tc>
      </w:tr>
    </w:tbl>
    <w:p w:rsidR="00000000" w:rsidRPr="0049438E" w:rsidP="0049438E">
      <w:pPr>
        <w:pStyle w:val="BodyText"/>
      </w:pPr>
    </w:p>
    <w:p w:rsidR="00000000" w:rsidRPr="0049438E" w:rsidP="0049438E">
      <w:pPr>
        <w:pStyle w:val="AllowPageBreak"/>
      </w:pPr>
    </w:p>
    <w:p w:rsidR="00000000" w:rsidRPr="0049438E" w:rsidP="0049438E">
      <w:pPr>
        <w:pStyle w:val="Heading1"/>
      </w:pPr>
      <w:bookmarkStart w:id="2" w:name="O_1143126"/>
      <w:bookmarkEnd w:id="2"/>
      <w:r w:rsidRPr="0049438E">
        <w:t>Application</w:t>
      </w:r>
    </w:p>
    <w:p w:rsidR="00000000" w:rsidRPr="0049438E" w:rsidP="00A87037">
      <w:pPr>
        <w:pStyle w:val="BodyText"/>
      </w:pPr>
      <w:r w:rsidRPr="0049438E">
        <w:t>This unit describes the skills and knowledge required to conduct life cycle assessments (LCA) to evaluate the human health and environmental impacts arising from delivering products, processes and services.</w:t>
      </w:r>
    </w:p>
    <w:p w:rsidR="00000000" w:rsidRPr="0049438E" w:rsidP="00A87037">
      <w:pPr>
        <w:pStyle w:val="BodyText"/>
      </w:pPr>
      <w:r w:rsidRPr="0049438E">
        <w:t>It applies to indiv</w:t>
      </w:r>
      <w:r w:rsidRPr="0049438E">
        <w:t>iduals who are excellent communicators with a very high level of technical management skills and knowledge of telecommunications networks and systems. In this role, individuals must be able to undertake detailed research, analysis and evaluation.</w:t>
      </w:r>
    </w:p>
    <w:p w:rsidR="00000000" w:rsidRPr="0049438E" w:rsidP="00A87037">
      <w:pPr>
        <w:pStyle w:val="BodyText"/>
      </w:pPr>
      <w:r w:rsidRPr="0049438E">
        <w:t>No licens</w:t>
      </w:r>
      <w:r w:rsidRPr="0049438E">
        <w:t>ing, legislative or certification requirements apply to this unit at the time of publication.</w:t>
      </w:r>
    </w:p>
    <w:p w:rsidR="00000000" w:rsidRPr="0049438E" w:rsidP="0049438E">
      <w:pPr>
        <w:pStyle w:val="Heading1"/>
      </w:pPr>
      <w:bookmarkStart w:id="3" w:name="O_1143125"/>
      <w:bookmarkEnd w:id="3"/>
      <w:r w:rsidRPr="0049438E">
        <w:t>Unit Sector</w:t>
      </w:r>
    </w:p>
    <w:p w:rsidR="00000000" w:rsidRPr="0049438E" w:rsidP="00A87037">
      <w:pPr>
        <w:pStyle w:val="BodyText"/>
      </w:pPr>
      <w:r w:rsidRPr="0049438E">
        <w:t>Telecommunications – sustainability</w:t>
      </w:r>
    </w:p>
    <w:p w:rsidR="00000000" w:rsidRPr="0049438E" w:rsidP="0049438E">
      <w:pPr>
        <w:pStyle w:val="Heading1"/>
      </w:pPr>
      <w:bookmarkStart w:id="4" w:name="O_1143124"/>
      <w:bookmarkEnd w:id="4"/>
      <w:r w:rsidRPr="0049438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BodyText"/>
            </w:pPr>
            <w:r w:rsidRPr="0049438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rPr>
                <w:rStyle w:val="SpecialBold"/>
              </w:rPr>
              <w:t>PERFORMANCE CRITERIA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BodyText"/>
            </w:pPr>
            <w:r w:rsidRPr="0049438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"/>
              <w:rPr>
                <w:lang w:val="en-NZ"/>
              </w:rPr>
            </w:pPr>
            <w:r w:rsidRPr="0049438E">
              <w:t>1. Define and scope LCA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"/>
            </w:pPr>
            <w:r w:rsidRPr="0049438E">
              <w:t>1.1 Determine reasons for executing LCA study in compliance with organisational require</w:t>
            </w:r>
            <w:r w:rsidRPr="0049438E">
              <w:t>ments</w:t>
            </w:r>
          </w:p>
          <w:p w:rsidR="00000000" w:rsidRPr="0049438E" w:rsidP="0049438E">
            <w:pPr>
              <w:pStyle w:val="List"/>
            </w:pPr>
            <w:r w:rsidRPr="0049438E">
              <w:t>1.2 Obtain access to information sources and research resources required for LCA study</w:t>
            </w:r>
          </w:p>
          <w:p w:rsidR="00000000" w:rsidRPr="0049438E" w:rsidP="0049438E">
            <w:pPr>
              <w:pStyle w:val="List"/>
            </w:pPr>
            <w:r w:rsidRPr="0049438E">
              <w:t>1.3 Document aims of LCA study and align with organisational sustainability requirements</w:t>
            </w:r>
          </w:p>
          <w:p w:rsidR="00000000" w:rsidP="0049438E">
            <w:pPr>
              <w:pStyle w:val="List"/>
              <w:rPr>
                <w:lang w:val="en-NZ"/>
              </w:rPr>
            </w:pPr>
            <w:r w:rsidRPr="0049438E">
              <w:t>1.4 Identify sustainability legislation, regulations, policies and procedu</w:t>
            </w:r>
            <w:r w:rsidRPr="0049438E">
              <w:t>res and codes of practice required in the information and communication technology (ICT) industry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"/>
              <w:rPr>
                <w:lang w:val="en-NZ"/>
              </w:rPr>
            </w:pPr>
            <w:r w:rsidRPr="0049438E">
              <w:t>2. Conduct life cycle inventory (LCI)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"/>
            </w:pPr>
            <w:r w:rsidRPr="0049438E">
              <w:t>2.1 Construct a life cycle flow diagram and identify all environmental inputs and outputs, and environmental p</w:t>
            </w:r>
            <w:r w:rsidRPr="0049438E">
              <w:t>rocesses</w:t>
            </w:r>
          </w:p>
          <w:p w:rsidR="00000000" w:rsidRPr="0049438E" w:rsidP="0049438E">
            <w:pPr>
              <w:pStyle w:val="List"/>
            </w:pPr>
            <w:r w:rsidRPr="0049438E">
              <w:t>2.2 Develop data collection strategies for LCI</w:t>
            </w:r>
          </w:p>
          <w:p w:rsidR="00000000" w:rsidRPr="0049438E" w:rsidP="0049438E">
            <w:pPr>
              <w:pStyle w:val="List"/>
            </w:pPr>
            <w:r w:rsidRPr="0049438E">
              <w:t>2.3 Collect data according to industry and organisational requirements and procedures</w:t>
            </w:r>
          </w:p>
          <w:p w:rsidR="00000000" w:rsidP="0049438E">
            <w:pPr>
              <w:pStyle w:val="List"/>
              <w:rPr>
                <w:lang w:val="en-NZ"/>
              </w:rPr>
            </w:pPr>
            <w:r w:rsidRPr="0049438E">
              <w:t>2.4 Evaluate and document LCI results according to organisational requirements and procedures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"/>
              <w:rPr>
                <w:lang w:val="en-NZ"/>
              </w:rPr>
            </w:pPr>
            <w:r w:rsidRPr="0049438E">
              <w:t>3. Conduct life cyc</w:t>
            </w:r>
            <w:r w:rsidRPr="0049438E">
              <w:t>le impact assessment (LCIA)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"/>
            </w:pPr>
            <w:r w:rsidRPr="0049438E">
              <w:t>3.1 Identify and define environmental impact categories to be reported to required personnel</w:t>
            </w:r>
          </w:p>
          <w:p w:rsidR="00000000" w:rsidRPr="0049438E" w:rsidP="0049438E">
            <w:pPr>
              <w:pStyle w:val="List"/>
            </w:pPr>
            <w:r w:rsidRPr="0049438E">
              <w:t>3.2 Classify LCI results into environmental impact categories</w:t>
            </w:r>
          </w:p>
          <w:p w:rsidR="00000000" w:rsidRPr="0049438E" w:rsidP="0049438E">
            <w:pPr>
              <w:pStyle w:val="List"/>
            </w:pPr>
            <w:r w:rsidRPr="0049438E">
              <w:t>3.3 Model LCI impacts within impact categories using science-based conversion factors</w:t>
            </w:r>
          </w:p>
          <w:p w:rsidR="00000000" w:rsidRPr="0049438E" w:rsidP="0049438E">
            <w:pPr>
              <w:pStyle w:val="List"/>
            </w:pPr>
            <w:r w:rsidRPr="0049438E">
              <w:t>3.4 Normalise potential impacts in ways that can be compared</w:t>
            </w:r>
          </w:p>
          <w:p w:rsidR="00000000" w:rsidRPr="0049438E" w:rsidP="0049438E">
            <w:pPr>
              <w:pStyle w:val="List"/>
            </w:pPr>
            <w:r w:rsidRPr="0049438E">
              <w:t>3.5 Assign impact categories by grouping into at least one set and facilitate interpretation of results</w:t>
            </w:r>
          </w:p>
          <w:p w:rsidR="00000000" w:rsidP="0049438E">
            <w:pPr>
              <w:pStyle w:val="List"/>
              <w:rPr>
                <w:lang w:val="en-NZ"/>
              </w:rPr>
            </w:pPr>
            <w:r w:rsidRPr="0049438E">
              <w:t>3.6 A</w:t>
            </w:r>
            <w:r w:rsidRPr="0049438E">
              <w:t>ssign weighting factors to emphasise most important potential impacts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"/>
              <w:rPr>
                <w:lang w:val="en-NZ"/>
              </w:rPr>
            </w:pPr>
            <w:r w:rsidRPr="0049438E">
              <w:t>4. Evaluate results from LCI and LCIA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"/>
            </w:pPr>
            <w:r w:rsidRPr="0049438E">
              <w:t>4.1 Identify significant issues identified in LCI and LCIA</w:t>
            </w:r>
          </w:p>
          <w:p w:rsidR="00000000" w:rsidRPr="0049438E" w:rsidP="0049438E">
            <w:pPr>
              <w:pStyle w:val="List"/>
            </w:pPr>
            <w:r w:rsidRPr="0049438E">
              <w:t>4.2 Ensure and evaluate completeness, consistency and sensitivity of results</w:t>
            </w:r>
          </w:p>
          <w:p w:rsidR="00000000" w:rsidP="0049438E">
            <w:pPr>
              <w:pStyle w:val="List"/>
              <w:rPr>
                <w:lang w:val="en-NZ"/>
              </w:rPr>
            </w:pPr>
            <w:r w:rsidRPr="0049438E">
              <w:t>4.3 Make re</w:t>
            </w:r>
            <w:r w:rsidRPr="0049438E">
              <w:t>commendations for improving initially identified product, process and service life cycle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"/>
              <w:rPr>
                <w:lang w:val="en-NZ"/>
              </w:rPr>
            </w:pPr>
            <w:r w:rsidRPr="0049438E">
              <w:t>5. Complete LCA for sustainability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"/>
            </w:pPr>
            <w:r w:rsidRPr="0049438E">
              <w:t>5.1 Create a report and document results of LCA according to organisational requirements and procedures</w:t>
            </w:r>
          </w:p>
          <w:p w:rsidR="00000000" w:rsidRPr="0049438E" w:rsidP="0049438E">
            <w:pPr>
              <w:pStyle w:val="List"/>
            </w:pPr>
            <w:r w:rsidRPr="0049438E">
              <w:t>5.2 Ensure report conclusio</w:t>
            </w:r>
            <w:r w:rsidRPr="0049438E">
              <w:t>ns and sustainability recommendations align with initial goals of LCA</w:t>
            </w:r>
          </w:p>
          <w:p w:rsidR="00000000" w:rsidRPr="0049438E" w:rsidP="0049438E">
            <w:pPr>
              <w:pStyle w:val="List"/>
            </w:pPr>
            <w:r w:rsidRPr="0049438E">
              <w:t>5.3 Obtain required sign-off procedures and return used resources to their initial state</w:t>
            </w:r>
          </w:p>
        </w:tc>
      </w:tr>
    </w:tbl>
    <w:p w:rsidR="00000000" w:rsidRPr="0049438E" w:rsidP="0049438E">
      <w:pPr>
        <w:pStyle w:val="BodyText"/>
      </w:pPr>
    </w:p>
    <w:p w:rsidR="00000000" w:rsidRPr="0049438E" w:rsidP="0049438E">
      <w:pPr>
        <w:pStyle w:val="AllowPageBreak"/>
      </w:pPr>
    </w:p>
    <w:p w:rsidR="00000000" w:rsidRPr="0049438E" w:rsidP="0049438E">
      <w:pPr>
        <w:pStyle w:val="Heading1"/>
      </w:pPr>
      <w:bookmarkStart w:id="5" w:name="O_1143123"/>
      <w:bookmarkEnd w:id="5"/>
      <w:r w:rsidRPr="0049438E">
        <w:t>Foundation Skills</w:t>
      </w:r>
    </w:p>
    <w:p w:rsidR="00000000" w:rsidRPr="00A87037" w:rsidP="00A87037">
      <w:pPr>
        <w:pStyle w:val="BodyText"/>
        <w:rPr>
          <w:i/>
        </w:rPr>
      </w:pPr>
      <w:r w:rsidRPr="00A87037">
        <w:rPr>
          <w:rStyle w:val="Emphasis"/>
        </w:rPr>
        <w:t xml:space="preserve">This section describes those language, literacy, numeracy </w:t>
      </w:r>
      <w:r w:rsidRPr="00A87037">
        <w:rPr>
          <w:rStyle w:val="Emphasis"/>
        </w:rPr>
        <w:t>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BodyText"/>
            </w:pPr>
            <w:r w:rsidRPr="0049438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rPr>
                <w:rStyle w:val="SpecialBold"/>
              </w:rPr>
              <w:t>DESCRIPTION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Uses mathematical formulae to estimate CO</w:t>
            </w:r>
            <w:r w:rsidRPr="0049438E">
              <w:rPr>
                <w:rStyle w:val="Superscript"/>
              </w:rPr>
              <w:t xml:space="preserve">2 </w:t>
            </w:r>
            <w:r w:rsidRPr="0049438E">
              <w:t>emissions, and analyse and confirm capacity, personnel and budgetary requirements and all other incidental LCA calculations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Bullet"/>
            </w:pPr>
            <w:r w:rsidRPr="0049438E">
              <w:t>Articulates using specific language suitable for clients to convey requirements</w:t>
            </w:r>
          </w:p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 xml:space="preserve">Uses listening and questioning </w:t>
            </w:r>
            <w:r w:rsidRPr="0049438E">
              <w:t xml:space="preserve">techniques to confirm knowledge 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Identifies, analyses and evaluates a range of complex documentation, including legislative frameworks and technical specifications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Produces complex, detailed and well-structured media releases and other reports and procedures, using specific language and specialised terminology to convey knowledge of outcomes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Takes responsibility for defining key aspects of own workload, ba</w:t>
            </w:r>
            <w:r w:rsidRPr="0049438E">
              <w:t>lancing own needs and priorities with those of the work group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Bullet"/>
            </w:pPr>
            <w:r w:rsidRPr="0049438E">
              <w:t>Develops flexible plans for complex, high impact activities with strategic implications that involve a diverse range of stakeholders with potentially competing demands</w:t>
            </w:r>
          </w:p>
          <w:p w:rsidR="00000000" w:rsidRPr="0049438E" w:rsidP="0049438E">
            <w:pPr>
              <w:pStyle w:val="ListBullet"/>
            </w:pPr>
            <w:r w:rsidRPr="0049438E">
              <w:t>Systematically gathers and analyses all required information and evaluates options to make high impact and informed decisions</w:t>
            </w:r>
          </w:p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Uses a broad range of strategies to store, access and organise virtual information, recognising that design choices will influence</w:t>
            </w:r>
            <w:r w:rsidRPr="0049438E">
              <w:t xml:space="preserve"> what information is retrieved and how it may be interpreted and used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ListBullet"/>
              <w:rPr>
                <w:lang w:val="en-NZ"/>
              </w:rPr>
            </w:pPr>
            <w:r w:rsidRPr="0049438E">
              <w:t>Uses formal analytical and lateral thinking techniques for identifying issues, and generating and evaluating possible solutions</w:t>
            </w:r>
          </w:p>
        </w:tc>
      </w:tr>
      <w:tr w:rsidTr="00494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8E">
            <w:pPr>
              <w:pStyle w:val="BodyText"/>
              <w:rPr>
                <w:lang w:val="en-NZ"/>
              </w:rPr>
            </w:pPr>
            <w:r w:rsidRPr="0049438E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8E" w:rsidP="0049438E">
            <w:pPr>
              <w:pStyle w:val="ListBullet"/>
            </w:pPr>
            <w:r w:rsidRPr="0049438E">
              <w:t xml:space="preserve">Considers </w:t>
            </w:r>
            <w:r w:rsidRPr="0049438E">
              <w:t>the strategic and operational potential of digital trends to achieve work goals, enhance work processes, create opportunities and reduce risks</w:t>
            </w:r>
          </w:p>
        </w:tc>
      </w:tr>
    </w:tbl>
    <w:p w:rsidR="00000000" w:rsidRPr="0049438E" w:rsidP="0049438E">
      <w:pPr>
        <w:pStyle w:val="BodyText"/>
      </w:pPr>
    </w:p>
    <w:p w:rsidR="00000000" w:rsidRPr="0049438E" w:rsidP="0049438E">
      <w:pPr>
        <w:pStyle w:val="AllowPageBreak"/>
      </w:pPr>
    </w:p>
    <w:p w:rsidR="00000000" w:rsidRPr="0049438E" w:rsidP="0049438E">
      <w:pPr>
        <w:pStyle w:val="Heading1"/>
      </w:pPr>
      <w:bookmarkStart w:id="6" w:name="O_1143122"/>
      <w:bookmarkEnd w:id="6"/>
      <w:r w:rsidRPr="0049438E">
        <w:t>Unit Mapping Information</w:t>
      </w:r>
    </w:p>
    <w:p w:rsidR="00000000" w:rsidRPr="0049438E" w:rsidP="00A87037">
      <w:pPr>
        <w:pStyle w:val="BodyText"/>
      </w:pPr>
      <w:r w:rsidRPr="0049438E">
        <w:t>No equivalent unit. Supersedes and is not equivalent to ICTSUS807 C</w:t>
      </w:r>
      <w:r w:rsidRPr="0049438E">
        <w:t>onduct and manage a life cycle assessment for sustainability.</w:t>
      </w:r>
    </w:p>
    <w:p w:rsidR="00000000" w:rsidRPr="0049438E" w:rsidP="0049438E">
      <w:pPr>
        <w:pStyle w:val="Heading1"/>
      </w:pPr>
      <w:bookmarkStart w:id="7" w:name="O_1143115"/>
      <w:bookmarkEnd w:id="7"/>
      <w:r w:rsidRPr="0049438E">
        <w:t>Links</w:t>
      </w:r>
    </w:p>
    <w:p w:rsidR="00000000" w:rsidRPr="0049438E" w:rsidP="00A87037">
      <w:pPr>
        <w:pStyle w:val="BodyText"/>
      </w:pPr>
      <w:r w:rsidRPr="004943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65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438E" w:rsidP="0049438E"/>
    <w:sectPr w:rsidSect="00494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8E" w:rsidRPr="00A87037" w:rsidP="00A87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37" w:rsidP="00494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037" w:rsidP="00494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7037" w:rsidP="00494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38E" w:rsidRPr="00A87037" w:rsidP="00A87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37" w:rsidRPr="002D2AF8" w:rsidP="00494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ICTSUS811 Conduct and manage life cycle assessments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87037" w:rsidP="00494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0EE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DEE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38E"/>
  </w:style>
  <w:style w:type="character" w:customStyle="1" w:styleId="Heading1Char">
    <w:name w:val="Heading 1 Char"/>
    <w:basedOn w:val="DefaultParagraphFont"/>
    <w:link w:val="Heading1"/>
    <w:rsid w:val="00494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3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43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43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38E"/>
    <w:rPr>
      <w:b/>
      <w:spacing w:val="0"/>
    </w:rPr>
  </w:style>
  <w:style w:type="character" w:styleId="Emphasis">
    <w:name w:val="Emphasis"/>
    <w:basedOn w:val="DefaultParagraphFont"/>
    <w:qFormat/>
    <w:rsid w:val="0049438E"/>
    <w:rPr>
      <w:i/>
    </w:rPr>
  </w:style>
  <w:style w:type="paragraph" w:customStyle="1" w:styleId="SuperHeading">
    <w:name w:val="SuperHeading"/>
    <w:basedOn w:val="Normal"/>
    <w:rsid w:val="00494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9438E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94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3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4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38E"/>
  </w:style>
  <w:style w:type="paragraph" w:styleId="TableofFigures">
    <w:name w:val="table of figures"/>
    <w:basedOn w:val="Normal"/>
    <w:next w:val="Normal"/>
    <w:semiHidden/>
    <w:rsid w:val="00494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38E"/>
    <w:rPr>
      <w:rFonts w:ascii="Wingdings" w:hAnsi="Wingdings"/>
    </w:rPr>
  </w:style>
  <w:style w:type="paragraph" w:customStyle="1" w:styleId="TableHeading">
    <w:name w:val="Table Heading"/>
    <w:basedOn w:val="HeadingBase"/>
    <w:rsid w:val="00494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38E"/>
    <w:rPr>
      <w:color w:val="0033CC"/>
      <w:u w:val="none"/>
    </w:rPr>
  </w:style>
  <w:style w:type="paragraph" w:customStyle="1" w:styleId="BodyTextRight">
    <w:name w:val="Body Text Right"/>
    <w:basedOn w:val="BodyText"/>
    <w:rsid w:val="00494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38E"/>
    <w:rPr>
      <w:sz w:val="32"/>
    </w:rPr>
  </w:style>
  <w:style w:type="paragraph" w:customStyle="1" w:styleId="HeadingProcedure">
    <w:name w:val="Heading Procedure"/>
    <w:basedOn w:val="HeadingBase"/>
    <w:next w:val="Normal"/>
    <w:rsid w:val="00494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38E"/>
    <w:pPr>
      <w:spacing w:before="60" w:after="60"/>
    </w:pPr>
  </w:style>
  <w:style w:type="paragraph" w:styleId="ListContinue">
    <w:name w:val="List Continue"/>
    <w:basedOn w:val="List"/>
    <w:rsid w:val="0049438E"/>
    <w:pPr>
      <w:ind w:firstLine="0"/>
    </w:pPr>
  </w:style>
  <w:style w:type="paragraph" w:customStyle="1" w:styleId="ListNote">
    <w:name w:val="List Note"/>
    <w:basedOn w:val="List"/>
    <w:rsid w:val="00494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38E"/>
    <w:rPr>
      <w:rFonts w:ascii="Courier New" w:hAnsi="Courier New"/>
    </w:rPr>
  </w:style>
  <w:style w:type="paragraph" w:customStyle="1" w:styleId="NoteBullet">
    <w:name w:val="Note Bullet"/>
    <w:basedOn w:val="Note"/>
    <w:rsid w:val="00494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38E"/>
    <w:rPr>
      <w:b/>
      <w:smallCaps/>
    </w:rPr>
  </w:style>
  <w:style w:type="paragraph" w:customStyle="1" w:styleId="TableListNumber">
    <w:name w:val="Table List Number"/>
    <w:basedOn w:val="ListNumber"/>
    <w:rsid w:val="00494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38E"/>
    <w:pPr>
      <w:numPr>
        <w:numId w:val="8"/>
      </w:numPr>
    </w:pPr>
  </w:style>
  <w:style w:type="paragraph" w:customStyle="1" w:styleId="ListAlpha2">
    <w:name w:val="List Alpha 2"/>
    <w:basedOn w:val="List2"/>
    <w:rsid w:val="0049438E"/>
    <w:pPr>
      <w:numPr>
        <w:numId w:val="7"/>
      </w:numPr>
    </w:pPr>
  </w:style>
  <w:style w:type="paragraph" w:styleId="List2">
    <w:name w:val="List 2"/>
    <w:basedOn w:val="BodyText"/>
    <w:rsid w:val="00494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38E"/>
    <w:pPr>
      <w:numPr>
        <w:numId w:val="3"/>
      </w:numPr>
    </w:pPr>
  </w:style>
  <w:style w:type="paragraph" w:styleId="ListContinue2">
    <w:name w:val="List Continue 2"/>
    <w:basedOn w:val="List2"/>
    <w:rsid w:val="0049438E"/>
    <w:pPr>
      <w:ind w:firstLine="0"/>
    </w:pPr>
  </w:style>
  <w:style w:type="paragraph" w:styleId="ListContinue3">
    <w:name w:val="List Continue 3"/>
    <w:basedOn w:val="List3"/>
    <w:rsid w:val="0049438E"/>
    <w:pPr>
      <w:ind w:left="1021" w:firstLine="0"/>
    </w:pPr>
  </w:style>
  <w:style w:type="paragraph" w:styleId="ListContinue4">
    <w:name w:val="List Continue 4"/>
    <w:basedOn w:val="List4"/>
    <w:rsid w:val="0049438E"/>
    <w:pPr>
      <w:ind w:firstLine="0"/>
    </w:pPr>
  </w:style>
  <w:style w:type="paragraph" w:styleId="ListContinue5">
    <w:name w:val="List Continue 5"/>
    <w:basedOn w:val="List5"/>
    <w:rsid w:val="0049438E"/>
    <w:pPr>
      <w:ind w:firstLine="0"/>
    </w:pPr>
  </w:style>
  <w:style w:type="paragraph" w:styleId="ListNumber3">
    <w:name w:val="List Number 3"/>
    <w:basedOn w:val="List3"/>
    <w:rsid w:val="0049438E"/>
    <w:pPr>
      <w:numPr>
        <w:numId w:val="4"/>
      </w:numPr>
    </w:pPr>
  </w:style>
  <w:style w:type="paragraph" w:styleId="ListNumber4">
    <w:name w:val="List Number 4"/>
    <w:basedOn w:val="List4"/>
    <w:rsid w:val="0049438E"/>
    <w:pPr>
      <w:numPr>
        <w:numId w:val="5"/>
      </w:numPr>
    </w:pPr>
  </w:style>
  <w:style w:type="paragraph" w:styleId="ListNumber5">
    <w:name w:val="List Number 5"/>
    <w:basedOn w:val="List5"/>
    <w:rsid w:val="0049438E"/>
    <w:pPr>
      <w:numPr>
        <w:numId w:val="6"/>
      </w:numPr>
    </w:pPr>
  </w:style>
  <w:style w:type="paragraph" w:styleId="BlockText">
    <w:name w:val="Block Text"/>
    <w:basedOn w:val="Normal"/>
    <w:rsid w:val="00494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38E"/>
    <w:rPr>
      <w:sz w:val="16"/>
      <w:vertAlign w:val="subscript"/>
    </w:rPr>
  </w:style>
  <w:style w:type="character" w:customStyle="1" w:styleId="Symbols">
    <w:name w:val="Symbols"/>
    <w:basedOn w:val="DefaultParagraphFont"/>
    <w:rsid w:val="0049438E"/>
    <w:rPr>
      <w:rFonts w:ascii="Symbol" w:hAnsi="Symbol"/>
    </w:rPr>
  </w:style>
  <w:style w:type="character" w:customStyle="1" w:styleId="MenuOptions">
    <w:name w:val="Menu Options"/>
    <w:basedOn w:val="DefaultParagraphFont"/>
    <w:rsid w:val="00494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38E"/>
    <w:rPr>
      <w:b/>
    </w:rPr>
  </w:style>
  <w:style w:type="character" w:customStyle="1" w:styleId="Underlined">
    <w:name w:val="Underlined"/>
    <w:basedOn w:val="DefaultParagraphFont"/>
    <w:rsid w:val="0049438E"/>
    <w:rPr>
      <w:u w:val="single"/>
    </w:rPr>
  </w:style>
  <w:style w:type="paragraph" w:customStyle="1" w:styleId="TableBodyTextRight">
    <w:name w:val="Table Body Text Right"/>
    <w:basedOn w:val="TableBodyText"/>
    <w:rsid w:val="00494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38E"/>
    <w:rPr>
      <w:sz w:val="18"/>
    </w:rPr>
  </w:style>
  <w:style w:type="paragraph" w:customStyle="1" w:styleId="BodySmallRight">
    <w:name w:val="Body Small Right"/>
    <w:basedOn w:val="BodyTextRight"/>
    <w:rsid w:val="0049438E"/>
    <w:rPr>
      <w:sz w:val="18"/>
      <w:szCs w:val="18"/>
    </w:rPr>
  </w:style>
  <w:style w:type="paragraph" w:customStyle="1" w:styleId="MarginEdition">
    <w:name w:val="Margin Edition"/>
    <w:basedOn w:val="MarginNote"/>
    <w:rsid w:val="00494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38E"/>
    <w:rPr>
      <w:sz w:val="2"/>
      <w:szCs w:val="2"/>
    </w:rPr>
  </w:style>
  <w:style w:type="character" w:customStyle="1" w:styleId="Small">
    <w:name w:val="Small"/>
    <w:basedOn w:val="DefaultParagraphFont"/>
    <w:rsid w:val="0049438E"/>
    <w:rPr>
      <w:sz w:val="16"/>
    </w:rPr>
  </w:style>
  <w:style w:type="paragraph" w:customStyle="1" w:styleId="WideTable">
    <w:name w:val="Wide Table"/>
    <w:basedOn w:val="Normal"/>
    <w:rsid w:val="00494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38E"/>
  </w:style>
  <w:style w:type="paragraph" w:styleId="Quote">
    <w:name w:val="Quote"/>
    <w:basedOn w:val="Heading1"/>
    <w:link w:val="QuoteChar"/>
    <w:qFormat/>
    <w:rsid w:val="00494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38E"/>
    <w:pPr>
      <w:pageBreakBefore/>
    </w:pPr>
  </w:style>
  <w:style w:type="paragraph" w:customStyle="1" w:styleId="Border">
    <w:name w:val="Border"/>
    <w:basedOn w:val="Normal"/>
    <w:qFormat/>
    <w:rsid w:val="00494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38E"/>
    <w:rPr>
      <w:u w:val="single"/>
    </w:rPr>
  </w:style>
  <w:style w:type="character" w:customStyle="1" w:styleId="BoldandItalics">
    <w:name w:val="Bold and Italics"/>
    <w:qFormat/>
    <w:rsid w:val="0049438E"/>
    <w:rPr>
      <w:b/>
      <w:i/>
      <w:u w:val="none"/>
    </w:rPr>
  </w:style>
  <w:style w:type="paragraph" w:styleId="BalloonText">
    <w:name w:val="Balloon Text"/>
    <w:basedOn w:val="Normal"/>
    <w:link w:val="BalloonTextChar"/>
    <w:rsid w:val="00494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38E"/>
    <w:pPr>
      <w:spacing w:before="0" w:after="0"/>
    </w:pPr>
  </w:style>
  <w:style w:type="paragraph" w:customStyle="1" w:styleId="BodyTextBold">
    <w:name w:val="Body Text Bold"/>
    <w:basedOn w:val="BodyText"/>
    <w:qFormat/>
    <w:rsid w:val="0049438E"/>
    <w:rPr>
      <w:b/>
    </w:rPr>
  </w:style>
  <w:style w:type="character" w:styleId="Hyperlink">
    <w:name w:val="Hyperlink"/>
    <w:basedOn w:val="DefaultParagraphFont"/>
    <w:uiPriority w:val="99"/>
    <w:unhideWhenUsed/>
    <w:rsid w:val="00A87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4731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ICTSUS811 Conduct and manage life cycle assessments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