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0507" w:rsidP="00DD05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ICTSAS218 Obtain and connect hardware peripherals</w:t>
      </w:r>
      <w:r>
        <w:fldChar w:fldCharType="end"/>
      </w:r>
    </w:p>
    <w:p w:rsidR="00DD0507" w:rsidP="00DD0507">
      <w:pPr>
        <w:pStyle w:val="Version"/>
        <w:sectPr w:rsidSect="00341CD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41CDC" w:rsidP="00341CDC">
      <w:pPr>
        <w:pStyle w:val="SuperHeading"/>
      </w:pPr>
      <w:r w:rsidRPr="00341CDC">
        <w:t>ICTSAS218 Obtain and connect hardware peripherals</w:t>
      </w:r>
    </w:p>
    <w:p w:rsidR="00000000" w:rsidRPr="00341CDC" w:rsidP="00341CDC">
      <w:pPr>
        <w:pStyle w:val="Heading1"/>
      </w:pPr>
      <w:bookmarkStart w:id="1" w:name="O_1220549"/>
      <w:bookmarkEnd w:id="1"/>
      <w:r w:rsidRPr="00341CD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341C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CDC" w:rsidP="00341CDC">
            <w:pPr>
              <w:pStyle w:val="BodyText"/>
            </w:pPr>
            <w:r w:rsidRPr="00341CDC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CDC">
            <w:pPr>
              <w:pStyle w:val="BodyText"/>
              <w:rPr>
                <w:lang w:val="en-NZ"/>
              </w:rPr>
            </w:pPr>
            <w:r w:rsidRPr="00341CDC">
              <w:rPr>
                <w:rStyle w:val="SpecialBold"/>
              </w:rPr>
              <w:t>Comments</w:t>
            </w:r>
          </w:p>
        </w:tc>
      </w:tr>
      <w:tr w:rsidTr="00341C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CDC">
            <w:pPr>
              <w:pStyle w:val="BodyText"/>
              <w:rPr>
                <w:lang w:val="en-NZ"/>
              </w:rPr>
            </w:pPr>
            <w:r w:rsidRPr="00341CDC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CDC" w:rsidP="00341CDC">
            <w:pPr>
              <w:pStyle w:val="BodyText"/>
            </w:pPr>
            <w:r w:rsidRPr="00341CDC">
              <w:t>This version first released with the Information and Communications Technology Training Package Version 8.0.</w:t>
            </w:r>
          </w:p>
          <w:p w:rsidR="00000000" w:rsidRPr="00341CDC" w:rsidP="00341CDC">
            <w:pPr>
              <w:pStyle w:val="BodyText"/>
            </w:pPr>
            <w:r w:rsidRPr="00341CDC">
              <w:t>Supersedes and is equivalent to ICTSAS203 Connect hardware peripherals.</w:t>
            </w:r>
          </w:p>
        </w:tc>
      </w:tr>
    </w:tbl>
    <w:p w:rsidR="00000000" w:rsidRPr="00341CDC" w:rsidP="00341CDC">
      <w:pPr>
        <w:pStyle w:val="BodyText"/>
      </w:pPr>
    </w:p>
    <w:p w:rsidR="00000000" w:rsidRPr="00341CDC" w:rsidP="00341CDC">
      <w:pPr>
        <w:pStyle w:val="AllowPageBreak"/>
      </w:pPr>
    </w:p>
    <w:p w:rsidR="00000000" w:rsidRPr="00341CDC" w:rsidP="00341CDC">
      <w:pPr>
        <w:pStyle w:val="Heading1"/>
      </w:pPr>
      <w:bookmarkStart w:id="2" w:name="O_1220550"/>
      <w:bookmarkEnd w:id="2"/>
      <w:r w:rsidRPr="00341CDC">
        <w:t>Application</w:t>
      </w:r>
    </w:p>
    <w:p w:rsidR="00000000" w:rsidRPr="00341CDC" w:rsidP="00DD0507">
      <w:pPr>
        <w:pStyle w:val="BodyText"/>
      </w:pPr>
      <w:r w:rsidRPr="00341CDC">
        <w:t>This unit describes the skills and knowledge required to select and configure hardware peripherals using specifications and technical guidelines suited to the particular organisational context.</w:t>
      </w:r>
    </w:p>
    <w:p w:rsidR="00000000" w:rsidRPr="00341CDC" w:rsidP="00DD0507">
      <w:pPr>
        <w:pStyle w:val="BodyText"/>
      </w:pPr>
      <w:r w:rsidRPr="00341CDC">
        <w:t>The unit applies to individuals who may work i</w:t>
      </w:r>
      <w:r w:rsidRPr="00341CDC">
        <w:t>n technical support roles and may have some responsibility to solve technical incompatibility issues under supervision, using a wide range of information and communications technology (ICT) skills and knowledge.</w:t>
      </w:r>
    </w:p>
    <w:p w:rsidR="00000000" w:rsidRPr="00341CDC" w:rsidP="00DD0507">
      <w:pPr>
        <w:pStyle w:val="BodyText"/>
      </w:pPr>
      <w:r w:rsidRPr="00341CDC">
        <w:t>No licensing, legislative or certification r</w:t>
      </w:r>
      <w:r w:rsidRPr="00341CDC">
        <w:t>equirements apply to this unit at the time of publication.</w:t>
      </w:r>
    </w:p>
    <w:p w:rsidR="00000000" w:rsidRPr="00341CDC" w:rsidP="00341CDC">
      <w:pPr>
        <w:pStyle w:val="Heading1"/>
      </w:pPr>
      <w:bookmarkStart w:id="3" w:name="O_1220553"/>
      <w:bookmarkEnd w:id="3"/>
      <w:r w:rsidRPr="00341CDC">
        <w:t>Unit Sector</w:t>
      </w:r>
    </w:p>
    <w:p w:rsidR="00000000" w:rsidRPr="00341CDC" w:rsidP="00DD0507">
      <w:pPr>
        <w:pStyle w:val="BodyText"/>
      </w:pPr>
      <w:r w:rsidRPr="00341CDC">
        <w:t>Systems administration and support</w:t>
      </w:r>
    </w:p>
    <w:p w:rsidR="00000000" w:rsidRPr="00341CDC" w:rsidP="00341CDC">
      <w:pPr>
        <w:pStyle w:val="Heading1"/>
      </w:pPr>
      <w:bookmarkStart w:id="4" w:name="O_1220554"/>
      <w:bookmarkEnd w:id="4"/>
      <w:r w:rsidRPr="00341CD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3"/>
        <w:gridCol w:w="6315"/>
      </w:tblGrid>
      <w:tr w:rsidTr="00341C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CDC" w:rsidP="00341CDC">
            <w:pPr>
              <w:pStyle w:val="BodyText"/>
            </w:pPr>
            <w:r w:rsidRPr="00341CDC">
              <w:rPr>
                <w:rStyle w:val="SpecialBold"/>
              </w:rPr>
              <w:t>ELEMENT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CDC">
            <w:pPr>
              <w:pStyle w:val="BodyText"/>
              <w:rPr>
                <w:lang w:val="en-NZ"/>
              </w:rPr>
            </w:pPr>
            <w:r w:rsidRPr="00341CDC">
              <w:rPr>
                <w:rStyle w:val="SpecialBold"/>
              </w:rPr>
              <w:t>PERFORMANCE CRITERIA</w:t>
            </w:r>
          </w:p>
        </w:tc>
      </w:tr>
      <w:tr w:rsidTr="00341C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CDC" w:rsidP="00341CDC">
            <w:pPr>
              <w:pStyle w:val="BodyText"/>
            </w:pPr>
            <w:r w:rsidRPr="00341CDC">
              <w:rPr>
                <w:rStyle w:val="Emphasis"/>
              </w:rPr>
              <w:t>Elements describe the essential outcomes.</w:t>
            </w:r>
          </w:p>
        </w:tc>
        <w:tc>
          <w:tcPr>
            <w:tcW w:w="631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CDC">
            <w:pPr>
              <w:pStyle w:val="BodyText"/>
              <w:rPr>
                <w:lang w:val="en-NZ"/>
              </w:rPr>
            </w:pPr>
            <w:r w:rsidRPr="00341CD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41C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CDC">
            <w:pPr>
              <w:pStyle w:val="List"/>
              <w:rPr>
                <w:lang w:val="en-NZ"/>
              </w:rPr>
            </w:pPr>
            <w:r w:rsidRPr="00341CDC">
              <w:t xml:space="preserve">1. Prepare to connect hardware peripherals </w:t>
            </w:r>
          </w:p>
        </w:tc>
        <w:tc>
          <w:tcPr>
            <w:tcW w:w="631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CDC" w:rsidP="00341CDC">
            <w:pPr>
              <w:pStyle w:val="List"/>
            </w:pPr>
            <w:r w:rsidRPr="00341CDC">
              <w:t>1.1 Confirm work brief relating to work tasks, hardware and peripheral quality standards, work health and safety (W</w:t>
            </w:r>
            <w:r w:rsidRPr="00341CDC">
              <w:t>HS) standards, and organisational policies and procedures</w:t>
            </w:r>
          </w:p>
          <w:p w:rsidR="00000000" w:rsidRPr="00341CDC" w:rsidP="00341CDC">
            <w:pPr>
              <w:pStyle w:val="List"/>
            </w:pPr>
            <w:r w:rsidRPr="00341CDC">
              <w:t>1.2 Research and select hardware peripheral components according to work brief</w:t>
            </w:r>
          </w:p>
          <w:p w:rsidR="00000000" w:rsidRPr="00341CDC" w:rsidP="00341CDC">
            <w:pPr>
              <w:pStyle w:val="List"/>
            </w:pPr>
            <w:r w:rsidRPr="00341CDC">
              <w:t>1.3 Select and source configuration components according to organisational policies and procedures</w:t>
            </w:r>
          </w:p>
          <w:p w:rsidR="00000000" w:rsidP="00341CDC">
            <w:pPr>
              <w:pStyle w:val="List"/>
              <w:rPr>
                <w:lang w:val="en-NZ"/>
              </w:rPr>
            </w:pPr>
            <w:r w:rsidRPr="00341CDC">
              <w:t>1.4 Confirm that cli</w:t>
            </w:r>
            <w:r w:rsidRPr="00341CDC">
              <w:t xml:space="preserve">ent support expectations are covered by </w:t>
            </w:r>
            <w:r w:rsidRPr="00341CDC">
              <w:t>vendor warranty and support services</w:t>
            </w:r>
          </w:p>
        </w:tc>
      </w:tr>
      <w:tr w:rsidTr="00341C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CDC">
            <w:pPr>
              <w:pStyle w:val="List"/>
              <w:rPr>
                <w:lang w:val="en-NZ"/>
              </w:rPr>
            </w:pPr>
            <w:r w:rsidRPr="00341CDC">
              <w:t>2. Obtain hardware peripherals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CDC" w:rsidP="00341CDC">
            <w:pPr>
              <w:pStyle w:val="List"/>
            </w:pPr>
            <w:r w:rsidRPr="00341CDC">
              <w:t>2.1 Source hardware peripherals and check for serviceability according to organisational policies and procedures</w:t>
            </w:r>
          </w:p>
          <w:p w:rsidR="00000000" w:rsidRPr="00341CDC" w:rsidP="00341CDC">
            <w:pPr>
              <w:pStyle w:val="List"/>
            </w:pPr>
            <w:r w:rsidRPr="00341CDC">
              <w:t>2.2 Update hardware inventory register</w:t>
            </w:r>
          </w:p>
          <w:p w:rsidR="00000000" w:rsidRPr="00341CDC" w:rsidP="00341CDC">
            <w:pPr>
              <w:pStyle w:val="List"/>
            </w:pPr>
            <w:r w:rsidRPr="00341CDC">
              <w:t>2.3 Confirm that delivered hardware peripherals match packing list and resolve any discrepancies</w:t>
            </w:r>
          </w:p>
          <w:p w:rsidR="00000000" w:rsidP="00341CDC">
            <w:pPr>
              <w:pStyle w:val="List"/>
              <w:rPr>
                <w:lang w:val="en-NZ"/>
              </w:rPr>
            </w:pPr>
            <w:r w:rsidRPr="00341CDC">
              <w:t>2.4 Store hardware peripherals according to organisational policies and procedures</w:t>
            </w:r>
          </w:p>
        </w:tc>
      </w:tr>
      <w:tr w:rsidTr="00341C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CDC">
            <w:pPr>
              <w:pStyle w:val="List"/>
              <w:rPr>
                <w:lang w:val="en-NZ"/>
              </w:rPr>
            </w:pPr>
            <w:r w:rsidRPr="00341CDC">
              <w:t>3. Connect hardware peripherals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CDC" w:rsidP="00341CDC">
            <w:pPr>
              <w:pStyle w:val="List"/>
            </w:pPr>
            <w:r w:rsidRPr="00341CDC">
              <w:t xml:space="preserve">3.1 </w:t>
            </w:r>
            <w:r w:rsidRPr="00341CDC">
              <w:t>Create and confirm configuration schedule with required personnel</w:t>
            </w:r>
          </w:p>
          <w:p w:rsidR="00000000" w:rsidRPr="00341CDC" w:rsidP="00341CDC">
            <w:pPr>
              <w:pStyle w:val="List"/>
            </w:pPr>
            <w:r w:rsidRPr="00341CDC">
              <w:t>3.2 Remove expired components without disrupting architecture integrity and according to technical guidelines, vendor specifications and WHS standards</w:t>
            </w:r>
          </w:p>
          <w:p w:rsidR="00000000" w:rsidRPr="00341CDC" w:rsidP="00341CDC">
            <w:pPr>
              <w:pStyle w:val="List"/>
            </w:pPr>
            <w:r w:rsidRPr="00341CDC">
              <w:t xml:space="preserve">3.3 Configure and install new hardware </w:t>
            </w:r>
            <w:r w:rsidRPr="00341CDC">
              <w:t>peripherals according to organisational policies and procedures</w:t>
            </w:r>
          </w:p>
          <w:p w:rsidR="00000000" w:rsidRPr="00341CDC" w:rsidP="00341CDC">
            <w:pPr>
              <w:pStyle w:val="List"/>
            </w:pPr>
            <w:r w:rsidRPr="00341CDC">
              <w:t>3.4 Configure device and confirm hardware peripheral functionality according to vender specifications</w:t>
            </w:r>
          </w:p>
          <w:p w:rsidR="00000000" w:rsidRPr="00341CDC" w:rsidP="00341CDC">
            <w:pPr>
              <w:pStyle w:val="List"/>
            </w:pPr>
            <w:r w:rsidRPr="00341CDC">
              <w:t>3.5 Test hardware peripherals and report any issues to required personnel</w:t>
            </w:r>
          </w:p>
        </w:tc>
      </w:tr>
    </w:tbl>
    <w:p w:rsidR="00000000" w:rsidRPr="00341CDC" w:rsidP="00341CDC">
      <w:pPr>
        <w:pStyle w:val="BodyText"/>
      </w:pPr>
    </w:p>
    <w:p w:rsidR="00000000" w:rsidRPr="00341CDC" w:rsidP="00341CDC">
      <w:pPr>
        <w:pStyle w:val="AllowPageBreak"/>
      </w:pPr>
    </w:p>
    <w:p w:rsidR="00000000" w:rsidRPr="00341CDC" w:rsidP="00341CDC">
      <w:pPr>
        <w:pStyle w:val="Heading1"/>
      </w:pPr>
      <w:bookmarkStart w:id="5" w:name="O_1220555"/>
      <w:bookmarkEnd w:id="5"/>
      <w:r w:rsidRPr="00341CDC">
        <w:t>Foundation Skills</w:t>
      </w:r>
    </w:p>
    <w:p w:rsidR="00000000" w:rsidRPr="00DD0507" w:rsidP="00DD0507">
      <w:pPr>
        <w:pStyle w:val="BodyText"/>
        <w:rPr>
          <w:i/>
        </w:rPr>
      </w:pPr>
      <w:r w:rsidRPr="00DD0507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76"/>
        <w:gridCol w:w="6632"/>
      </w:tblGrid>
      <w:tr w:rsidTr="00341C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CDC" w:rsidP="00341CDC">
            <w:pPr>
              <w:pStyle w:val="BodyText"/>
            </w:pPr>
            <w:r w:rsidRPr="00341CDC">
              <w:rPr>
                <w:rStyle w:val="SpecialBold"/>
              </w:rPr>
              <w:t>Skill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CDC">
            <w:pPr>
              <w:pStyle w:val="BodyText"/>
              <w:rPr>
                <w:lang w:val="en-NZ"/>
              </w:rPr>
            </w:pPr>
            <w:r w:rsidRPr="00341CDC">
              <w:rPr>
                <w:rStyle w:val="SpecialBold"/>
              </w:rPr>
              <w:t>Description</w:t>
            </w:r>
          </w:p>
        </w:tc>
      </w:tr>
      <w:tr w:rsidTr="00341C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CDC">
            <w:pPr>
              <w:pStyle w:val="BodyText"/>
              <w:rPr>
                <w:lang w:val="en-NZ"/>
              </w:rPr>
            </w:pPr>
            <w:r w:rsidRPr="00341CDC">
              <w:t>Oral communication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CDC">
            <w:pPr>
              <w:pStyle w:val="ListBullet"/>
              <w:rPr>
                <w:lang w:val="en-NZ"/>
              </w:rPr>
            </w:pPr>
            <w:r w:rsidRPr="00341CDC">
              <w:t>Participates in verbal exchang</w:t>
            </w:r>
            <w:r w:rsidRPr="00341CDC">
              <w:t>es of familiar ideas and information using questioning and active listening to elicit views, opinions and feedback from others</w:t>
            </w:r>
          </w:p>
        </w:tc>
      </w:tr>
      <w:tr w:rsidTr="00341C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CDC">
            <w:pPr>
              <w:pStyle w:val="BodyText"/>
              <w:rPr>
                <w:lang w:val="en-NZ"/>
              </w:rPr>
            </w:pPr>
            <w:r w:rsidRPr="00341CDC">
              <w:t>Reading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CDC">
            <w:pPr>
              <w:pStyle w:val="ListBullet"/>
              <w:rPr>
                <w:lang w:val="en-NZ"/>
              </w:rPr>
            </w:pPr>
            <w:r w:rsidRPr="00341CDC">
              <w:t>Interprets textual information from a range of sources to identify and adhere to requirements</w:t>
            </w:r>
          </w:p>
        </w:tc>
      </w:tr>
      <w:tr w:rsidTr="00341C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CDC">
            <w:pPr>
              <w:pStyle w:val="BodyText"/>
              <w:rPr>
                <w:lang w:val="en-NZ"/>
              </w:rPr>
            </w:pPr>
            <w:r w:rsidRPr="00341CDC">
              <w:t>Planning and organising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CDC">
            <w:pPr>
              <w:pStyle w:val="ListBullet"/>
              <w:rPr>
                <w:lang w:val="en-NZ"/>
              </w:rPr>
            </w:pPr>
            <w:r w:rsidRPr="00341CDC">
              <w:t>Plans and implements routine tasks efficiently</w:t>
            </w:r>
          </w:p>
        </w:tc>
      </w:tr>
      <w:tr w:rsidTr="00341C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CDC">
            <w:pPr>
              <w:pStyle w:val="BodyText"/>
              <w:rPr>
                <w:lang w:val="en-NZ"/>
              </w:rPr>
            </w:pPr>
            <w:r w:rsidRPr="00341CDC">
              <w:t>Problem solving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CDC">
            <w:pPr>
              <w:pStyle w:val="ListBullet"/>
              <w:rPr>
                <w:lang w:val="en-NZ"/>
              </w:rPr>
            </w:pPr>
            <w:r w:rsidRPr="00341CDC">
              <w:t>Responds to predictable routine problems and implements standard or logical solutions</w:t>
            </w:r>
          </w:p>
        </w:tc>
      </w:tr>
      <w:tr w:rsidTr="00341C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CDC">
            <w:pPr>
              <w:pStyle w:val="BodyText"/>
              <w:rPr>
                <w:lang w:val="en-NZ"/>
              </w:rPr>
            </w:pPr>
            <w:r w:rsidRPr="00341CDC">
              <w:t>Technology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CDC" w:rsidP="00341CDC">
            <w:pPr>
              <w:pStyle w:val="ListBullet"/>
            </w:pPr>
            <w:r w:rsidRPr="00341CDC">
              <w:t xml:space="preserve">Identifies the purposes, specific functions and key features of common digital systems and </w:t>
            </w:r>
            <w:r w:rsidRPr="00341CDC">
              <w:t>tools, and operates them effectively to complete routine tasks</w:t>
            </w:r>
          </w:p>
        </w:tc>
      </w:tr>
    </w:tbl>
    <w:p w:rsidR="00000000" w:rsidRPr="00341CDC" w:rsidP="00341CDC">
      <w:pPr>
        <w:pStyle w:val="BodyText"/>
      </w:pPr>
    </w:p>
    <w:p w:rsidR="00000000" w:rsidRPr="00341CDC" w:rsidP="00341CDC">
      <w:pPr>
        <w:pStyle w:val="AllowPageBreak"/>
      </w:pPr>
    </w:p>
    <w:p w:rsidR="00000000" w:rsidRPr="00341CDC" w:rsidP="00341CDC">
      <w:pPr>
        <w:pStyle w:val="Heading1"/>
      </w:pPr>
      <w:bookmarkStart w:id="6" w:name="O_1220557"/>
      <w:bookmarkEnd w:id="6"/>
      <w:r w:rsidRPr="00341CDC">
        <w:t>Unit Mapping Information</w:t>
      </w:r>
    </w:p>
    <w:p w:rsidR="00000000" w:rsidRPr="00341CDC" w:rsidP="00DD0507">
      <w:pPr>
        <w:pStyle w:val="BodyText"/>
      </w:pPr>
      <w:r w:rsidRPr="00341CDC">
        <w:t>Supersedes and is equivalent to ICTSAS203 Connect hardware peripherals.</w:t>
      </w:r>
    </w:p>
    <w:p w:rsidR="00000000" w:rsidRPr="00341CDC" w:rsidP="00341CDC">
      <w:pPr>
        <w:pStyle w:val="Heading1"/>
      </w:pPr>
      <w:bookmarkStart w:id="7" w:name="O_1220564"/>
      <w:bookmarkEnd w:id="7"/>
      <w:r w:rsidRPr="00341CDC">
        <w:t>Links</w:t>
      </w:r>
    </w:p>
    <w:p w:rsidR="00000000" w:rsidRPr="00341CDC" w:rsidP="00DD0507">
      <w:pPr>
        <w:pStyle w:val="BodyText"/>
      </w:pPr>
      <w:r w:rsidRPr="00341CDC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527A8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41CDC" w:rsidP="00341CDC"/>
    <w:sectPr w:rsidSect="00341CD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CD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CDC" w:rsidRPr="00DD0507" w:rsidP="00DD05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CD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507" w:rsidP="00341C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D0507" w:rsidP="00341C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D0507" w:rsidP="00341CD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CD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5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1CDC" w:rsidRPr="00DD0507" w:rsidP="00DD05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CD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507" w:rsidRPr="002D2AF8" w:rsidP="00341C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ICTSAS218 Obtain and connect hardware peripherals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DD0507" w:rsidP="00341CD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D7435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A5EB13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1CD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1CD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1CD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1CD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1CD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1CD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1CD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1CD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1CD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1CD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1C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1CDC"/>
  </w:style>
  <w:style w:type="character" w:customStyle="1" w:styleId="Heading1Char">
    <w:name w:val="Heading 1 Char"/>
    <w:basedOn w:val="DefaultParagraphFont"/>
    <w:link w:val="Heading1"/>
    <w:rsid w:val="00341CD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1CD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1CD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41CD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41CD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41CDC"/>
    <w:rPr>
      <w:b/>
      <w:spacing w:val="0"/>
    </w:rPr>
  </w:style>
  <w:style w:type="character" w:styleId="Emphasis">
    <w:name w:val="Emphasis"/>
    <w:basedOn w:val="DefaultParagraphFont"/>
    <w:qFormat/>
    <w:rsid w:val="00341CDC"/>
    <w:rPr>
      <w:i/>
    </w:rPr>
  </w:style>
  <w:style w:type="paragraph" w:customStyle="1" w:styleId="SuperHeading">
    <w:name w:val="SuperHeading"/>
    <w:basedOn w:val="Normal"/>
    <w:rsid w:val="00341CD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41CD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41CD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1CD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1CD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1C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1C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1C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1C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1CD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1CD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1CD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1CD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1CD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1CD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1CD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1CD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1CD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1CD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1CD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41CD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41CD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1CD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1CD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41CD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41CD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1CD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1CD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1CD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1CD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1CD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1CD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1CD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1CD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41CD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1CD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1CD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1CDC"/>
  </w:style>
  <w:style w:type="paragraph" w:styleId="TableofFigures">
    <w:name w:val="table of figures"/>
    <w:basedOn w:val="Normal"/>
    <w:next w:val="Normal"/>
    <w:semiHidden/>
    <w:rsid w:val="00341CD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1CD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41CDC"/>
    <w:rPr>
      <w:rFonts w:ascii="Wingdings" w:hAnsi="Wingdings"/>
    </w:rPr>
  </w:style>
  <w:style w:type="paragraph" w:customStyle="1" w:styleId="TableHeading">
    <w:name w:val="Table Heading"/>
    <w:basedOn w:val="HeadingBase"/>
    <w:rsid w:val="00341CD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1CDC"/>
    <w:rPr>
      <w:color w:val="0033CC"/>
      <w:u w:val="none"/>
    </w:rPr>
  </w:style>
  <w:style w:type="paragraph" w:customStyle="1" w:styleId="BodyTextRight">
    <w:name w:val="Body Text Right"/>
    <w:basedOn w:val="BodyText"/>
    <w:rsid w:val="00341CD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1CD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1CD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1CD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1CD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1CD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1CDC"/>
    <w:rPr>
      <w:sz w:val="32"/>
    </w:rPr>
  </w:style>
  <w:style w:type="paragraph" w:customStyle="1" w:styleId="HeadingProcedure">
    <w:name w:val="Heading Procedure"/>
    <w:basedOn w:val="HeadingBase"/>
    <w:next w:val="Normal"/>
    <w:rsid w:val="00341CD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1CDC"/>
    <w:pPr>
      <w:spacing w:before="60" w:after="60"/>
    </w:pPr>
  </w:style>
  <w:style w:type="paragraph" w:styleId="ListContinue">
    <w:name w:val="List Continue"/>
    <w:basedOn w:val="List"/>
    <w:rsid w:val="00341CDC"/>
    <w:pPr>
      <w:ind w:firstLine="0"/>
    </w:pPr>
  </w:style>
  <w:style w:type="paragraph" w:customStyle="1" w:styleId="ListNote">
    <w:name w:val="List Note"/>
    <w:basedOn w:val="List"/>
    <w:rsid w:val="00341CD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1CD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1CD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1CDC"/>
    <w:rPr>
      <w:rFonts w:ascii="Courier New" w:hAnsi="Courier New"/>
    </w:rPr>
  </w:style>
  <w:style w:type="paragraph" w:customStyle="1" w:styleId="NoteBullet">
    <w:name w:val="Note Bullet"/>
    <w:basedOn w:val="Note"/>
    <w:rsid w:val="00341CD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1CD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1CD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1CD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1CD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41CD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1CD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1CDC"/>
    <w:rPr>
      <w:b/>
      <w:smallCaps/>
    </w:rPr>
  </w:style>
  <w:style w:type="paragraph" w:customStyle="1" w:styleId="TableListNumber">
    <w:name w:val="Table List Number"/>
    <w:basedOn w:val="ListNumber"/>
    <w:rsid w:val="00341CD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1CD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1CDC"/>
    <w:pPr>
      <w:numPr>
        <w:numId w:val="8"/>
      </w:numPr>
    </w:pPr>
  </w:style>
  <w:style w:type="paragraph" w:customStyle="1" w:styleId="ListAlpha2">
    <w:name w:val="List Alpha 2"/>
    <w:basedOn w:val="List2"/>
    <w:rsid w:val="00341CDC"/>
    <w:pPr>
      <w:numPr>
        <w:numId w:val="7"/>
      </w:numPr>
    </w:pPr>
  </w:style>
  <w:style w:type="paragraph" w:styleId="List2">
    <w:name w:val="List 2"/>
    <w:basedOn w:val="BodyText"/>
    <w:rsid w:val="00341CD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1CD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1CD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1CD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1CD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1CD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41CDC"/>
    <w:pPr>
      <w:numPr>
        <w:numId w:val="3"/>
      </w:numPr>
    </w:pPr>
  </w:style>
  <w:style w:type="paragraph" w:styleId="ListContinue2">
    <w:name w:val="List Continue 2"/>
    <w:basedOn w:val="List2"/>
    <w:rsid w:val="00341CDC"/>
    <w:pPr>
      <w:ind w:firstLine="0"/>
    </w:pPr>
  </w:style>
  <w:style w:type="paragraph" w:styleId="ListContinue3">
    <w:name w:val="List Continue 3"/>
    <w:basedOn w:val="List3"/>
    <w:rsid w:val="00341CDC"/>
    <w:pPr>
      <w:ind w:left="1021" w:firstLine="0"/>
    </w:pPr>
  </w:style>
  <w:style w:type="paragraph" w:styleId="ListContinue4">
    <w:name w:val="List Continue 4"/>
    <w:basedOn w:val="List4"/>
    <w:rsid w:val="00341CDC"/>
    <w:pPr>
      <w:ind w:firstLine="0"/>
    </w:pPr>
  </w:style>
  <w:style w:type="paragraph" w:styleId="ListContinue5">
    <w:name w:val="List Continue 5"/>
    <w:basedOn w:val="List5"/>
    <w:rsid w:val="00341CDC"/>
    <w:pPr>
      <w:ind w:firstLine="0"/>
    </w:pPr>
  </w:style>
  <w:style w:type="paragraph" w:styleId="ListNumber3">
    <w:name w:val="List Number 3"/>
    <w:basedOn w:val="List3"/>
    <w:rsid w:val="00341CDC"/>
    <w:pPr>
      <w:numPr>
        <w:numId w:val="4"/>
      </w:numPr>
    </w:pPr>
  </w:style>
  <w:style w:type="paragraph" w:styleId="ListNumber4">
    <w:name w:val="List Number 4"/>
    <w:basedOn w:val="List4"/>
    <w:rsid w:val="00341CDC"/>
    <w:pPr>
      <w:numPr>
        <w:numId w:val="5"/>
      </w:numPr>
    </w:pPr>
  </w:style>
  <w:style w:type="paragraph" w:styleId="ListNumber5">
    <w:name w:val="List Number 5"/>
    <w:basedOn w:val="List5"/>
    <w:rsid w:val="00341CDC"/>
    <w:pPr>
      <w:numPr>
        <w:numId w:val="6"/>
      </w:numPr>
    </w:pPr>
  </w:style>
  <w:style w:type="paragraph" w:styleId="BlockText">
    <w:name w:val="Block Text"/>
    <w:basedOn w:val="Normal"/>
    <w:rsid w:val="00341CD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1CD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1CDC"/>
    <w:rPr>
      <w:sz w:val="16"/>
      <w:vertAlign w:val="superscript"/>
    </w:rPr>
  </w:style>
  <w:style w:type="character" w:customStyle="1" w:styleId="Symbols">
    <w:name w:val="Symbols"/>
    <w:basedOn w:val="DefaultParagraphFont"/>
    <w:rsid w:val="00341CDC"/>
    <w:rPr>
      <w:rFonts w:ascii="Symbol" w:hAnsi="Symbol"/>
    </w:rPr>
  </w:style>
  <w:style w:type="character" w:customStyle="1" w:styleId="MenuOptions">
    <w:name w:val="Menu Options"/>
    <w:basedOn w:val="DefaultParagraphFont"/>
    <w:rsid w:val="00341CD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1CDC"/>
    <w:rPr>
      <w:b/>
    </w:rPr>
  </w:style>
  <w:style w:type="character" w:customStyle="1" w:styleId="Underlined">
    <w:name w:val="Underlined"/>
    <w:basedOn w:val="DefaultParagraphFont"/>
    <w:rsid w:val="00341CDC"/>
    <w:rPr>
      <w:u w:val="single"/>
    </w:rPr>
  </w:style>
  <w:style w:type="paragraph" w:customStyle="1" w:styleId="TableBodyTextRight">
    <w:name w:val="Table Body Text Right"/>
    <w:basedOn w:val="TableBodyText"/>
    <w:rsid w:val="00341CD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1CDC"/>
    <w:rPr>
      <w:sz w:val="18"/>
    </w:rPr>
  </w:style>
  <w:style w:type="paragraph" w:customStyle="1" w:styleId="BodySmallRight">
    <w:name w:val="Body Small Right"/>
    <w:basedOn w:val="BodyTextRight"/>
    <w:rsid w:val="00341CDC"/>
    <w:rPr>
      <w:sz w:val="18"/>
      <w:szCs w:val="18"/>
    </w:rPr>
  </w:style>
  <w:style w:type="paragraph" w:customStyle="1" w:styleId="MarginEdition">
    <w:name w:val="Margin Edition"/>
    <w:basedOn w:val="MarginNote"/>
    <w:rsid w:val="00341CD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1CDC"/>
    <w:rPr>
      <w:sz w:val="2"/>
      <w:szCs w:val="2"/>
    </w:rPr>
  </w:style>
  <w:style w:type="character" w:customStyle="1" w:styleId="Small">
    <w:name w:val="Small"/>
    <w:basedOn w:val="DefaultParagraphFont"/>
    <w:rsid w:val="00341CDC"/>
    <w:rPr>
      <w:sz w:val="16"/>
    </w:rPr>
  </w:style>
  <w:style w:type="paragraph" w:customStyle="1" w:styleId="WideTable">
    <w:name w:val="Wide Table"/>
    <w:basedOn w:val="Normal"/>
    <w:rsid w:val="00341CD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1CDC"/>
  </w:style>
  <w:style w:type="paragraph" w:styleId="Quote">
    <w:name w:val="Quote"/>
    <w:basedOn w:val="Heading1"/>
    <w:link w:val="QuoteChar"/>
    <w:qFormat/>
    <w:rsid w:val="00341CD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1CD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1CDC"/>
    <w:pPr>
      <w:pageBreakBefore/>
    </w:pPr>
  </w:style>
  <w:style w:type="paragraph" w:customStyle="1" w:styleId="Border">
    <w:name w:val="Border"/>
    <w:basedOn w:val="Normal"/>
    <w:qFormat/>
    <w:rsid w:val="00341CD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1CD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1CD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1CD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1CD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1CD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1CD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1CD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1CD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1CDC"/>
    <w:rPr>
      <w:u w:val="single"/>
    </w:rPr>
  </w:style>
  <w:style w:type="character" w:customStyle="1" w:styleId="BoldandItalics">
    <w:name w:val="Bold and Italics"/>
    <w:qFormat/>
    <w:rsid w:val="00341CDC"/>
    <w:rPr>
      <w:b/>
      <w:i/>
      <w:u w:val="none"/>
    </w:rPr>
  </w:style>
  <w:style w:type="paragraph" w:styleId="BalloonText">
    <w:name w:val="Balloon Text"/>
    <w:basedOn w:val="Normal"/>
    <w:link w:val="BalloonTextChar"/>
    <w:rsid w:val="00341C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1CD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1CD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1CD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1CD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1CD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1CDC"/>
    <w:pPr>
      <w:spacing w:before="0" w:after="0"/>
    </w:pPr>
  </w:style>
  <w:style w:type="paragraph" w:customStyle="1" w:styleId="BodyTextBold">
    <w:name w:val="Body Text Bold"/>
    <w:basedOn w:val="BodyText"/>
    <w:qFormat/>
    <w:rsid w:val="00341CDC"/>
    <w:rPr>
      <w:b/>
    </w:rPr>
  </w:style>
  <w:style w:type="character" w:styleId="Hyperlink">
    <w:name w:val="Hyperlink"/>
    <w:basedOn w:val="DefaultParagraphFont"/>
    <w:uiPriority w:val="99"/>
    <w:unhideWhenUsed/>
    <w:rsid w:val="00DD05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489</Words>
  <Characters>3304</Characters>
  <Application>Microsoft Office Word</Application>
  <DocSecurity>0</DocSecurity>
  <Lines>106</Lines>
  <Paragraphs>64</Paragraphs>
  <ScaleCrop>false</ScaleCrop>
  <Company>Author-it Software Corporation Ltd.</Company>
  <LinksUpToDate>false</LinksUpToDate>
  <CharactersWithSpaces>3729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ICTSAS218 Obtain and connect hardware peripherals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2024-12-17T07:28:00Z</dcterms:created>
  <dcterms:modified xsi:type="dcterms:W3CDTF">2024-12-17T07:28:00Z</dcterms:modified>
</cp:coreProperties>
</file>