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6E0" w:rsidP="00624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ICTSAD510 Manage risks when implementing new technologies</w:t>
      </w:r>
      <w:r>
        <w:fldChar w:fldCharType="end"/>
      </w:r>
    </w:p>
    <w:p w:rsidR="006246E0" w:rsidP="006246E0">
      <w:pPr>
        <w:pStyle w:val="Version"/>
        <w:sectPr w:rsidSect="001C1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067" w:rsidP="001C1067">
      <w:pPr>
        <w:pStyle w:val="SuperHeading"/>
      </w:pPr>
      <w:r w:rsidRPr="001C1067">
        <w:t>Assessment Requirements for ICTSAD510 Manage risks when implementing new technologies</w:t>
      </w:r>
    </w:p>
    <w:p w:rsidR="00000000" w:rsidRPr="001C1067" w:rsidP="001C1067">
      <w:pPr>
        <w:pStyle w:val="Heading1"/>
      </w:pPr>
      <w:bookmarkStart w:id="1" w:name="O_1220521"/>
      <w:bookmarkEnd w:id="1"/>
      <w:r w:rsidRPr="001C1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C1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67" w:rsidP="001C1067">
            <w:pPr>
              <w:pStyle w:val="BodyText"/>
            </w:pPr>
            <w:r w:rsidRPr="001C106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67">
            <w:pPr>
              <w:pStyle w:val="BodyText"/>
              <w:rPr>
                <w:lang w:val="en-NZ"/>
              </w:rPr>
            </w:pPr>
            <w:r w:rsidRPr="001C1067">
              <w:rPr>
                <w:rStyle w:val="SpecialBold"/>
              </w:rPr>
              <w:t>Comments</w:t>
            </w:r>
          </w:p>
        </w:tc>
      </w:tr>
      <w:tr w:rsidTr="001C1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67">
            <w:pPr>
              <w:pStyle w:val="BodyText"/>
              <w:rPr>
                <w:lang w:val="en-NZ"/>
              </w:rPr>
            </w:pPr>
            <w:r w:rsidRPr="001C106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67" w:rsidP="001C1067">
            <w:pPr>
              <w:pStyle w:val="BodyText"/>
            </w:pPr>
            <w:r w:rsidRPr="001C1067">
              <w:t>This version first released with the Information and Communications Technology Training Package Version 8.0.</w:t>
            </w:r>
          </w:p>
          <w:p w:rsidR="00000000" w:rsidRPr="001C1067" w:rsidP="001C1067">
            <w:pPr>
              <w:pStyle w:val="BodyText"/>
            </w:pPr>
            <w:r w:rsidRPr="001C1067">
              <w:t>Supersedes and is equivalent to ICTSAD503 Minimise risk of new technologies to business solutions.</w:t>
            </w:r>
          </w:p>
          <w:p w:rsidR="00000000" w:rsidRPr="001C1067" w:rsidP="001C1067">
            <w:pPr>
              <w:pStyle w:val="BodyText"/>
            </w:pPr>
            <w:r w:rsidRPr="001C1067">
              <w:t>Supersedes and is not equivalent to:</w:t>
            </w:r>
          </w:p>
          <w:p w:rsidR="00000000" w:rsidRPr="001C1067" w:rsidP="001C1067">
            <w:pPr>
              <w:pStyle w:val="ListBullet"/>
            </w:pPr>
            <w:r w:rsidRPr="001C1067">
              <w:t xml:space="preserve">ICTGAM419 </w:t>
            </w:r>
            <w:r w:rsidRPr="001C1067">
              <w:t>Build a database to support a computer game</w:t>
            </w:r>
          </w:p>
          <w:p w:rsidR="00000000" w:rsidRPr="001C1067" w:rsidP="001C1067">
            <w:pPr>
              <w:pStyle w:val="ListBullet"/>
            </w:pPr>
            <w:r w:rsidRPr="001C1067">
              <w:t>ICTNWK515 Develop configuration management protocols.</w:t>
            </w:r>
          </w:p>
          <w:p w:rsidR="00000000" w:rsidRPr="001C1067" w:rsidP="001C1067">
            <w:pPr>
              <w:pStyle w:val="BodyText"/>
            </w:pPr>
            <w:r w:rsidRPr="001C1067">
              <w:t>Updated title to better reflect unit scope.</w:t>
            </w:r>
          </w:p>
        </w:tc>
      </w:tr>
    </w:tbl>
    <w:p w:rsidR="00000000" w:rsidRPr="001C1067" w:rsidP="001C1067">
      <w:pPr>
        <w:pStyle w:val="BodyText"/>
      </w:pPr>
    </w:p>
    <w:p w:rsidR="00000000" w:rsidRPr="001C1067" w:rsidP="001C1067">
      <w:pPr>
        <w:pStyle w:val="AllowPageBreak"/>
      </w:pPr>
    </w:p>
    <w:p w:rsidR="00000000" w:rsidRPr="001C1067" w:rsidP="001C1067">
      <w:pPr>
        <w:pStyle w:val="Heading1"/>
      </w:pPr>
      <w:bookmarkStart w:id="2" w:name="O_1220522"/>
      <w:bookmarkEnd w:id="2"/>
      <w:r w:rsidRPr="001C1067">
        <w:t>Performance Evidence</w:t>
      </w:r>
    </w:p>
    <w:p w:rsidR="00000000" w:rsidRPr="001C1067" w:rsidP="006246E0">
      <w:pPr>
        <w:pStyle w:val="BodyText"/>
      </w:pPr>
      <w:r w:rsidRPr="001C1067">
        <w:t>The candidate must demonstrate the ability to complete the tasks outlined in the elements, performance criteria and foundation skills of this unit, including evidence of the ability to:</w:t>
      </w:r>
    </w:p>
    <w:p w:rsidR="00000000" w:rsidRPr="001C1067" w:rsidP="001C1067">
      <w:pPr>
        <w:pStyle w:val="ListBullet"/>
      </w:pPr>
      <w:r w:rsidRPr="001C1067">
        <w:t>manage risks during the implementation of at least two different tech</w:t>
      </w:r>
      <w:r w:rsidRPr="001C1067">
        <w:t>nologies</w:t>
      </w:r>
    </w:p>
    <w:p w:rsidR="00000000" w:rsidRPr="001C1067" w:rsidP="001C1067">
      <w:pPr>
        <w:pStyle w:val="ListBullet"/>
      </w:pPr>
      <w:r w:rsidRPr="001C1067">
        <w:t>develop at least one contingency plan</w:t>
      </w:r>
    </w:p>
    <w:p w:rsidR="00000000" w:rsidRPr="001C1067" w:rsidP="001C1067">
      <w:pPr>
        <w:pStyle w:val="ListBullet"/>
      </w:pPr>
      <w:r w:rsidRPr="001C1067">
        <w:t>conduct at least one risk analysis.</w:t>
      </w:r>
    </w:p>
    <w:p w:rsidR="00000000" w:rsidRPr="001C1067" w:rsidP="001C1067">
      <w:pPr>
        <w:pStyle w:val="BodyText"/>
      </w:pPr>
    </w:p>
    <w:p w:rsidR="00000000" w:rsidRPr="001C1067" w:rsidP="006246E0">
      <w:pPr>
        <w:pStyle w:val="BodyText"/>
      </w:pPr>
      <w:r w:rsidRPr="001C1067">
        <w:t>In the course of the above, the candidate must:</w:t>
      </w:r>
    </w:p>
    <w:p w:rsidR="00000000" w:rsidRPr="001C1067" w:rsidP="001C1067">
      <w:pPr>
        <w:pStyle w:val="ListBullet"/>
      </w:pPr>
      <w:r w:rsidRPr="001C1067">
        <w:t>present risk contingency plans and key insights</w:t>
      </w:r>
    </w:p>
    <w:p w:rsidR="00000000" w:rsidRPr="001C1067" w:rsidP="001C1067">
      <w:pPr>
        <w:pStyle w:val="ListBullet"/>
      </w:pPr>
      <w:r w:rsidRPr="001C1067">
        <w:t>apply required organisational policies and procedures.</w:t>
      </w:r>
    </w:p>
    <w:p w:rsidR="00000000" w:rsidRPr="001C1067" w:rsidP="001C1067">
      <w:pPr>
        <w:pStyle w:val="AllowPageBreak"/>
      </w:pPr>
    </w:p>
    <w:p w:rsidR="00000000" w:rsidRPr="001C1067" w:rsidP="001C1067">
      <w:pPr>
        <w:pStyle w:val="Heading1"/>
      </w:pPr>
      <w:bookmarkStart w:id="3" w:name="O_1220523"/>
      <w:bookmarkEnd w:id="3"/>
      <w:r w:rsidRPr="001C1067">
        <w:t>K</w:t>
      </w:r>
      <w:r w:rsidRPr="001C1067">
        <w:t>nowledge Evidence</w:t>
      </w:r>
    </w:p>
    <w:p w:rsidR="00000000" w:rsidRPr="001C1067" w:rsidP="006246E0">
      <w:pPr>
        <w:pStyle w:val="BodyText"/>
      </w:pPr>
      <w:r w:rsidRPr="001C1067">
        <w:t>The candidate must be able to demonstrate knowledge to complete the tasks outlined in the elements, performance criteria and foundation skills of this unit, including knowledge of:</w:t>
      </w:r>
    </w:p>
    <w:p w:rsidR="00000000" w:rsidRPr="001C1067" w:rsidP="001C1067">
      <w:pPr>
        <w:pStyle w:val="ListBullet"/>
      </w:pPr>
      <w:r w:rsidRPr="001C1067">
        <w:t>functions and features of common technological solutions</w:t>
      </w:r>
      <w:r w:rsidRPr="001C1067">
        <w:t>, including:</w:t>
      </w:r>
    </w:p>
    <w:p w:rsidR="00000000" w:rsidRPr="001C1067" w:rsidP="001C1067">
      <w:pPr>
        <w:pStyle w:val="ListBullet2"/>
      </w:pPr>
      <w:r w:rsidRPr="001C1067">
        <w:t>accessibility technologies</w:t>
      </w:r>
    </w:p>
    <w:p w:rsidR="00000000" w:rsidRPr="001C1067" w:rsidP="001C1067">
      <w:pPr>
        <w:pStyle w:val="ListBullet2"/>
      </w:pPr>
      <w:r w:rsidRPr="001C1067">
        <w:t>security technologies</w:t>
      </w:r>
    </w:p>
    <w:p w:rsidR="00000000" w:rsidRPr="001C1067" w:rsidP="001C1067">
      <w:pPr>
        <w:pStyle w:val="ListBullet2"/>
      </w:pPr>
      <w:r w:rsidRPr="001C1067">
        <w:t>remote collaboration technologies</w:t>
      </w:r>
    </w:p>
    <w:p w:rsidR="00000000" w:rsidRPr="001C1067" w:rsidP="001C1067">
      <w:pPr>
        <w:pStyle w:val="ListBullet"/>
      </w:pPr>
      <w:r w:rsidRPr="001C1067">
        <w:t>key functions and features of risk analyses, including:</w:t>
      </w:r>
    </w:p>
    <w:p w:rsidR="00000000" w:rsidRPr="001C1067" w:rsidP="001C1067">
      <w:pPr>
        <w:pStyle w:val="ListBullet2"/>
      </w:pPr>
      <w:r w:rsidRPr="001C1067">
        <w:t>likelihood of occurrence</w:t>
      </w:r>
    </w:p>
    <w:p w:rsidR="00000000" w:rsidRPr="001C1067" w:rsidP="001C1067">
      <w:pPr>
        <w:pStyle w:val="ListBullet2"/>
      </w:pPr>
      <w:r w:rsidRPr="001C1067">
        <w:t>risk strength</w:t>
      </w:r>
    </w:p>
    <w:p w:rsidR="00000000" w:rsidRPr="001C1067" w:rsidP="001C1067">
      <w:pPr>
        <w:pStyle w:val="ListBullet2"/>
      </w:pPr>
      <w:r w:rsidRPr="001C1067">
        <w:t>impact</w:t>
      </w:r>
    </w:p>
    <w:p w:rsidR="00000000" w:rsidRPr="001C1067" w:rsidP="001C1067">
      <w:pPr>
        <w:pStyle w:val="ListBullet2"/>
      </w:pPr>
      <w:r w:rsidRPr="001C1067">
        <w:t>solutions</w:t>
      </w:r>
    </w:p>
    <w:p w:rsidR="00000000" w:rsidRPr="001C1067" w:rsidP="001C1067">
      <w:pPr>
        <w:pStyle w:val="ListBullet"/>
      </w:pPr>
      <w:r w:rsidRPr="001C1067">
        <w:t>key functions, features and limitations of implementing technological solutions, including:</w:t>
      </w:r>
    </w:p>
    <w:p w:rsidR="00000000" w:rsidRPr="001C1067" w:rsidP="001C1067">
      <w:pPr>
        <w:pStyle w:val="ListBullet2"/>
      </w:pPr>
      <w:r w:rsidRPr="001C1067">
        <w:t>scalability</w:t>
      </w:r>
    </w:p>
    <w:p w:rsidR="00000000" w:rsidRPr="001C1067" w:rsidP="001C1067">
      <w:pPr>
        <w:pStyle w:val="ListBullet2"/>
      </w:pPr>
      <w:r w:rsidRPr="001C1067">
        <w:t>complexity</w:t>
      </w:r>
    </w:p>
    <w:p w:rsidR="00000000" w:rsidRPr="001C1067" w:rsidP="001C1067">
      <w:pPr>
        <w:pStyle w:val="ListBullet2"/>
      </w:pPr>
      <w:r w:rsidRPr="001C1067">
        <w:t>security</w:t>
      </w:r>
    </w:p>
    <w:p w:rsidR="00000000" w:rsidRPr="001C1067" w:rsidP="001C1067">
      <w:pPr>
        <w:pStyle w:val="ListBullet2"/>
      </w:pPr>
      <w:r w:rsidRPr="001C1067">
        <w:t>risk factors</w:t>
      </w:r>
    </w:p>
    <w:p w:rsidR="00000000" w:rsidRPr="001C1067" w:rsidP="001C1067">
      <w:pPr>
        <w:pStyle w:val="ListBullet"/>
      </w:pPr>
      <w:r w:rsidRPr="001C1067">
        <w:t>key features of a technological implementation contingency plan, including:</w:t>
      </w:r>
    </w:p>
    <w:p w:rsidR="00000000" w:rsidRPr="001C1067" w:rsidP="001C1067">
      <w:pPr>
        <w:pStyle w:val="ListBullet2"/>
      </w:pPr>
      <w:r w:rsidRPr="001C1067">
        <w:t>testing schedules</w:t>
      </w:r>
    </w:p>
    <w:p w:rsidR="00000000" w:rsidRPr="001C1067" w:rsidP="001C1067">
      <w:pPr>
        <w:pStyle w:val="ListBullet2"/>
      </w:pPr>
      <w:r w:rsidRPr="001C1067">
        <w:t>detailed steps</w:t>
      </w:r>
    </w:p>
    <w:p w:rsidR="00000000" w:rsidRPr="001C1067" w:rsidP="001C1067">
      <w:pPr>
        <w:pStyle w:val="ListBullet2"/>
      </w:pPr>
      <w:r w:rsidRPr="001C1067">
        <w:t>review timeline</w:t>
      </w:r>
    </w:p>
    <w:p w:rsidR="00000000" w:rsidRPr="001C1067" w:rsidP="001C1067">
      <w:pPr>
        <w:pStyle w:val="ListBullet"/>
      </w:pPr>
      <w:r w:rsidRPr="001C1067">
        <w:t>types and functions of feedback channels</w:t>
      </w:r>
    </w:p>
    <w:p w:rsidR="00000000" w:rsidRPr="001C1067" w:rsidP="001C1067">
      <w:pPr>
        <w:pStyle w:val="ListBullet"/>
      </w:pPr>
      <w:r w:rsidRPr="001C1067">
        <w:t>organisational presentation methods and tools</w:t>
      </w:r>
    </w:p>
    <w:p w:rsidR="00000000" w:rsidRPr="001C1067" w:rsidP="001C1067">
      <w:pPr>
        <w:pStyle w:val="ListBullet"/>
      </w:pPr>
      <w:r w:rsidRPr="001C1067">
        <w:t>risk management processes</w:t>
      </w:r>
    </w:p>
    <w:p w:rsidR="00000000" w:rsidRPr="001C1067" w:rsidP="001C1067">
      <w:pPr>
        <w:pStyle w:val="ListBullet"/>
      </w:pPr>
      <w:r w:rsidRPr="001C1067">
        <w:t>organisational formats for documentation</w:t>
      </w:r>
    </w:p>
    <w:p w:rsidR="00000000" w:rsidRPr="001C1067" w:rsidP="001C1067">
      <w:pPr>
        <w:pStyle w:val="ListBullet"/>
      </w:pPr>
      <w:r w:rsidRPr="001C1067">
        <w:t xml:space="preserve">organisational policies and procedures and legislative requirements relating to work </w:t>
      </w:r>
      <w:r w:rsidRPr="001C1067">
        <w:t>tasks.</w:t>
      </w:r>
    </w:p>
    <w:p w:rsidR="00000000" w:rsidRPr="001C1067" w:rsidP="001C1067">
      <w:pPr>
        <w:pStyle w:val="AllowPageBreak"/>
      </w:pPr>
    </w:p>
    <w:p w:rsidR="00000000" w:rsidRPr="001C1067" w:rsidP="001C1067">
      <w:pPr>
        <w:pStyle w:val="Heading1"/>
      </w:pPr>
      <w:bookmarkStart w:id="4" w:name="O_1220524"/>
      <w:bookmarkEnd w:id="4"/>
      <w:r w:rsidRPr="001C1067">
        <w:t>Assessment Conditions</w:t>
      </w:r>
    </w:p>
    <w:p w:rsidR="00000000" w:rsidRPr="001C1067" w:rsidP="006246E0">
      <w:pPr>
        <w:pStyle w:val="BodyText"/>
      </w:pPr>
      <w:r w:rsidRPr="001C1067">
        <w:t>Skills in this unit must be demonstrated in a workplace or simulated environment where the conditions are typical of those in a working environment in this industry.</w:t>
      </w:r>
    </w:p>
    <w:p w:rsidR="00000000" w:rsidRPr="001C1067" w:rsidP="006246E0">
      <w:pPr>
        <w:pStyle w:val="BodyText"/>
      </w:pPr>
      <w:r w:rsidRPr="001C1067">
        <w:t>This includes access to:</w:t>
      </w:r>
    </w:p>
    <w:p w:rsidR="00000000" w:rsidRPr="001C1067" w:rsidP="001C1067">
      <w:pPr>
        <w:pStyle w:val="ListBullet"/>
      </w:pPr>
      <w:r w:rsidRPr="001C1067">
        <w:t>required risk an</w:t>
      </w:r>
      <w:r w:rsidRPr="001C1067">
        <w:t>alysis tools</w:t>
      </w:r>
    </w:p>
    <w:p w:rsidR="00000000" w:rsidRPr="001C1067" w:rsidP="001C1067">
      <w:pPr>
        <w:pStyle w:val="ListBullet"/>
      </w:pPr>
      <w:r w:rsidRPr="001C1067">
        <w:t>organisational policies and procedures required to demonstrate the performance evidence.</w:t>
      </w:r>
    </w:p>
    <w:p w:rsidR="00000000" w:rsidRPr="001C1067" w:rsidP="001C1067">
      <w:pPr>
        <w:pStyle w:val="BodyText"/>
      </w:pPr>
    </w:p>
    <w:p w:rsidR="00000000" w:rsidRPr="001C1067" w:rsidP="006246E0">
      <w:pPr>
        <w:pStyle w:val="BodyText"/>
      </w:pPr>
      <w:r w:rsidRPr="001C1067">
        <w:t>Assessors of this unit must satisfy the requirements for assessors in applicable vocational education and training legislation, frameworks and/or standar</w:t>
      </w:r>
      <w:r w:rsidRPr="001C1067">
        <w:t>ds.</w:t>
      </w:r>
    </w:p>
    <w:p w:rsidR="00000000" w:rsidRPr="001C1067" w:rsidP="001C1067">
      <w:pPr>
        <w:pStyle w:val="Heading1"/>
      </w:pPr>
      <w:bookmarkStart w:id="5" w:name="O_1220527"/>
      <w:bookmarkEnd w:id="5"/>
      <w:r w:rsidRPr="001C1067">
        <w:t>Links</w:t>
      </w:r>
    </w:p>
    <w:p w:rsidR="00000000" w:rsidRPr="001C1067" w:rsidP="006246E0">
      <w:pPr>
        <w:pStyle w:val="BodyText"/>
      </w:pPr>
      <w:r w:rsidRPr="001C106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57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1067" w:rsidP="001C1067"/>
    <w:sectPr w:rsidSect="001C1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 w:rsidP="001C1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6E0" w:rsidP="001C1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46E0" w:rsidP="001C1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067" w:rsidRPr="006246E0" w:rsidP="00624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E0" w:rsidRPr="002D2AF8" w:rsidP="001C1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ICTSAD510 Manage risks when implementing new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246E0" w:rsidP="001C1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EED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AF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8E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067"/>
  </w:style>
  <w:style w:type="character" w:customStyle="1" w:styleId="Heading1Char">
    <w:name w:val="Heading 1 Char"/>
    <w:basedOn w:val="DefaultParagraphFont"/>
    <w:link w:val="Heading1"/>
    <w:rsid w:val="001C1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0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067"/>
    <w:rPr>
      <w:b/>
      <w:spacing w:val="0"/>
    </w:rPr>
  </w:style>
  <w:style w:type="paragraph" w:styleId="ListBullet2">
    <w:name w:val="List Bullet 2"/>
    <w:basedOn w:val="List2"/>
    <w:rsid w:val="001C10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067"/>
    <w:rPr>
      <w:i/>
    </w:rPr>
  </w:style>
  <w:style w:type="paragraph" w:styleId="Caption">
    <w:name w:val="caption"/>
    <w:basedOn w:val="BodyText"/>
    <w:next w:val="Normal"/>
    <w:qFormat/>
    <w:rsid w:val="001C1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067"/>
  </w:style>
  <w:style w:type="paragraph" w:styleId="TableofFigures">
    <w:name w:val="table of figures"/>
    <w:basedOn w:val="Normal"/>
    <w:next w:val="Normal"/>
    <w:semiHidden/>
    <w:rsid w:val="001C1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067"/>
    <w:rPr>
      <w:rFonts w:ascii="Wingdings" w:hAnsi="Wingdings"/>
    </w:rPr>
  </w:style>
  <w:style w:type="paragraph" w:customStyle="1" w:styleId="TableHeading">
    <w:name w:val="Table Heading"/>
    <w:basedOn w:val="HeadingBase"/>
    <w:rsid w:val="001C1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067"/>
    <w:rPr>
      <w:color w:val="0033CC"/>
      <w:u w:val="none"/>
    </w:rPr>
  </w:style>
  <w:style w:type="paragraph" w:customStyle="1" w:styleId="BodyTextRight">
    <w:name w:val="Body Text Right"/>
    <w:basedOn w:val="BodyText"/>
    <w:rsid w:val="001C1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067"/>
    <w:rPr>
      <w:sz w:val="32"/>
    </w:rPr>
  </w:style>
  <w:style w:type="paragraph" w:customStyle="1" w:styleId="HeadingProcedure">
    <w:name w:val="Heading Procedure"/>
    <w:basedOn w:val="HeadingBase"/>
    <w:next w:val="Normal"/>
    <w:rsid w:val="001C1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067"/>
    <w:pPr>
      <w:spacing w:before="60" w:after="60"/>
    </w:pPr>
  </w:style>
  <w:style w:type="paragraph" w:styleId="ListContinue">
    <w:name w:val="List Continue"/>
    <w:basedOn w:val="List"/>
    <w:rsid w:val="001C1067"/>
    <w:pPr>
      <w:ind w:firstLine="0"/>
    </w:pPr>
  </w:style>
  <w:style w:type="paragraph" w:customStyle="1" w:styleId="ListNote">
    <w:name w:val="List Note"/>
    <w:basedOn w:val="List"/>
    <w:rsid w:val="001C1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067"/>
    <w:rPr>
      <w:rFonts w:ascii="Courier New" w:hAnsi="Courier New"/>
    </w:rPr>
  </w:style>
  <w:style w:type="paragraph" w:customStyle="1" w:styleId="NoteBullet">
    <w:name w:val="Note Bullet"/>
    <w:basedOn w:val="Note"/>
    <w:rsid w:val="001C1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067"/>
    <w:rPr>
      <w:b/>
      <w:smallCaps/>
    </w:rPr>
  </w:style>
  <w:style w:type="paragraph" w:customStyle="1" w:styleId="TableListNumber">
    <w:name w:val="Table List Number"/>
    <w:basedOn w:val="ListNumber"/>
    <w:rsid w:val="001C1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067"/>
    <w:pPr>
      <w:numPr>
        <w:numId w:val="9"/>
      </w:numPr>
    </w:pPr>
  </w:style>
  <w:style w:type="paragraph" w:customStyle="1" w:styleId="ListAlpha2">
    <w:name w:val="List Alpha 2"/>
    <w:basedOn w:val="List2"/>
    <w:rsid w:val="001C1067"/>
    <w:pPr>
      <w:numPr>
        <w:numId w:val="8"/>
      </w:numPr>
    </w:pPr>
  </w:style>
  <w:style w:type="paragraph" w:styleId="List2">
    <w:name w:val="List 2"/>
    <w:basedOn w:val="BodyText"/>
    <w:rsid w:val="001C1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067"/>
    <w:pPr>
      <w:numPr>
        <w:numId w:val="4"/>
      </w:numPr>
    </w:pPr>
  </w:style>
  <w:style w:type="paragraph" w:styleId="ListContinue2">
    <w:name w:val="List Continue 2"/>
    <w:basedOn w:val="List2"/>
    <w:rsid w:val="001C1067"/>
    <w:pPr>
      <w:ind w:firstLine="0"/>
    </w:pPr>
  </w:style>
  <w:style w:type="paragraph" w:styleId="ListContinue3">
    <w:name w:val="List Continue 3"/>
    <w:basedOn w:val="List3"/>
    <w:rsid w:val="001C1067"/>
    <w:pPr>
      <w:ind w:left="1021" w:firstLine="0"/>
    </w:pPr>
  </w:style>
  <w:style w:type="paragraph" w:styleId="ListContinue4">
    <w:name w:val="List Continue 4"/>
    <w:basedOn w:val="List4"/>
    <w:rsid w:val="001C1067"/>
    <w:pPr>
      <w:ind w:firstLine="0"/>
    </w:pPr>
  </w:style>
  <w:style w:type="paragraph" w:styleId="ListContinue5">
    <w:name w:val="List Continue 5"/>
    <w:basedOn w:val="List5"/>
    <w:rsid w:val="001C1067"/>
    <w:pPr>
      <w:ind w:firstLine="0"/>
    </w:pPr>
  </w:style>
  <w:style w:type="paragraph" w:styleId="ListNumber3">
    <w:name w:val="List Number 3"/>
    <w:basedOn w:val="List3"/>
    <w:rsid w:val="001C1067"/>
    <w:pPr>
      <w:numPr>
        <w:numId w:val="5"/>
      </w:numPr>
    </w:pPr>
  </w:style>
  <w:style w:type="paragraph" w:styleId="ListNumber4">
    <w:name w:val="List Number 4"/>
    <w:basedOn w:val="List4"/>
    <w:rsid w:val="001C1067"/>
    <w:pPr>
      <w:numPr>
        <w:numId w:val="6"/>
      </w:numPr>
    </w:pPr>
  </w:style>
  <w:style w:type="paragraph" w:styleId="ListNumber5">
    <w:name w:val="List Number 5"/>
    <w:basedOn w:val="List5"/>
    <w:rsid w:val="001C1067"/>
    <w:pPr>
      <w:numPr>
        <w:numId w:val="7"/>
      </w:numPr>
    </w:pPr>
  </w:style>
  <w:style w:type="paragraph" w:styleId="BlockText">
    <w:name w:val="Block Text"/>
    <w:basedOn w:val="Normal"/>
    <w:rsid w:val="001C1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067"/>
    <w:rPr>
      <w:sz w:val="16"/>
      <w:vertAlign w:val="superscript"/>
    </w:rPr>
  </w:style>
  <w:style w:type="character" w:customStyle="1" w:styleId="Symbols">
    <w:name w:val="Symbols"/>
    <w:basedOn w:val="DefaultParagraphFont"/>
    <w:rsid w:val="001C1067"/>
    <w:rPr>
      <w:rFonts w:ascii="Symbol" w:hAnsi="Symbol"/>
    </w:rPr>
  </w:style>
  <w:style w:type="character" w:customStyle="1" w:styleId="MenuOptions">
    <w:name w:val="Menu Options"/>
    <w:basedOn w:val="DefaultParagraphFont"/>
    <w:rsid w:val="001C1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067"/>
    <w:rPr>
      <w:b/>
    </w:rPr>
  </w:style>
  <w:style w:type="character" w:customStyle="1" w:styleId="Underlined">
    <w:name w:val="Underlined"/>
    <w:basedOn w:val="DefaultParagraphFont"/>
    <w:rsid w:val="001C1067"/>
    <w:rPr>
      <w:u w:val="single"/>
    </w:rPr>
  </w:style>
  <w:style w:type="paragraph" w:customStyle="1" w:styleId="TableBodyTextRight">
    <w:name w:val="Table Body Text Right"/>
    <w:basedOn w:val="TableBodyText"/>
    <w:rsid w:val="001C1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067"/>
    <w:rPr>
      <w:sz w:val="18"/>
    </w:rPr>
  </w:style>
  <w:style w:type="paragraph" w:customStyle="1" w:styleId="BodySmallRight">
    <w:name w:val="Body Small Right"/>
    <w:basedOn w:val="BodyTextRight"/>
    <w:rsid w:val="001C1067"/>
    <w:rPr>
      <w:sz w:val="18"/>
      <w:szCs w:val="18"/>
    </w:rPr>
  </w:style>
  <w:style w:type="paragraph" w:customStyle="1" w:styleId="MarginEdition">
    <w:name w:val="Margin Edition"/>
    <w:basedOn w:val="MarginNote"/>
    <w:rsid w:val="001C1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067"/>
    <w:rPr>
      <w:sz w:val="2"/>
      <w:szCs w:val="2"/>
    </w:rPr>
  </w:style>
  <w:style w:type="character" w:customStyle="1" w:styleId="Small">
    <w:name w:val="Small"/>
    <w:basedOn w:val="DefaultParagraphFont"/>
    <w:rsid w:val="001C1067"/>
    <w:rPr>
      <w:sz w:val="16"/>
    </w:rPr>
  </w:style>
  <w:style w:type="paragraph" w:customStyle="1" w:styleId="WideTable">
    <w:name w:val="Wide Table"/>
    <w:basedOn w:val="Normal"/>
    <w:rsid w:val="001C1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067"/>
  </w:style>
  <w:style w:type="paragraph" w:styleId="Quote">
    <w:name w:val="Quote"/>
    <w:basedOn w:val="Heading1"/>
    <w:link w:val="QuoteChar"/>
    <w:qFormat/>
    <w:rsid w:val="001C1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067"/>
    <w:pPr>
      <w:pageBreakBefore/>
    </w:pPr>
  </w:style>
  <w:style w:type="paragraph" w:customStyle="1" w:styleId="Border">
    <w:name w:val="Border"/>
    <w:basedOn w:val="Normal"/>
    <w:qFormat/>
    <w:rsid w:val="001C1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067"/>
    <w:rPr>
      <w:u w:val="single"/>
    </w:rPr>
  </w:style>
  <w:style w:type="character" w:customStyle="1" w:styleId="BoldandItalics">
    <w:name w:val="Bold and Italics"/>
    <w:qFormat/>
    <w:rsid w:val="001C1067"/>
    <w:rPr>
      <w:b/>
      <w:i/>
      <w:u w:val="none"/>
    </w:rPr>
  </w:style>
  <w:style w:type="paragraph" w:styleId="BalloonText">
    <w:name w:val="Balloon Text"/>
    <w:basedOn w:val="Normal"/>
    <w:link w:val="BalloonTextChar"/>
    <w:rsid w:val="001C1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067"/>
    <w:pPr>
      <w:spacing w:before="0" w:after="0"/>
    </w:pPr>
  </w:style>
  <w:style w:type="paragraph" w:customStyle="1" w:styleId="BodyTextBold">
    <w:name w:val="Body Text Bold"/>
    <w:basedOn w:val="BodyText"/>
    <w:qFormat/>
    <w:rsid w:val="001C1067"/>
    <w:rPr>
      <w:b/>
    </w:rPr>
  </w:style>
  <w:style w:type="character" w:styleId="Hyperlink">
    <w:name w:val="Hyperlink"/>
    <w:basedOn w:val="DefaultParagraphFont"/>
    <w:uiPriority w:val="99"/>
    <w:unhideWhenUsed/>
    <w:rsid w:val="00624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2555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ICTSAD510 Manage risks when implementing new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