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522" w:rsidP="000D3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ICTRFN303 Install WiMAX customer premises equipment broadband wireless access equipment</w:t>
      </w:r>
      <w:r>
        <w:fldChar w:fldCharType="end"/>
      </w:r>
    </w:p>
    <w:p w:rsidR="000D3522" w:rsidP="000D3522">
      <w:pPr>
        <w:pStyle w:val="Version"/>
        <w:sectPr w:rsidSect="00E46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875" w:rsidP="00E46875">
      <w:pPr>
        <w:pStyle w:val="SuperHeading"/>
      </w:pPr>
      <w:r w:rsidRPr="00E46875">
        <w:t>ICTRFN303 Install WiMAX customer premises equipment broadband wireless access equipment</w:t>
      </w:r>
    </w:p>
    <w:p w:rsidR="00000000" w:rsidRPr="00E46875" w:rsidP="00E46875">
      <w:pPr>
        <w:pStyle w:val="Heading1"/>
      </w:pPr>
      <w:bookmarkStart w:id="1" w:name="O_761115"/>
      <w:bookmarkEnd w:id="1"/>
      <w:r w:rsidRPr="00E46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rPr>
                <w:rStyle w:val="SpecialBold"/>
              </w:rPr>
              <w:t>Comments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>This version first released with ICT Information and Communications Technology Training Package Version 2.0.</w:t>
            </w:r>
          </w:p>
        </w:tc>
      </w:tr>
    </w:tbl>
    <w:p w:rsidR="00000000" w:rsidRPr="00E46875" w:rsidP="00E46875">
      <w:pPr>
        <w:pStyle w:val="BodyText"/>
      </w:pPr>
    </w:p>
    <w:p w:rsidR="00000000" w:rsidRPr="00E46875" w:rsidP="00E46875">
      <w:pPr>
        <w:pStyle w:val="AllowPageBreak"/>
      </w:pPr>
    </w:p>
    <w:p w:rsidR="00000000" w:rsidRPr="00E46875" w:rsidP="00E46875">
      <w:pPr>
        <w:pStyle w:val="Heading1"/>
      </w:pPr>
      <w:bookmarkStart w:id="2" w:name="O_761116"/>
      <w:bookmarkEnd w:id="2"/>
      <w:r w:rsidRPr="00E46875">
        <w:t>Application</w:t>
      </w:r>
    </w:p>
    <w:p w:rsidR="00000000" w:rsidRPr="00E46875" w:rsidP="000D3522">
      <w:pPr>
        <w:pStyle w:val="BodyText"/>
      </w:pPr>
      <w:r w:rsidRPr="00E46875">
        <w:t>This unit describes the skills and knowledge required to connect, set up and test Worldwide Interoperability for Mic</w:t>
      </w:r>
      <w:r w:rsidRPr="00E46875">
        <w:t>rowave Access (WiMAX) customer premises equipment (CPE) in homes and commercial premises.</w:t>
      </w:r>
    </w:p>
    <w:p w:rsidR="00000000" w:rsidRPr="00E46875" w:rsidP="000D3522">
      <w:pPr>
        <w:pStyle w:val="BodyText"/>
      </w:pPr>
      <w:r w:rsidRPr="00E46875">
        <w:t>It applies to individuals working as technicians who connect indoor units to a customer network.</w:t>
      </w:r>
    </w:p>
    <w:p w:rsidR="00000000" w:rsidRPr="00E46875" w:rsidP="000D3522">
      <w:pPr>
        <w:pStyle w:val="BodyText"/>
      </w:pPr>
      <w:r w:rsidRPr="00E46875">
        <w:t>No licensing, legislative or certification requirements apply to th</w:t>
      </w:r>
      <w:r w:rsidRPr="00E46875">
        <w:t xml:space="preserve">is unit at the time of publication. </w:t>
      </w:r>
    </w:p>
    <w:p w:rsidR="00000000" w:rsidRPr="00E46875" w:rsidP="00E46875">
      <w:pPr>
        <w:pStyle w:val="Heading1"/>
      </w:pPr>
      <w:bookmarkStart w:id="3" w:name="O_761119"/>
      <w:bookmarkEnd w:id="3"/>
      <w:r w:rsidRPr="00E46875">
        <w:t>Unit Sector</w:t>
      </w:r>
    </w:p>
    <w:p w:rsidR="00000000" w:rsidRPr="00E46875" w:rsidP="000D3522">
      <w:pPr>
        <w:pStyle w:val="BodyText"/>
      </w:pPr>
      <w:r w:rsidRPr="00E46875">
        <w:t>Telecommunications – radio frequency networks</w:t>
      </w:r>
    </w:p>
    <w:p w:rsidR="00000000" w:rsidRPr="00E46875" w:rsidP="00E46875">
      <w:pPr>
        <w:pStyle w:val="Heading1"/>
      </w:pPr>
      <w:bookmarkStart w:id="4" w:name="O_761120"/>
      <w:bookmarkEnd w:id="4"/>
      <w:r w:rsidRPr="00E468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rPr>
                <w:rStyle w:val="SpecialBold"/>
              </w:rPr>
              <w:t>Performance Criteria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1. Prepare for WiMAX equipment installation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>1.1 Arrange access to site according to required procedure</w:t>
            </w:r>
          </w:p>
          <w:p w:rsidR="00000000" w:rsidRPr="00E46875" w:rsidP="00E46875">
            <w:pPr>
              <w:pStyle w:val="BodyText"/>
            </w:pPr>
            <w:r w:rsidRPr="00E46875">
              <w:t>1.2 Verify customer requirements, type of WiMAX CPE equi</w:t>
            </w:r>
            <w:r w:rsidRPr="00E46875">
              <w:t xml:space="preserve">pment and location of proposed installation according to plans obtained from authorised personnel </w:t>
            </w:r>
          </w:p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1.3 Prepare tools, equipment and CPE required for installation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2. Install outdoor unit and antenna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>2.1 Make worksite safe by identifying existing and potent</w:t>
            </w:r>
            <w:r w:rsidRPr="00E46875">
              <w:t xml:space="preserve">ial hazards </w:t>
            </w:r>
          </w:p>
          <w:p w:rsidR="00000000" w:rsidRPr="00E46875" w:rsidP="00E46875">
            <w:pPr>
              <w:pStyle w:val="BodyText"/>
            </w:pPr>
            <w:r w:rsidRPr="00E46875">
              <w:t>2.2 Comply with relevant legislation, codes, regulations and standards, work health and safety (WHS) and environmental requirements</w:t>
            </w:r>
          </w:p>
          <w:p w:rsidR="00000000" w:rsidRPr="00E46875" w:rsidP="00E46875">
            <w:pPr>
              <w:pStyle w:val="BodyText"/>
            </w:pPr>
            <w:r w:rsidRPr="00E46875">
              <w:t>2.3 Mount outdoor unit according to manufacturer’s specifications and enterprise plans</w:t>
            </w:r>
          </w:p>
          <w:p w:rsidR="00000000" w:rsidRPr="00E46875" w:rsidP="00E46875">
            <w:pPr>
              <w:pStyle w:val="BodyText"/>
            </w:pPr>
            <w:r w:rsidRPr="00E46875">
              <w:t>2.4 Connect outdoor unit</w:t>
            </w:r>
            <w:r w:rsidRPr="00E46875">
              <w:t xml:space="preserve"> to indoor unit using specified cable</w:t>
            </w:r>
          </w:p>
          <w:p w:rsidR="00000000" w:rsidRPr="00E46875" w:rsidP="00E46875">
            <w:pPr>
              <w:pStyle w:val="BodyText"/>
            </w:pPr>
            <w:r w:rsidRPr="00E46875">
              <w:t>2.5 Position antenna towards distant WiMAX base station for preliminary orientation</w:t>
            </w:r>
          </w:p>
          <w:p w:rsidR="00000000" w:rsidRPr="00E46875" w:rsidP="00E46875">
            <w:pPr>
              <w:pStyle w:val="BodyText"/>
            </w:pPr>
            <w:r w:rsidRPr="00E46875">
              <w:t>2.6 Align unit for maximum signal strength using received signal strength indication (RSSI) display</w:t>
            </w:r>
          </w:p>
          <w:p w:rsidR="00000000" w:rsidRPr="00E46875" w:rsidP="00E46875">
            <w:pPr>
              <w:pStyle w:val="BodyText"/>
            </w:pPr>
            <w:r w:rsidRPr="00E46875">
              <w:t>2.7 Record installation and alignm</w:t>
            </w:r>
            <w:r w:rsidRPr="00E46875">
              <w:t>ent details</w:t>
            </w:r>
          </w:p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2.8 Connect indoor unit and accessories to customer equipment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 xml:space="preserve">3. Test performance of installation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 xml:space="preserve">3.1 Test WiMAX CPE according to manufacturer’s procedures </w:t>
            </w:r>
          </w:p>
          <w:p w:rsidR="00000000" w:rsidRPr="00E46875" w:rsidP="00E46875">
            <w:pPr>
              <w:pStyle w:val="BodyText"/>
            </w:pPr>
            <w:r w:rsidRPr="00E46875">
              <w:t>3.2 Check operating environment does not degrade test results</w:t>
            </w:r>
          </w:p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3.3 Evalua</w:t>
            </w:r>
            <w:r w:rsidRPr="00E46875">
              <w:t>te test results to verify operational performance with customer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4. Restore site and complete documentation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>4.1 Restore worksite to customer’s satisfaction</w:t>
            </w:r>
          </w:p>
          <w:p w:rsidR="00000000" w:rsidRPr="00E46875" w:rsidP="00E46875">
            <w:pPr>
              <w:pStyle w:val="BodyText"/>
            </w:pPr>
            <w:r w:rsidRPr="00E46875">
              <w:t>4.2 Complete reports on installation</w:t>
            </w:r>
          </w:p>
          <w:p w:rsidR="00000000" w:rsidRPr="00E46875" w:rsidP="00E46875">
            <w:pPr>
              <w:pStyle w:val="BodyText"/>
            </w:pPr>
            <w:r w:rsidRPr="00E46875">
              <w:t>4.3 Notify customer and obtain sign off</w:t>
            </w:r>
          </w:p>
        </w:tc>
      </w:tr>
    </w:tbl>
    <w:p w:rsidR="00000000" w:rsidRPr="00E46875" w:rsidP="00E46875">
      <w:pPr>
        <w:pStyle w:val="BodyText"/>
      </w:pPr>
    </w:p>
    <w:p w:rsidR="00000000" w:rsidRPr="00E46875" w:rsidP="00E46875">
      <w:pPr>
        <w:pStyle w:val="AllowPageBreak"/>
      </w:pPr>
    </w:p>
    <w:p w:rsidR="00000000" w:rsidRPr="00E46875" w:rsidP="00E46875">
      <w:pPr>
        <w:pStyle w:val="Heading1"/>
      </w:pPr>
      <w:bookmarkStart w:id="5" w:name="O_761121"/>
      <w:bookmarkEnd w:id="5"/>
      <w:r w:rsidRPr="00E46875">
        <w:t>Foun</w:t>
      </w:r>
      <w:r w:rsidRPr="00E46875">
        <w:t>dation Skills</w:t>
      </w:r>
    </w:p>
    <w:p w:rsidR="00000000" w:rsidRPr="000D3522" w:rsidP="000D3522">
      <w:pPr>
        <w:pStyle w:val="BodyText"/>
        <w:rPr>
          <w:i/>
        </w:rPr>
      </w:pPr>
      <w:r w:rsidRPr="000D3522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701"/>
        <w:gridCol w:w="5335"/>
      </w:tblGrid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Skill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Performance Criteria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Description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Reading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1.1, 1.2, 2.3, 3.1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ListBullet"/>
              <w:rPr>
                <w:lang w:val="en-NZ"/>
              </w:rPr>
            </w:pPr>
            <w:r w:rsidRPr="00E46875">
              <w:t>Recognises and interprets textual information from relevant sources to determine job specifications and regulatory and legislative requirements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Writing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2.7, 4.2, 4.3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ListBullet"/>
              <w:rPr>
                <w:lang w:val="en-NZ"/>
              </w:rPr>
            </w:pPr>
            <w:r w:rsidRPr="00E46875">
              <w:t>Uses clear, specific and industry related terminology to complete and update workplace d</w:t>
            </w:r>
            <w:r w:rsidRPr="00E46875">
              <w:t>ocumentation and in written communications with customers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Numeracy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2.6, 3.3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ListBullet"/>
              <w:rPr>
                <w:lang w:val="en-NZ"/>
              </w:rPr>
            </w:pPr>
            <w:r w:rsidRPr="00E46875">
              <w:t>Analyses numerical information to interpret technical data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Oral Communication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1.2, 4.3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ListBullet"/>
            </w:pPr>
            <w:r w:rsidRPr="00E46875">
              <w:t>Uses specific and relevant language to clearly articulate technical information</w:t>
            </w:r>
          </w:p>
          <w:p w:rsidR="00000000" w:rsidP="00E46875">
            <w:pPr>
              <w:pStyle w:val="ListBullet"/>
              <w:rPr>
                <w:lang w:val="en-NZ"/>
              </w:rPr>
            </w:pPr>
            <w:r w:rsidRPr="00E46875">
              <w:t>Uses appropriate tone and listening techniques to determine the understanding of others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Navigate the world of work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2.1, 2.2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ListBullet"/>
            </w:pPr>
            <w:r w:rsidRPr="00E46875">
              <w:t>Takes personal responsibility for adherence to legal and regulatory requirements, with specific reference to safe industry practic</w:t>
            </w:r>
            <w:r w:rsidRPr="00E46875">
              <w:t xml:space="preserve">es </w:t>
            </w:r>
          </w:p>
          <w:p w:rsidR="00000000" w:rsidP="00E46875">
            <w:pPr>
              <w:pStyle w:val="ListBullet"/>
              <w:rPr>
                <w:lang w:val="en-NZ"/>
              </w:rPr>
            </w:pPr>
            <w:r w:rsidRPr="00E46875">
              <w:t>Understands the nature and purpose of own role and associated responsibilities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Get the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1.1-1.3, 2.3-2.6, 2.8, 3.1, 3.2, 4.1</w:t>
            </w:r>
          </w:p>
        </w:tc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ListBullet"/>
            </w:pPr>
            <w:r w:rsidRPr="00E46875">
              <w:t xml:space="preserve">Determines job priorities and sequences the steps involved in clearly defined and familiar tasks, </w:t>
            </w:r>
            <w:r w:rsidRPr="00E46875">
              <w:t>and identifies and assembles the resources and access required</w:t>
            </w:r>
          </w:p>
          <w:p w:rsidR="00000000" w:rsidRPr="00E46875" w:rsidP="00E46875">
            <w:pPr>
              <w:pStyle w:val="ListBullet"/>
            </w:pPr>
            <w:r w:rsidRPr="00E46875">
              <w:t>Takes responsibility for routine decision making by selecting from a range of predetermined options in routine situations, identifying and taking some situational factors into account</w:t>
            </w:r>
          </w:p>
          <w:p w:rsidR="00000000" w:rsidRPr="00E46875" w:rsidP="00E46875">
            <w:pPr>
              <w:pStyle w:val="ListBullet"/>
            </w:pPr>
            <w:r w:rsidRPr="00E46875">
              <w:t>Identifie</w:t>
            </w:r>
            <w:r w:rsidRPr="00E46875">
              <w:t>s and implements standard solutions for typical installation challenges</w:t>
            </w:r>
          </w:p>
          <w:p w:rsidR="00000000" w:rsidRPr="00E46875" w:rsidP="00E46875">
            <w:pPr>
              <w:pStyle w:val="ListBullet"/>
            </w:pPr>
            <w:r w:rsidRPr="00E46875">
              <w:t>Reflects on outcomes and identifies what worked and where things could be done differently in the future</w:t>
            </w:r>
          </w:p>
        </w:tc>
      </w:tr>
    </w:tbl>
    <w:p w:rsidR="00000000" w:rsidRPr="00E46875" w:rsidP="00E46875">
      <w:pPr>
        <w:pStyle w:val="BodyText"/>
      </w:pPr>
    </w:p>
    <w:p w:rsidR="00000000" w:rsidRPr="00E46875" w:rsidP="00E46875">
      <w:pPr>
        <w:pStyle w:val="AllowPageBreak"/>
      </w:pPr>
    </w:p>
    <w:p w:rsidR="00000000" w:rsidRPr="00E46875" w:rsidP="00E46875">
      <w:pPr>
        <w:pStyle w:val="Heading1"/>
      </w:pPr>
      <w:bookmarkStart w:id="6" w:name="O_761123"/>
      <w:bookmarkEnd w:id="6"/>
      <w:r w:rsidRPr="00E468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 xml:space="preserve">Code and title </w:t>
            </w:r>
          </w:p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Code and title</w:t>
            </w:r>
          </w:p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rPr>
                <w:rStyle w:val="SpecialBold"/>
              </w:rPr>
              <w:t>Equivalence status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ICTRFN303 Install WiMAX customer premises equipment broadband wireless access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ICTRFN3146A Install WiMAX customer premises equipment broadband wireless access equipment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Updated to meet S</w:t>
            </w:r>
            <w:r w:rsidRPr="00E46875">
              <w:t>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>Equivalent unit</w:t>
            </w:r>
          </w:p>
        </w:tc>
      </w:tr>
    </w:tbl>
    <w:p w:rsidR="00000000" w:rsidRPr="00E46875" w:rsidP="00E46875">
      <w:pPr>
        <w:pStyle w:val="BodyText"/>
      </w:pPr>
    </w:p>
    <w:p w:rsidR="00000000" w:rsidRPr="00E46875" w:rsidP="00E46875">
      <w:pPr>
        <w:pStyle w:val="AllowPageBreak"/>
      </w:pPr>
    </w:p>
    <w:p w:rsidR="00000000" w:rsidRPr="00E46875" w:rsidP="00E46875">
      <w:pPr>
        <w:pStyle w:val="Heading1"/>
      </w:pPr>
      <w:bookmarkStart w:id="7" w:name="O_761130"/>
      <w:bookmarkEnd w:id="7"/>
      <w:r w:rsidRPr="00E46875">
        <w:t>Links</w:t>
      </w:r>
    </w:p>
    <w:p w:rsidR="00000000" w:rsidRPr="00E46875" w:rsidP="000D3522">
      <w:pPr>
        <w:pStyle w:val="BodyText"/>
      </w:pPr>
      <w:r w:rsidRPr="00E46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49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6875" w:rsidP="000D3522">
      <w:pPr>
        <w:pStyle w:val="BodyText"/>
        <w:sectPr w:rsidSect="00E468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6875" w:rsidP="00E46875">
      <w:pPr>
        <w:pStyle w:val="SuperHeading"/>
      </w:pPr>
      <w:r w:rsidRPr="00E46875">
        <w:t>Assessment Requirements for ICTRFN303 Install WiMAX customer premises equipment broadband wireless access equipment</w:t>
      </w:r>
    </w:p>
    <w:p w:rsidR="00000000" w:rsidRPr="00E46875" w:rsidP="00E46875">
      <w:pPr>
        <w:pStyle w:val="Heading1"/>
      </w:pPr>
      <w:bookmarkStart w:id="8" w:name="O_761125"/>
      <w:bookmarkEnd w:id="8"/>
      <w:r w:rsidRPr="00E46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rPr>
                <w:rStyle w:val="SpecialBold"/>
              </w:rPr>
              <w:t>Comments</w:t>
            </w:r>
          </w:p>
        </w:tc>
      </w:tr>
      <w:tr w:rsidTr="00E46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875">
            <w:pPr>
              <w:pStyle w:val="BodyText"/>
              <w:rPr>
                <w:lang w:val="en-NZ"/>
              </w:rPr>
            </w:pPr>
            <w:r w:rsidRPr="00E468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875" w:rsidP="00E46875">
            <w:pPr>
              <w:pStyle w:val="BodyText"/>
            </w:pPr>
            <w:r w:rsidRPr="00E46875">
              <w:t>This version first released with ICT Information and Communications Technology Training Package Version 2.0.</w:t>
            </w:r>
          </w:p>
        </w:tc>
      </w:tr>
    </w:tbl>
    <w:p w:rsidR="00000000" w:rsidRPr="00E46875" w:rsidP="00E46875">
      <w:pPr>
        <w:pStyle w:val="BodyText"/>
      </w:pPr>
    </w:p>
    <w:p w:rsidR="00000000" w:rsidRPr="00E46875" w:rsidP="00E46875">
      <w:pPr>
        <w:pStyle w:val="AllowPageBreak"/>
      </w:pPr>
    </w:p>
    <w:p w:rsidR="00000000" w:rsidRPr="00E46875" w:rsidP="00E46875">
      <w:pPr>
        <w:pStyle w:val="Heading1"/>
      </w:pPr>
      <w:bookmarkStart w:id="9" w:name="O_761126"/>
      <w:bookmarkEnd w:id="9"/>
      <w:r w:rsidRPr="00E46875">
        <w:t>Performance Evidence</w:t>
      </w:r>
    </w:p>
    <w:p w:rsidR="00000000" w:rsidRPr="00E46875" w:rsidP="000D3522">
      <w:pPr>
        <w:pStyle w:val="BodyText"/>
      </w:pPr>
      <w:r w:rsidRPr="00E46875">
        <w:t>Evidence of the ability to:</w:t>
      </w:r>
    </w:p>
    <w:p w:rsidR="00000000" w:rsidRPr="00E46875" w:rsidP="00E46875">
      <w:pPr>
        <w:pStyle w:val="ListBullet"/>
      </w:pPr>
      <w:r w:rsidRPr="00E46875">
        <w:t>ensure that the site access, resources and installation requirements are confi</w:t>
      </w:r>
      <w:r w:rsidRPr="00E46875">
        <w:t>rmed prior to installation</w:t>
      </w:r>
    </w:p>
    <w:p w:rsidR="00000000" w:rsidRPr="00E46875" w:rsidP="00E46875">
      <w:pPr>
        <w:pStyle w:val="ListBullet"/>
      </w:pPr>
      <w:r w:rsidRPr="00E46875">
        <w:t>install and test Worldwide Interoperability for Microwave Access (WiMAX) customer premises equipment (CPE) outdoor units</w:t>
      </w:r>
    </w:p>
    <w:p w:rsidR="00000000" w:rsidRPr="00E46875" w:rsidP="00E46875">
      <w:pPr>
        <w:pStyle w:val="ListBullet"/>
      </w:pPr>
      <w:r w:rsidRPr="00E46875">
        <w:t>install indoor unit and connect to customer network</w:t>
      </w:r>
    </w:p>
    <w:p w:rsidR="00000000" w:rsidRPr="00E46875" w:rsidP="00E46875">
      <w:pPr>
        <w:pStyle w:val="ListBullet"/>
      </w:pPr>
      <w:r w:rsidRPr="00E46875">
        <w:t>reinstate site, document and complete installation reports.</w:t>
      </w:r>
    </w:p>
    <w:p w:rsidR="00000000" w:rsidRPr="00E46875" w:rsidP="00E46875">
      <w:pPr>
        <w:pStyle w:val="BodyText"/>
      </w:pPr>
    </w:p>
    <w:p w:rsidR="00000000" w:rsidRPr="00E46875" w:rsidP="000D3522">
      <w:pPr>
        <w:pStyle w:val="BodyText"/>
      </w:pPr>
      <w:r w:rsidRPr="00E46875">
        <w:t>Note: If a specific volume or frequency is not stated, then evidence must be provided at least once.</w:t>
      </w:r>
    </w:p>
    <w:p w:rsidR="00000000" w:rsidRPr="00E46875" w:rsidP="00E46875">
      <w:pPr>
        <w:pStyle w:val="Heading1"/>
      </w:pPr>
      <w:bookmarkStart w:id="10" w:name="O_761127"/>
      <w:bookmarkEnd w:id="10"/>
      <w:r w:rsidRPr="00E46875">
        <w:t>Knowledge Evidence</w:t>
      </w:r>
    </w:p>
    <w:p w:rsidR="00000000" w:rsidRPr="00E46875" w:rsidP="000D3522">
      <w:pPr>
        <w:pStyle w:val="BodyText"/>
      </w:pPr>
      <w:r w:rsidRPr="00E46875">
        <w:t xml:space="preserve">To complete the unit requirements safely and effectively, </w:t>
      </w:r>
      <w:r w:rsidRPr="00E46875">
        <w:t>the individual must:</w:t>
      </w:r>
    </w:p>
    <w:p w:rsidR="00000000" w:rsidRPr="00E46875" w:rsidP="00E46875">
      <w:pPr>
        <w:pStyle w:val="ListBullet"/>
      </w:pPr>
      <w:r w:rsidRPr="00E46875">
        <w:t>describe the wireless standard ‘WiMAX’ including:</w:t>
      </w:r>
    </w:p>
    <w:p w:rsidR="00000000" w:rsidRPr="00E46875" w:rsidP="00E46875">
      <w:pPr>
        <w:pStyle w:val="ListBullet2"/>
      </w:pPr>
      <w:r w:rsidRPr="00E46875">
        <w:t>general characteristics of WiMAX networks e.g. mobile broadband and internet access</w:t>
      </w:r>
    </w:p>
    <w:p w:rsidR="00000000" w:rsidRPr="00E46875" w:rsidP="00E46875">
      <w:pPr>
        <w:pStyle w:val="ListBullet2"/>
      </w:pPr>
      <w:r w:rsidRPr="00E46875">
        <w:t>applications of WiMAX technology</w:t>
      </w:r>
    </w:p>
    <w:p w:rsidR="00000000" w:rsidRPr="00E46875" w:rsidP="00E46875">
      <w:pPr>
        <w:pStyle w:val="ListBullet2"/>
      </w:pPr>
      <w:r w:rsidRPr="00E46875">
        <w:t>terminology associated with WiMAX technologies</w:t>
      </w:r>
    </w:p>
    <w:p w:rsidR="00000000" w:rsidRPr="00E46875" w:rsidP="00E46875">
      <w:pPr>
        <w:pStyle w:val="ListBullet2"/>
      </w:pPr>
      <w:r w:rsidRPr="00E46875">
        <w:t>range and function of gateway devices</w:t>
      </w:r>
    </w:p>
    <w:p w:rsidR="00000000" w:rsidRPr="00E46875" w:rsidP="00E46875">
      <w:pPr>
        <w:pStyle w:val="ListBullet2"/>
      </w:pPr>
      <w:r w:rsidRPr="00E46875">
        <w:t>protocols IEEE 802.16 and IEEE 802.11</w:t>
      </w:r>
    </w:p>
    <w:p w:rsidR="00000000" w:rsidRPr="00E46875" w:rsidP="00E46875">
      <w:pPr>
        <w:pStyle w:val="ListBullet"/>
      </w:pPr>
      <w:r w:rsidRPr="00E46875">
        <w:t>identify and discuss the relevant legislation, codes, regulations and standards, work health and safety (WHS) and environmental requirements</w:t>
      </w:r>
    </w:p>
    <w:p w:rsidR="00000000" w:rsidRPr="00E46875" w:rsidP="00E46875">
      <w:pPr>
        <w:pStyle w:val="ListBullet"/>
      </w:pPr>
      <w:r w:rsidRPr="00E46875">
        <w:t>explain the impact of location on micr</w:t>
      </w:r>
      <w:r w:rsidRPr="00E46875">
        <w:t>owave propagation and losses.</w:t>
      </w:r>
    </w:p>
    <w:p w:rsidR="00000000" w:rsidRPr="00E46875" w:rsidP="00E46875">
      <w:pPr>
        <w:pStyle w:val="AllowPageBreak"/>
      </w:pPr>
    </w:p>
    <w:p w:rsidR="00000000" w:rsidRPr="00E46875" w:rsidP="00E46875">
      <w:pPr>
        <w:pStyle w:val="Heading1"/>
      </w:pPr>
      <w:bookmarkStart w:id="11" w:name="O_761128"/>
      <w:bookmarkEnd w:id="11"/>
      <w:r w:rsidRPr="00E46875">
        <w:t>Assessment Conditions</w:t>
      </w:r>
    </w:p>
    <w:p w:rsidR="00000000" w:rsidRPr="00E46875" w:rsidP="000D3522">
      <w:pPr>
        <w:pStyle w:val="BodyText"/>
      </w:pPr>
      <w:r w:rsidRPr="00E46875">
        <w:t>Gather evidence to demonstrate consistent performance in conditions that are safe and replicate the workplace. Noise levels, production flow, interruptions and time variances should be ty</w:t>
      </w:r>
      <w:r w:rsidRPr="00E46875">
        <w:t>pical of those experienced in the telecommunications – radio frequency networks field of work and include access to:</w:t>
      </w:r>
    </w:p>
    <w:p w:rsidR="00000000" w:rsidRPr="00E46875" w:rsidP="00E46875">
      <w:pPr>
        <w:pStyle w:val="ListBullet"/>
      </w:pPr>
      <w:r w:rsidRPr="00E46875">
        <w:t>sites on which WiMAX installations can be conducted</w:t>
      </w:r>
    </w:p>
    <w:p w:rsidR="00000000" w:rsidRPr="00E46875" w:rsidP="00E46875">
      <w:pPr>
        <w:pStyle w:val="ListBullet"/>
      </w:pPr>
      <w:r w:rsidRPr="00E46875">
        <w:t>tools and equipment required for installation</w:t>
      </w:r>
    </w:p>
    <w:p w:rsidR="00000000" w:rsidRPr="00E46875" w:rsidP="00E46875">
      <w:pPr>
        <w:pStyle w:val="ListBullet"/>
      </w:pPr>
      <w:r w:rsidRPr="00E46875">
        <w:t>relevant regulatory and equipment docum</w:t>
      </w:r>
      <w:r w:rsidRPr="00E46875">
        <w:t>entation.</w:t>
      </w:r>
    </w:p>
    <w:p w:rsidR="00000000" w:rsidRPr="00E46875" w:rsidP="00E46875">
      <w:pPr>
        <w:pStyle w:val="BodyText"/>
      </w:pPr>
      <w:r w:rsidRPr="00E46875">
        <w:t xml:space="preserve"> </w:t>
      </w:r>
    </w:p>
    <w:p w:rsidR="00000000" w:rsidRPr="00E46875" w:rsidP="000D3522">
      <w:pPr>
        <w:pStyle w:val="BodyText"/>
      </w:pPr>
      <w:r w:rsidRPr="00E46875">
        <w:t>Assessors of this unit must satisfy the requirements for assessors in applicable vocational education and training legislation, frameworks and/or standards.</w:t>
      </w:r>
    </w:p>
    <w:p w:rsidR="00000000" w:rsidRPr="00E46875" w:rsidP="00E46875">
      <w:pPr>
        <w:pStyle w:val="Heading1"/>
      </w:pPr>
      <w:bookmarkStart w:id="12" w:name="O_761131"/>
      <w:bookmarkEnd w:id="12"/>
      <w:r w:rsidRPr="00E46875">
        <w:t>Links</w:t>
      </w:r>
    </w:p>
    <w:p w:rsidR="00000000" w:rsidRPr="00E46875" w:rsidP="000D3522">
      <w:pPr>
        <w:pStyle w:val="BodyText"/>
      </w:pPr>
      <w:r w:rsidRPr="00E46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49A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6875" w:rsidP="00E46875"/>
    <w:sectPr w:rsidSect="00E468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 w:rsidRPr="000D3522" w:rsidP="000D3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22" w:rsidP="00E46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522" w:rsidP="00E46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3522" w:rsidP="00E468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 w:rsidP="00E46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3522">
      <w:t>Approved</w:t>
    </w:r>
    <w:r w:rsidR="000D35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35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3522">
      <w:rPr>
        <w:noProof/>
      </w:rPr>
      <w:t>4</w:t>
    </w:r>
    <w:r>
      <w:rPr>
        <w:noProof/>
      </w:rPr>
      <w:fldChar w:fldCharType="end"/>
    </w:r>
  </w:p>
  <w:p w:rsidR="00E46875" w:rsidP="00E46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35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3522">
      <w:t>Future Skills Organisation</w:t>
    </w:r>
    <w:r w:rsidR="000D3522">
      <w:fldChar w:fldCharType="end"/>
    </w:r>
  </w:p>
  <w:p w:rsidR="00E46875" w:rsidP="00E46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875" w:rsidRPr="000D3522" w:rsidP="000D3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522" w:rsidRPr="002D2AF8" w:rsidP="00E46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ICTRFN303 Install WiMAX customer premises equipment broadband wireless access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3522" w:rsidP="00E468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75" w:rsidRPr="002D2AF8" w:rsidP="00E46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3522">
      <w:t>ICTRFN303 Install WiMAX customer premises equipment broadband wireless access equipment</w:t>
    </w:r>
    <w:r w:rsidR="000D35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3522">
      <w:rPr>
        <w:noProof/>
      </w:rPr>
      <w:t>2 March 2025</w:t>
    </w:r>
    <w:r>
      <w:fldChar w:fldCharType="end"/>
    </w:r>
  </w:p>
  <w:p w:rsidR="00E46875" w:rsidP="00E46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045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DCF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4F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875"/>
  </w:style>
  <w:style w:type="character" w:customStyle="1" w:styleId="Heading1Char">
    <w:name w:val="Heading 1 Char"/>
    <w:basedOn w:val="DefaultParagraphFont"/>
    <w:link w:val="Heading1"/>
    <w:rsid w:val="00E46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8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875"/>
    <w:rPr>
      <w:b/>
      <w:spacing w:val="0"/>
    </w:rPr>
  </w:style>
  <w:style w:type="paragraph" w:styleId="ListBullet2">
    <w:name w:val="List Bullet 2"/>
    <w:basedOn w:val="List2"/>
    <w:rsid w:val="00E468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6875"/>
    <w:rPr>
      <w:i/>
    </w:rPr>
  </w:style>
  <w:style w:type="paragraph" w:customStyle="1" w:styleId="SuperHeading">
    <w:name w:val="SuperHeading"/>
    <w:basedOn w:val="Normal"/>
    <w:rsid w:val="00E46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6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8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875"/>
  </w:style>
  <w:style w:type="paragraph" w:styleId="TableofFigures">
    <w:name w:val="table of figures"/>
    <w:basedOn w:val="Normal"/>
    <w:next w:val="Normal"/>
    <w:semiHidden/>
    <w:rsid w:val="00E46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6875"/>
    <w:rPr>
      <w:rFonts w:ascii="Wingdings" w:hAnsi="Wingdings"/>
    </w:rPr>
  </w:style>
  <w:style w:type="paragraph" w:customStyle="1" w:styleId="TableHeading">
    <w:name w:val="Table Heading"/>
    <w:basedOn w:val="HeadingBase"/>
    <w:rsid w:val="00E46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875"/>
    <w:rPr>
      <w:color w:val="0033CC"/>
      <w:u w:val="none"/>
    </w:rPr>
  </w:style>
  <w:style w:type="paragraph" w:customStyle="1" w:styleId="BodyTextRight">
    <w:name w:val="Body Text Right"/>
    <w:basedOn w:val="BodyText"/>
    <w:rsid w:val="00E46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875"/>
    <w:rPr>
      <w:sz w:val="32"/>
    </w:rPr>
  </w:style>
  <w:style w:type="paragraph" w:customStyle="1" w:styleId="HeadingProcedure">
    <w:name w:val="Heading Procedure"/>
    <w:basedOn w:val="HeadingBase"/>
    <w:next w:val="Normal"/>
    <w:rsid w:val="00E46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875"/>
    <w:pPr>
      <w:spacing w:before="60" w:after="60"/>
    </w:pPr>
  </w:style>
  <w:style w:type="paragraph" w:styleId="ListContinue">
    <w:name w:val="List Continue"/>
    <w:basedOn w:val="List"/>
    <w:rsid w:val="00E46875"/>
    <w:pPr>
      <w:ind w:firstLine="0"/>
    </w:pPr>
  </w:style>
  <w:style w:type="paragraph" w:customStyle="1" w:styleId="ListNote">
    <w:name w:val="List Note"/>
    <w:basedOn w:val="List"/>
    <w:rsid w:val="00E46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875"/>
    <w:rPr>
      <w:rFonts w:ascii="Courier New" w:hAnsi="Courier New"/>
    </w:rPr>
  </w:style>
  <w:style w:type="paragraph" w:customStyle="1" w:styleId="NoteBullet">
    <w:name w:val="Note Bullet"/>
    <w:basedOn w:val="Note"/>
    <w:rsid w:val="00E46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6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875"/>
    <w:rPr>
      <w:b/>
      <w:smallCaps/>
    </w:rPr>
  </w:style>
  <w:style w:type="paragraph" w:customStyle="1" w:styleId="TableListNumber">
    <w:name w:val="Table List Number"/>
    <w:basedOn w:val="ListNumber"/>
    <w:rsid w:val="00E46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875"/>
    <w:pPr>
      <w:numPr>
        <w:numId w:val="9"/>
      </w:numPr>
    </w:pPr>
  </w:style>
  <w:style w:type="paragraph" w:customStyle="1" w:styleId="ListAlpha2">
    <w:name w:val="List Alpha 2"/>
    <w:basedOn w:val="List2"/>
    <w:rsid w:val="00E46875"/>
    <w:pPr>
      <w:numPr>
        <w:numId w:val="8"/>
      </w:numPr>
    </w:pPr>
  </w:style>
  <w:style w:type="paragraph" w:styleId="List2">
    <w:name w:val="List 2"/>
    <w:basedOn w:val="BodyText"/>
    <w:rsid w:val="00E46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6875"/>
    <w:pPr>
      <w:numPr>
        <w:numId w:val="4"/>
      </w:numPr>
    </w:pPr>
  </w:style>
  <w:style w:type="paragraph" w:styleId="ListContinue2">
    <w:name w:val="List Continue 2"/>
    <w:basedOn w:val="List2"/>
    <w:rsid w:val="00E46875"/>
    <w:pPr>
      <w:ind w:firstLine="0"/>
    </w:pPr>
  </w:style>
  <w:style w:type="paragraph" w:styleId="ListContinue3">
    <w:name w:val="List Continue 3"/>
    <w:basedOn w:val="List3"/>
    <w:rsid w:val="00E46875"/>
    <w:pPr>
      <w:ind w:left="1021" w:firstLine="0"/>
    </w:pPr>
  </w:style>
  <w:style w:type="paragraph" w:styleId="ListContinue4">
    <w:name w:val="List Continue 4"/>
    <w:basedOn w:val="List4"/>
    <w:rsid w:val="00E46875"/>
    <w:pPr>
      <w:ind w:firstLine="0"/>
    </w:pPr>
  </w:style>
  <w:style w:type="paragraph" w:styleId="ListContinue5">
    <w:name w:val="List Continue 5"/>
    <w:basedOn w:val="List5"/>
    <w:rsid w:val="00E46875"/>
    <w:pPr>
      <w:ind w:firstLine="0"/>
    </w:pPr>
  </w:style>
  <w:style w:type="paragraph" w:styleId="ListNumber3">
    <w:name w:val="List Number 3"/>
    <w:basedOn w:val="List3"/>
    <w:rsid w:val="00E46875"/>
    <w:pPr>
      <w:numPr>
        <w:numId w:val="5"/>
      </w:numPr>
    </w:pPr>
  </w:style>
  <w:style w:type="paragraph" w:styleId="ListNumber4">
    <w:name w:val="List Number 4"/>
    <w:basedOn w:val="List4"/>
    <w:rsid w:val="00E46875"/>
    <w:pPr>
      <w:numPr>
        <w:numId w:val="6"/>
      </w:numPr>
    </w:pPr>
  </w:style>
  <w:style w:type="paragraph" w:styleId="ListNumber5">
    <w:name w:val="List Number 5"/>
    <w:basedOn w:val="List5"/>
    <w:rsid w:val="00E46875"/>
    <w:pPr>
      <w:numPr>
        <w:numId w:val="7"/>
      </w:numPr>
    </w:pPr>
  </w:style>
  <w:style w:type="paragraph" w:styleId="BlockText">
    <w:name w:val="Block Text"/>
    <w:basedOn w:val="Normal"/>
    <w:rsid w:val="00E46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875"/>
    <w:rPr>
      <w:sz w:val="16"/>
      <w:vertAlign w:val="superscript"/>
    </w:rPr>
  </w:style>
  <w:style w:type="character" w:customStyle="1" w:styleId="Symbols">
    <w:name w:val="Symbols"/>
    <w:basedOn w:val="DefaultParagraphFont"/>
    <w:rsid w:val="00E46875"/>
    <w:rPr>
      <w:rFonts w:ascii="Symbol" w:hAnsi="Symbol"/>
    </w:rPr>
  </w:style>
  <w:style w:type="character" w:customStyle="1" w:styleId="MenuOptions">
    <w:name w:val="Menu Options"/>
    <w:basedOn w:val="DefaultParagraphFont"/>
    <w:rsid w:val="00E46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875"/>
    <w:rPr>
      <w:b/>
    </w:rPr>
  </w:style>
  <w:style w:type="character" w:customStyle="1" w:styleId="Underlined">
    <w:name w:val="Underlined"/>
    <w:basedOn w:val="DefaultParagraphFont"/>
    <w:rsid w:val="00E46875"/>
    <w:rPr>
      <w:u w:val="single"/>
    </w:rPr>
  </w:style>
  <w:style w:type="paragraph" w:customStyle="1" w:styleId="TableBodyTextRight">
    <w:name w:val="Table Body Text Right"/>
    <w:basedOn w:val="TableBodyText"/>
    <w:rsid w:val="00E46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875"/>
    <w:rPr>
      <w:sz w:val="18"/>
    </w:rPr>
  </w:style>
  <w:style w:type="paragraph" w:customStyle="1" w:styleId="BodySmallRight">
    <w:name w:val="Body Small Right"/>
    <w:basedOn w:val="BodyTextRight"/>
    <w:rsid w:val="00E46875"/>
    <w:rPr>
      <w:sz w:val="18"/>
      <w:szCs w:val="18"/>
    </w:rPr>
  </w:style>
  <w:style w:type="paragraph" w:customStyle="1" w:styleId="MarginEdition">
    <w:name w:val="Margin Edition"/>
    <w:basedOn w:val="MarginNote"/>
    <w:rsid w:val="00E46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875"/>
    <w:rPr>
      <w:sz w:val="2"/>
      <w:szCs w:val="2"/>
    </w:rPr>
  </w:style>
  <w:style w:type="character" w:customStyle="1" w:styleId="Small">
    <w:name w:val="Small"/>
    <w:basedOn w:val="DefaultParagraphFont"/>
    <w:rsid w:val="00E46875"/>
    <w:rPr>
      <w:sz w:val="16"/>
    </w:rPr>
  </w:style>
  <w:style w:type="paragraph" w:customStyle="1" w:styleId="WideTable">
    <w:name w:val="Wide Table"/>
    <w:basedOn w:val="Normal"/>
    <w:rsid w:val="00E46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875"/>
  </w:style>
  <w:style w:type="paragraph" w:styleId="Quote">
    <w:name w:val="Quote"/>
    <w:basedOn w:val="Heading1"/>
    <w:link w:val="QuoteChar"/>
    <w:qFormat/>
    <w:rsid w:val="00E46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875"/>
    <w:pPr>
      <w:pageBreakBefore/>
    </w:pPr>
  </w:style>
  <w:style w:type="paragraph" w:customStyle="1" w:styleId="Border">
    <w:name w:val="Border"/>
    <w:basedOn w:val="Normal"/>
    <w:qFormat/>
    <w:rsid w:val="00E46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875"/>
    <w:rPr>
      <w:u w:val="single"/>
    </w:rPr>
  </w:style>
  <w:style w:type="character" w:customStyle="1" w:styleId="BoldandItalics">
    <w:name w:val="Bold and Italics"/>
    <w:qFormat/>
    <w:rsid w:val="00E46875"/>
    <w:rPr>
      <w:b/>
      <w:i/>
      <w:u w:val="none"/>
    </w:rPr>
  </w:style>
  <w:style w:type="paragraph" w:styleId="BalloonText">
    <w:name w:val="Balloon Text"/>
    <w:basedOn w:val="Normal"/>
    <w:link w:val="BalloonTextChar"/>
    <w:rsid w:val="00E46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875"/>
    <w:pPr>
      <w:spacing w:before="0" w:after="0"/>
    </w:pPr>
  </w:style>
  <w:style w:type="paragraph" w:customStyle="1" w:styleId="BodyTextBold">
    <w:name w:val="Body Text Bold"/>
    <w:basedOn w:val="BodyText"/>
    <w:qFormat/>
    <w:rsid w:val="00E46875"/>
    <w:rPr>
      <w:b/>
    </w:rPr>
  </w:style>
  <w:style w:type="character" w:styleId="Hyperlink">
    <w:name w:val="Hyperlink"/>
    <w:basedOn w:val="DefaultParagraphFont"/>
    <w:uiPriority w:val="99"/>
    <w:unhideWhenUsed/>
    <w:rsid w:val="000D3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6123</Characters>
  <Application>Microsoft Office Word</Application>
  <DocSecurity>0</DocSecurity>
  <Lines>226</Lines>
  <Paragraphs>132</Paragraphs>
  <ScaleCrop>false</ScaleCrop>
  <Company>Author-it Software Corporation Ltd.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ICTRFN303 Install WiMAX customer premises equipment broadband wireless access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