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62B" w:rsidP="005E4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ICTRFN301 Install a radio communications antenna and feedline</w:t>
      </w:r>
      <w:r>
        <w:fldChar w:fldCharType="end"/>
      </w:r>
    </w:p>
    <w:p w:rsidR="005E462B" w:rsidP="005E462B">
      <w:pPr>
        <w:pStyle w:val="Version"/>
        <w:sectPr w:rsidSect="00550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C94" w:rsidP="00550C94">
      <w:pPr>
        <w:pStyle w:val="SuperHeading"/>
      </w:pPr>
      <w:r w:rsidRPr="00550C94">
        <w:t>ICTRFN301 Install a radio communications antenna and feedline</w:t>
      </w:r>
    </w:p>
    <w:p w:rsidR="00000000" w:rsidRPr="00550C94" w:rsidP="00550C94">
      <w:pPr>
        <w:pStyle w:val="Heading1"/>
      </w:pPr>
      <w:bookmarkStart w:id="1" w:name="O_761077"/>
      <w:bookmarkEnd w:id="1"/>
      <w:r w:rsidRPr="00550C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rPr>
                <w:rStyle w:val="SpecialBold"/>
              </w:rPr>
              <w:t>Comments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t>This version first released with ICT Information and Communications Technology Training Package Version 2.0.</w:t>
            </w:r>
          </w:p>
        </w:tc>
      </w:tr>
    </w:tbl>
    <w:p w:rsidR="00000000" w:rsidRPr="00550C94" w:rsidP="00550C94">
      <w:pPr>
        <w:pStyle w:val="BodyText"/>
      </w:pPr>
    </w:p>
    <w:p w:rsidR="00000000" w:rsidRPr="00550C94" w:rsidP="00550C94">
      <w:pPr>
        <w:pStyle w:val="AllowPageBreak"/>
      </w:pPr>
    </w:p>
    <w:p w:rsidR="00000000" w:rsidRPr="00550C94" w:rsidP="00550C94">
      <w:pPr>
        <w:pStyle w:val="Heading1"/>
      </w:pPr>
      <w:bookmarkStart w:id="2" w:name="O_761078"/>
      <w:bookmarkEnd w:id="2"/>
      <w:r w:rsidRPr="00550C94">
        <w:t>Application</w:t>
      </w:r>
    </w:p>
    <w:p w:rsidR="00000000" w:rsidRPr="00550C94" w:rsidP="005E462B">
      <w:pPr>
        <w:pStyle w:val="BodyText"/>
      </w:pPr>
      <w:r w:rsidRPr="00550C94">
        <w:t>This unit describes the skills and knowledge required to install and test a communications antenna and feedline on a range of fixed or mobile structures</w:t>
      </w:r>
    </w:p>
    <w:p w:rsidR="00000000" w:rsidRPr="00550C94" w:rsidP="005E462B">
      <w:pPr>
        <w:pStyle w:val="BodyText"/>
      </w:pPr>
      <w:r w:rsidRPr="00550C94">
        <w:t>It applies to individuals working as telecommunications and radio communications technicians who opera</w:t>
      </w:r>
      <w:r w:rsidRPr="00550C94">
        <w:t xml:space="preserve">te within cellular, radio broadband and digital TV reception applications. Installations may be new or existing, standalone or part of a site with multiple antennas. </w:t>
      </w:r>
    </w:p>
    <w:p w:rsidR="00000000" w:rsidRPr="00550C94" w:rsidP="005E462B">
      <w:pPr>
        <w:pStyle w:val="BodyText"/>
      </w:pPr>
      <w:r w:rsidRPr="00550C94">
        <w:t>Work functions in the occupational areas where this unit may be used are subject to regu</w:t>
      </w:r>
      <w:r w:rsidRPr="00550C94">
        <w:t>latory requirements. Refer to the ICT Implementation Guide Companion Volume or the relevant regulator for details of licensing, legislative or certification requirements.</w:t>
      </w:r>
    </w:p>
    <w:p w:rsidR="00000000" w:rsidRPr="00550C94" w:rsidP="00550C94">
      <w:pPr>
        <w:pStyle w:val="Heading1"/>
      </w:pPr>
      <w:bookmarkStart w:id="3" w:name="O_761081"/>
      <w:bookmarkEnd w:id="3"/>
      <w:r w:rsidRPr="00550C94">
        <w:t>Unit Sector</w:t>
      </w:r>
    </w:p>
    <w:p w:rsidR="00000000" w:rsidRPr="00550C94" w:rsidP="005E462B">
      <w:pPr>
        <w:pStyle w:val="BodyText"/>
      </w:pPr>
      <w:r w:rsidRPr="00550C94">
        <w:t>Telecommunications – radio frequency networks</w:t>
      </w:r>
    </w:p>
    <w:p w:rsidR="00000000" w:rsidRPr="00550C94" w:rsidP="00550C94">
      <w:pPr>
        <w:pStyle w:val="Heading1"/>
      </w:pPr>
      <w:bookmarkStart w:id="4" w:name="O_761082"/>
      <w:bookmarkEnd w:id="4"/>
      <w:r w:rsidRPr="00550C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070"/>
      </w:tblGrid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rPr>
                <w:rStyle w:val="SpecialBold"/>
              </w:rPr>
              <w:t>Elements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rPr>
                <w:rStyle w:val="SpecialBold"/>
              </w:rPr>
              <w:t>Performance Criteria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rPr>
                <w:rStyle w:val="Emphasis"/>
              </w:rPr>
              <w:t>Elements describe the essential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1. Plan assembly of antenna system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t>1.1 Arrange access to site according to required procedure</w:t>
            </w:r>
          </w:p>
          <w:p w:rsidR="00000000" w:rsidRPr="00550C94" w:rsidP="00550C94">
            <w:pPr>
              <w:pStyle w:val="BodyText"/>
            </w:pPr>
            <w:r w:rsidRPr="00550C94">
              <w:t xml:space="preserve">1.2 Apply all relevant legislation, codes, regulations and standards in planning process </w:t>
            </w:r>
          </w:p>
          <w:p w:rsidR="00000000" w:rsidRPr="00550C94" w:rsidP="00550C94">
            <w:pPr>
              <w:pStyle w:val="BodyText"/>
            </w:pPr>
            <w:r w:rsidRPr="00550C94">
              <w:t>1.3 Obtain relevant antenna specifications, requirements and radio communication site management book (RCSM</w:t>
            </w:r>
            <w:r w:rsidRPr="00550C94">
              <w:t>B) from appropriate personnel</w:t>
            </w:r>
          </w:p>
          <w:p w:rsidR="00000000" w:rsidRPr="00550C94" w:rsidP="00550C94">
            <w:pPr>
              <w:pStyle w:val="BodyText"/>
            </w:pPr>
            <w:r w:rsidRPr="00550C94">
              <w:t xml:space="preserve">1.4 Organise appropriate installation personnel to be available on site </w:t>
            </w:r>
          </w:p>
          <w:p w:rsidR="00000000" w:rsidRPr="00550C94" w:rsidP="00550C94">
            <w:pPr>
              <w:pStyle w:val="BodyText"/>
            </w:pPr>
            <w:r w:rsidRPr="00550C94">
              <w:t>1.5 Assess relevant hazard levels from RCSMB and take appropriate preventative action according to prescribed safety requirements</w:t>
            </w:r>
          </w:p>
          <w:p w:rsidR="00000000" w:rsidRPr="00550C94" w:rsidP="00550C94">
            <w:pPr>
              <w:pStyle w:val="BodyText"/>
            </w:pPr>
            <w:r w:rsidRPr="00550C94">
              <w:t>1.6 Identify other ante</w:t>
            </w:r>
            <w:r w:rsidRPr="00550C94">
              <w:t>nnas at site location and notify those who may be affected by outages</w:t>
            </w:r>
          </w:p>
          <w:p w:rsidR="00000000" w:rsidRPr="00550C94" w:rsidP="00550C94">
            <w:pPr>
              <w:pStyle w:val="BodyText"/>
            </w:pPr>
            <w:r w:rsidRPr="00550C94">
              <w:t>1.7 Inspect antenna system and feedline for physical damage before further work is performed</w:t>
            </w:r>
          </w:p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1.8 Organise tools and equipment and ensure they are in safe working order and adjusted to ma</w:t>
            </w:r>
            <w:r w:rsidRPr="00550C94">
              <w:t>nufacturer’s specifications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 xml:space="preserve">2. Assemble, mount and align antenna and prepare feedline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t>2.1 Follow site specific safety requirements and enterprise work health and safety (WHS) processes and procedures</w:t>
            </w:r>
          </w:p>
          <w:p w:rsidR="00000000" w:rsidRPr="00550C94" w:rsidP="00550C94">
            <w:pPr>
              <w:pStyle w:val="BodyText"/>
            </w:pPr>
            <w:r w:rsidRPr="00550C94">
              <w:t>2.2 Assemble antenna system in safe manner according t</w:t>
            </w:r>
            <w:r w:rsidRPr="00550C94">
              <w:t>o manufacturer’s instructions</w:t>
            </w:r>
          </w:p>
          <w:p w:rsidR="00000000" w:rsidRPr="00550C94" w:rsidP="00550C94">
            <w:pPr>
              <w:pStyle w:val="BodyText"/>
            </w:pPr>
            <w:r w:rsidRPr="00550C94">
              <w:t>2.3 Mount antenna with correct azimuth and polarisation according to manufacturer’s instructions and work practices</w:t>
            </w:r>
          </w:p>
          <w:p w:rsidR="00000000" w:rsidRPr="00550C94" w:rsidP="00550C94">
            <w:pPr>
              <w:pStyle w:val="BodyText"/>
            </w:pPr>
            <w:r w:rsidRPr="00550C94">
              <w:t>2.4 Install radome to antenna if provided</w:t>
            </w:r>
          </w:p>
          <w:p w:rsidR="00000000" w:rsidRPr="00550C94" w:rsidP="00550C94">
            <w:pPr>
              <w:pStyle w:val="BodyText"/>
            </w:pPr>
            <w:r w:rsidRPr="00550C94">
              <w:t>2.5 Install lightning protection systems according to plans and spec</w:t>
            </w:r>
            <w:r w:rsidRPr="00550C94">
              <w:t>ifications</w:t>
            </w:r>
          </w:p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2.6 Align antenna in horizontal and vertical planes to maximise signal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3. Test antenna installation and document test results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t>3.1 Conduct performance tests in safe manner according to manufacturer’s specifications and instructions</w:t>
            </w:r>
          </w:p>
          <w:p w:rsidR="00000000" w:rsidRPr="00550C94" w:rsidP="00550C94">
            <w:pPr>
              <w:pStyle w:val="BodyText"/>
            </w:pPr>
            <w:r w:rsidRPr="00550C94">
              <w:t>3.2 Record, interpret and compare test results with manufacturer’s data or design specifications</w:t>
            </w:r>
          </w:p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3.3 Confirm correct overall operation of antenna system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4. Complete administrative tasks and clean up site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t>4.1 Complete and store appropriate records and test</w:t>
            </w:r>
            <w:r w:rsidRPr="00550C94">
              <w:t xml:space="preserve"> results according to enterprise policy</w:t>
            </w:r>
          </w:p>
          <w:p w:rsidR="00000000" w:rsidRPr="00550C94" w:rsidP="00550C94">
            <w:pPr>
              <w:pStyle w:val="BodyText"/>
            </w:pPr>
            <w:r w:rsidRPr="00550C94">
              <w:t>4.2 Label radio frequency (RF) transmitter equipment and feedlines according to legislation</w:t>
            </w:r>
          </w:p>
          <w:p w:rsidR="00000000" w:rsidRPr="00550C94" w:rsidP="00550C94">
            <w:pPr>
              <w:pStyle w:val="BodyText"/>
            </w:pPr>
            <w:r w:rsidRPr="00550C94">
              <w:t>4.3 Notify all affected by outage that normal operation can resume</w:t>
            </w:r>
          </w:p>
          <w:p w:rsidR="00000000" w:rsidRPr="00550C94" w:rsidP="00550C94">
            <w:pPr>
              <w:pStyle w:val="BodyText"/>
            </w:pPr>
            <w:r w:rsidRPr="00550C94">
              <w:t>4.4 Clean, pack and store all tools and test equipment, a</w:t>
            </w:r>
            <w:r w:rsidRPr="00550C94">
              <w:t>nd organise transport in suitable protective casing where appropriate</w:t>
            </w:r>
          </w:p>
          <w:p w:rsidR="00000000" w:rsidRPr="00550C94" w:rsidP="00550C94">
            <w:pPr>
              <w:pStyle w:val="BodyText"/>
            </w:pPr>
            <w:r w:rsidRPr="00550C94">
              <w:t>4.5 Restore any changes made to worksite to client’s satisfaction and obtain sign off</w:t>
            </w:r>
          </w:p>
        </w:tc>
      </w:tr>
    </w:tbl>
    <w:p w:rsidR="00000000" w:rsidRPr="00550C94" w:rsidP="00550C94">
      <w:pPr>
        <w:pStyle w:val="BodyText"/>
      </w:pPr>
    </w:p>
    <w:p w:rsidR="00000000" w:rsidRPr="00550C94" w:rsidP="00550C94">
      <w:pPr>
        <w:pStyle w:val="AllowPageBreak"/>
      </w:pPr>
    </w:p>
    <w:p w:rsidR="00000000" w:rsidRPr="00550C94" w:rsidP="00550C94">
      <w:pPr>
        <w:pStyle w:val="Heading1"/>
      </w:pPr>
      <w:bookmarkStart w:id="5" w:name="O_761083"/>
      <w:bookmarkEnd w:id="5"/>
      <w:r w:rsidRPr="00550C94">
        <w:t>Foundation Skills</w:t>
      </w:r>
    </w:p>
    <w:p w:rsidR="00000000" w:rsidRPr="005E462B" w:rsidP="005E462B">
      <w:pPr>
        <w:pStyle w:val="BodyText"/>
        <w:rPr>
          <w:i/>
        </w:rPr>
      </w:pPr>
      <w:r w:rsidRPr="005E462B">
        <w:rPr>
          <w:rStyle w:val="Emphasis"/>
        </w:rPr>
        <w:t>This section describes language, literacy, numeracy and employm</w:t>
      </w:r>
      <w:r w:rsidRPr="005E462B">
        <w:rPr>
          <w:rStyle w:val="Emphasis"/>
        </w:rPr>
        <w:t xml:space="preserve">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984"/>
        <w:gridCol w:w="5052"/>
      </w:tblGrid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Skill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Performance Criteria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Description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Reading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1.1, 1.2, 1.8, 2.2, 2.5, 3.1, 4.1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ListBullet"/>
              <w:rPr>
                <w:lang w:val="en-NZ"/>
              </w:rPr>
            </w:pPr>
            <w:r w:rsidRPr="00550C94">
              <w:t xml:space="preserve">Recognises and </w:t>
            </w:r>
            <w:r w:rsidRPr="00550C94">
              <w:t>interprets textual information from relevant sources to determine specifications, enterprise guidelines, policy and instructional material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Writing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1.4, 1.6, 3.2, 4.1-4.3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ListBullet"/>
              <w:rPr>
                <w:lang w:val="en-NZ"/>
              </w:rPr>
            </w:pPr>
            <w:r w:rsidRPr="00550C94">
              <w:t>Uses clear, specific and industry related terminology to complete and update workpla</w:t>
            </w:r>
            <w:r w:rsidRPr="00550C94">
              <w:t>ce documentation and in written communications with clients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Oral Communication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1.3, 1.4, 1.6, 4.3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ListBullet"/>
            </w:pPr>
            <w:r w:rsidRPr="00550C94">
              <w:t>Uses specific and relevant language to clearly articulate operational and site matters and appropriate tone for successful negotiations</w:t>
            </w:r>
          </w:p>
          <w:p w:rsidR="00000000" w:rsidP="00550C94">
            <w:pPr>
              <w:pStyle w:val="ListBullet"/>
              <w:rPr>
                <w:lang w:val="en-NZ"/>
              </w:rPr>
            </w:pPr>
            <w:r w:rsidRPr="00550C94">
              <w:t>Uses questioning and listening techniques to determine the view and opinions of others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Numeracy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2.6, 3.1, 3.2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ListBullet"/>
              <w:rPr>
                <w:lang w:val="en-NZ"/>
              </w:rPr>
            </w:pPr>
            <w:r w:rsidRPr="00550C94">
              <w:t>Analyses numerical information to evaluate technical data and interpret results, take measurements and correctly calibrate equipment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Navigate t</w:t>
            </w:r>
            <w:r w:rsidRPr="00550C94">
              <w:t>he world of work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1.5, 2.1-2.3, 4.2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ListBullet"/>
            </w:pPr>
            <w:r w:rsidRPr="00550C94">
              <w:t xml:space="preserve">Takes personal responsibility for adherence to legal and regulatory requirements with specific reference to safe industry practices </w:t>
            </w:r>
          </w:p>
          <w:p w:rsidR="00000000" w:rsidP="00550C94">
            <w:pPr>
              <w:pStyle w:val="ListBullet"/>
              <w:rPr>
                <w:lang w:val="en-NZ"/>
              </w:rPr>
            </w:pPr>
            <w:r w:rsidRPr="00550C94">
              <w:t>Understands the main tasks, responsibilities and boundaries of own work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Get the work d</w:t>
            </w:r>
            <w:r w:rsidRPr="00550C94">
              <w:t>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1.1, 1.6-1.8, 2.3-2.5, 3.1, 3.3, 4.1, 4.4, 4.5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ListBullet"/>
            </w:pPr>
            <w:r w:rsidRPr="00550C94">
              <w:t>Determines job priorities, sequences the steps involved in clearly defined and familiar tasks, and identifies and assembles the resources and access required</w:t>
            </w:r>
          </w:p>
          <w:p w:rsidR="00000000" w:rsidRPr="00550C94" w:rsidP="00550C94">
            <w:pPr>
              <w:pStyle w:val="ListBullet"/>
            </w:pPr>
            <w:r w:rsidRPr="00550C94">
              <w:t>Takes responsibility for routine decision making by selecting from a range of predetermined options in routine situations, identifying and taking situational factors into account</w:t>
            </w:r>
          </w:p>
          <w:p w:rsidR="00000000" w:rsidRPr="00550C94" w:rsidP="00550C94">
            <w:pPr>
              <w:pStyle w:val="ListBullet"/>
            </w:pPr>
            <w:r w:rsidRPr="00550C94">
              <w:t>Identifies and implements standard solutions for typical installation challen</w:t>
            </w:r>
            <w:r w:rsidRPr="00550C94">
              <w:t>ges</w:t>
            </w:r>
          </w:p>
          <w:p w:rsidR="00000000" w:rsidRPr="00550C94" w:rsidP="00550C94">
            <w:pPr>
              <w:pStyle w:val="ListBullet"/>
            </w:pPr>
            <w:r w:rsidRPr="00550C94">
              <w:t xml:space="preserve">Follows routine procedures for using digital technology to enter, store and retrieve information directly relevant to own enterprise policy </w:t>
            </w:r>
          </w:p>
        </w:tc>
      </w:tr>
    </w:tbl>
    <w:p w:rsidR="00000000" w:rsidRPr="00550C94" w:rsidP="00550C94">
      <w:pPr>
        <w:pStyle w:val="BodyText"/>
      </w:pPr>
    </w:p>
    <w:p w:rsidR="00000000" w:rsidRPr="00550C94" w:rsidP="00550C94">
      <w:pPr>
        <w:pStyle w:val="AllowPageBreak"/>
      </w:pPr>
    </w:p>
    <w:p w:rsidR="00000000" w:rsidRPr="00550C94" w:rsidP="00550C94">
      <w:pPr>
        <w:pStyle w:val="Heading1"/>
      </w:pPr>
      <w:bookmarkStart w:id="6" w:name="O_761085"/>
      <w:bookmarkEnd w:id="6"/>
      <w:r w:rsidRPr="00550C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rPr>
                <w:rStyle w:val="SpecialBold"/>
              </w:rPr>
              <w:t xml:space="preserve">Code and title </w:t>
            </w:r>
          </w:p>
          <w:p w:rsidR="00000000" w:rsidRPr="00550C94" w:rsidP="00550C94">
            <w:pPr>
              <w:pStyle w:val="BodyText"/>
            </w:pPr>
            <w:r w:rsidRPr="00550C9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rPr>
                <w:rStyle w:val="SpecialBold"/>
              </w:rPr>
              <w:t>Code and title</w:t>
            </w:r>
          </w:p>
          <w:p w:rsidR="00000000" w:rsidRPr="00550C94" w:rsidP="00550C94">
            <w:pPr>
              <w:pStyle w:val="BodyText"/>
            </w:pPr>
            <w:r w:rsidRPr="00550C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rPr>
                <w:rStyle w:val="SpecialBold"/>
              </w:rPr>
              <w:t>Com</w:t>
            </w:r>
            <w:r w:rsidRPr="00550C94">
              <w:rPr>
                <w:rStyle w:val="SpecialBold"/>
              </w:rPr>
              <w:t>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rPr>
                <w:rStyle w:val="SpecialBold"/>
              </w:rPr>
              <w:t>Equivalence status</w:t>
            </w:r>
          </w:p>
        </w:tc>
      </w:tr>
      <w:tr w:rsidTr="00550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ICTRFN301 Install a radio communications antenna and feedline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ICTRFN3055A Install a radio communications antenna and feedline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94">
            <w:pPr>
              <w:pStyle w:val="BodyText"/>
              <w:rPr>
                <w:lang w:val="en-NZ"/>
              </w:rPr>
            </w:pPr>
            <w:r w:rsidRPr="00550C9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94" w:rsidP="00550C94">
            <w:pPr>
              <w:pStyle w:val="BodyText"/>
            </w:pPr>
            <w:r w:rsidRPr="00550C94">
              <w:t>Equivalent unit</w:t>
            </w:r>
          </w:p>
        </w:tc>
      </w:tr>
    </w:tbl>
    <w:p w:rsidR="00000000" w:rsidRPr="00550C94" w:rsidP="00550C94">
      <w:pPr>
        <w:pStyle w:val="BodyText"/>
      </w:pPr>
    </w:p>
    <w:p w:rsidR="00000000" w:rsidRPr="00550C94" w:rsidP="00550C94">
      <w:pPr>
        <w:pStyle w:val="AllowPageBreak"/>
      </w:pPr>
    </w:p>
    <w:p w:rsidR="00000000" w:rsidRPr="00550C94" w:rsidP="00550C94">
      <w:pPr>
        <w:pStyle w:val="Heading1"/>
      </w:pPr>
      <w:bookmarkStart w:id="7" w:name="O_761092"/>
      <w:bookmarkEnd w:id="7"/>
      <w:r w:rsidRPr="00550C94">
        <w:t>Links</w:t>
      </w:r>
    </w:p>
    <w:p w:rsidR="00000000" w:rsidRPr="00550C94" w:rsidP="005E462B">
      <w:pPr>
        <w:pStyle w:val="BodyText"/>
      </w:pPr>
      <w:r w:rsidRPr="00550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0D2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0C94" w:rsidP="00550C94"/>
    <w:sectPr w:rsidSect="00550C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94" w:rsidRPr="005E462B" w:rsidP="005E4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2B" w:rsidP="00550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62B" w:rsidP="00550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462B" w:rsidP="00550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C94" w:rsidRPr="005E462B" w:rsidP="005E4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2B" w:rsidRPr="002D2AF8" w:rsidP="00550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ICTRFN301 Install a radio communications antenna and feedline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E462B" w:rsidP="00550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DA1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822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C94"/>
  </w:style>
  <w:style w:type="character" w:customStyle="1" w:styleId="Heading1Char">
    <w:name w:val="Heading 1 Char"/>
    <w:basedOn w:val="DefaultParagraphFont"/>
    <w:link w:val="Heading1"/>
    <w:rsid w:val="00550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C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C94"/>
    <w:rPr>
      <w:b/>
      <w:spacing w:val="0"/>
    </w:rPr>
  </w:style>
  <w:style w:type="character" w:styleId="Emphasis">
    <w:name w:val="Emphasis"/>
    <w:basedOn w:val="DefaultParagraphFont"/>
    <w:qFormat/>
    <w:rsid w:val="00550C94"/>
    <w:rPr>
      <w:i/>
    </w:rPr>
  </w:style>
  <w:style w:type="paragraph" w:customStyle="1" w:styleId="SuperHeading">
    <w:name w:val="SuperHeading"/>
    <w:basedOn w:val="Normal"/>
    <w:rsid w:val="00550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C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C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0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C94"/>
  </w:style>
  <w:style w:type="paragraph" w:styleId="TableofFigures">
    <w:name w:val="table of figures"/>
    <w:basedOn w:val="Normal"/>
    <w:next w:val="Normal"/>
    <w:semiHidden/>
    <w:rsid w:val="00550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C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0C94"/>
    <w:rPr>
      <w:rFonts w:ascii="Wingdings" w:hAnsi="Wingdings"/>
    </w:rPr>
  </w:style>
  <w:style w:type="paragraph" w:customStyle="1" w:styleId="TableHeading">
    <w:name w:val="Table Heading"/>
    <w:basedOn w:val="HeadingBase"/>
    <w:rsid w:val="00550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C94"/>
    <w:rPr>
      <w:color w:val="0033CC"/>
      <w:u w:val="none"/>
    </w:rPr>
  </w:style>
  <w:style w:type="paragraph" w:customStyle="1" w:styleId="BodyTextRight">
    <w:name w:val="Body Text Right"/>
    <w:basedOn w:val="BodyText"/>
    <w:rsid w:val="00550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C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C94"/>
    <w:rPr>
      <w:sz w:val="32"/>
    </w:rPr>
  </w:style>
  <w:style w:type="paragraph" w:customStyle="1" w:styleId="HeadingProcedure">
    <w:name w:val="Heading Procedure"/>
    <w:basedOn w:val="HeadingBase"/>
    <w:next w:val="Normal"/>
    <w:rsid w:val="00550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C94"/>
    <w:pPr>
      <w:spacing w:before="60" w:after="60"/>
    </w:pPr>
  </w:style>
  <w:style w:type="paragraph" w:styleId="ListContinue">
    <w:name w:val="List Continue"/>
    <w:basedOn w:val="List"/>
    <w:rsid w:val="00550C94"/>
    <w:pPr>
      <w:ind w:firstLine="0"/>
    </w:pPr>
  </w:style>
  <w:style w:type="paragraph" w:customStyle="1" w:styleId="ListNote">
    <w:name w:val="List Note"/>
    <w:basedOn w:val="List"/>
    <w:rsid w:val="00550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C94"/>
    <w:rPr>
      <w:rFonts w:ascii="Courier New" w:hAnsi="Courier New"/>
    </w:rPr>
  </w:style>
  <w:style w:type="paragraph" w:customStyle="1" w:styleId="NoteBullet">
    <w:name w:val="Note Bullet"/>
    <w:basedOn w:val="Note"/>
    <w:rsid w:val="00550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C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C94"/>
    <w:rPr>
      <w:b/>
      <w:smallCaps/>
    </w:rPr>
  </w:style>
  <w:style w:type="paragraph" w:customStyle="1" w:styleId="TableListNumber">
    <w:name w:val="Table List Number"/>
    <w:basedOn w:val="ListNumber"/>
    <w:rsid w:val="00550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C94"/>
    <w:pPr>
      <w:numPr>
        <w:numId w:val="8"/>
      </w:numPr>
    </w:pPr>
  </w:style>
  <w:style w:type="paragraph" w:customStyle="1" w:styleId="ListAlpha2">
    <w:name w:val="List Alpha 2"/>
    <w:basedOn w:val="List2"/>
    <w:rsid w:val="00550C94"/>
    <w:pPr>
      <w:numPr>
        <w:numId w:val="7"/>
      </w:numPr>
    </w:pPr>
  </w:style>
  <w:style w:type="paragraph" w:styleId="List2">
    <w:name w:val="List 2"/>
    <w:basedOn w:val="BodyText"/>
    <w:rsid w:val="00550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C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C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0C94"/>
    <w:pPr>
      <w:numPr>
        <w:numId w:val="3"/>
      </w:numPr>
    </w:pPr>
  </w:style>
  <w:style w:type="paragraph" w:styleId="ListContinue2">
    <w:name w:val="List Continue 2"/>
    <w:basedOn w:val="List2"/>
    <w:rsid w:val="00550C94"/>
    <w:pPr>
      <w:ind w:firstLine="0"/>
    </w:pPr>
  </w:style>
  <w:style w:type="paragraph" w:styleId="ListContinue3">
    <w:name w:val="List Continue 3"/>
    <w:basedOn w:val="List3"/>
    <w:rsid w:val="00550C94"/>
    <w:pPr>
      <w:ind w:left="1021" w:firstLine="0"/>
    </w:pPr>
  </w:style>
  <w:style w:type="paragraph" w:styleId="ListContinue4">
    <w:name w:val="List Continue 4"/>
    <w:basedOn w:val="List4"/>
    <w:rsid w:val="00550C94"/>
    <w:pPr>
      <w:ind w:firstLine="0"/>
    </w:pPr>
  </w:style>
  <w:style w:type="paragraph" w:styleId="ListContinue5">
    <w:name w:val="List Continue 5"/>
    <w:basedOn w:val="List5"/>
    <w:rsid w:val="00550C94"/>
    <w:pPr>
      <w:ind w:firstLine="0"/>
    </w:pPr>
  </w:style>
  <w:style w:type="paragraph" w:styleId="ListNumber3">
    <w:name w:val="List Number 3"/>
    <w:basedOn w:val="List3"/>
    <w:rsid w:val="00550C94"/>
    <w:pPr>
      <w:numPr>
        <w:numId w:val="4"/>
      </w:numPr>
    </w:pPr>
  </w:style>
  <w:style w:type="paragraph" w:styleId="ListNumber4">
    <w:name w:val="List Number 4"/>
    <w:basedOn w:val="List4"/>
    <w:rsid w:val="00550C94"/>
    <w:pPr>
      <w:numPr>
        <w:numId w:val="5"/>
      </w:numPr>
    </w:pPr>
  </w:style>
  <w:style w:type="paragraph" w:styleId="ListNumber5">
    <w:name w:val="List Number 5"/>
    <w:basedOn w:val="List5"/>
    <w:rsid w:val="00550C94"/>
    <w:pPr>
      <w:numPr>
        <w:numId w:val="6"/>
      </w:numPr>
    </w:pPr>
  </w:style>
  <w:style w:type="paragraph" w:styleId="BlockText">
    <w:name w:val="Block Text"/>
    <w:basedOn w:val="Normal"/>
    <w:rsid w:val="00550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C94"/>
    <w:rPr>
      <w:sz w:val="16"/>
      <w:vertAlign w:val="superscript"/>
    </w:rPr>
  </w:style>
  <w:style w:type="character" w:customStyle="1" w:styleId="Symbols">
    <w:name w:val="Symbols"/>
    <w:basedOn w:val="DefaultParagraphFont"/>
    <w:rsid w:val="00550C94"/>
    <w:rPr>
      <w:rFonts w:ascii="Symbol" w:hAnsi="Symbol"/>
    </w:rPr>
  </w:style>
  <w:style w:type="character" w:customStyle="1" w:styleId="MenuOptions">
    <w:name w:val="Menu Options"/>
    <w:basedOn w:val="DefaultParagraphFont"/>
    <w:rsid w:val="00550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C94"/>
    <w:rPr>
      <w:b/>
    </w:rPr>
  </w:style>
  <w:style w:type="character" w:customStyle="1" w:styleId="Underlined">
    <w:name w:val="Underlined"/>
    <w:basedOn w:val="DefaultParagraphFont"/>
    <w:rsid w:val="00550C94"/>
    <w:rPr>
      <w:u w:val="single"/>
    </w:rPr>
  </w:style>
  <w:style w:type="paragraph" w:customStyle="1" w:styleId="TableBodyTextRight">
    <w:name w:val="Table Body Text Right"/>
    <w:basedOn w:val="TableBodyText"/>
    <w:rsid w:val="00550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C94"/>
    <w:rPr>
      <w:sz w:val="18"/>
    </w:rPr>
  </w:style>
  <w:style w:type="paragraph" w:customStyle="1" w:styleId="BodySmallRight">
    <w:name w:val="Body Small Right"/>
    <w:basedOn w:val="BodyTextRight"/>
    <w:rsid w:val="00550C94"/>
    <w:rPr>
      <w:sz w:val="18"/>
      <w:szCs w:val="18"/>
    </w:rPr>
  </w:style>
  <w:style w:type="paragraph" w:customStyle="1" w:styleId="MarginEdition">
    <w:name w:val="Margin Edition"/>
    <w:basedOn w:val="MarginNote"/>
    <w:rsid w:val="00550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C94"/>
    <w:rPr>
      <w:sz w:val="2"/>
      <w:szCs w:val="2"/>
    </w:rPr>
  </w:style>
  <w:style w:type="character" w:customStyle="1" w:styleId="Small">
    <w:name w:val="Small"/>
    <w:basedOn w:val="DefaultParagraphFont"/>
    <w:rsid w:val="00550C94"/>
    <w:rPr>
      <w:sz w:val="16"/>
    </w:rPr>
  </w:style>
  <w:style w:type="paragraph" w:customStyle="1" w:styleId="WideTable">
    <w:name w:val="Wide Table"/>
    <w:basedOn w:val="Normal"/>
    <w:rsid w:val="00550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C94"/>
  </w:style>
  <w:style w:type="paragraph" w:styleId="Quote">
    <w:name w:val="Quote"/>
    <w:basedOn w:val="Heading1"/>
    <w:link w:val="QuoteChar"/>
    <w:qFormat/>
    <w:rsid w:val="00550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C94"/>
    <w:pPr>
      <w:pageBreakBefore/>
    </w:pPr>
  </w:style>
  <w:style w:type="paragraph" w:customStyle="1" w:styleId="Border">
    <w:name w:val="Border"/>
    <w:basedOn w:val="Normal"/>
    <w:qFormat/>
    <w:rsid w:val="00550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C94"/>
    <w:rPr>
      <w:u w:val="single"/>
    </w:rPr>
  </w:style>
  <w:style w:type="character" w:customStyle="1" w:styleId="BoldandItalics">
    <w:name w:val="Bold and Italics"/>
    <w:qFormat/>
    <w:rsid w:val="00550C94"/>
    <w:rPr>
      <w:b/>
      <w:i/>
      <w:u w:val="none"/>
    </w:rPr>
  </w:style>
  <w:style w:type="paragraph" w:styleId="BalloonText">
    <w:name w:val="Balloon Text"/>
    <w:basedOn w:val="Normal"/>
    <w:link w:val="BalloonTextChar"/>
    <w:rsid w:val="00550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C94"/>
    <w:pPr>
      <w:spacing w:before="0" w:after="0"/>
    </w:pPr>
  </w:style>
  <w:style w:type="paragraph" w:customStyle="1" w:styleId="BodyTextBold">
    <w:name w:val="Body Text Bold"/>
    <w:basedOn w:val="BodyText"/>
    <w:qFormat/>
    <w:rsid w:val="00550C94"/>
    <w:rPr>
      <w:b/>
    </w:rPr>
  </w:style>
  <w:style w:type="character" w:styleId="Hyperlink">
    <w:name w:val="Hyperlink"/>
    <w:basedOn w:val="DefaultParagraphFont"/>
    <w:uiPriority w:val="99"/>
    <w:unhideWhenUsed/>
    <w:rsid w:val="005E46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5187</Characters>
  <Application>Microsoft Office Word</Application>
  <DocSecurity>0</DocSecurity>
  <Lines>192</Lines>
  <Paragraphs>101</Paragraphs>
  <ScaleCrop>false</ScaleCrop>
  <Company>Author-it Software Corporation Ltd.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ICTRFN301 Install a radio communications antenna and feedline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