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3FF" w:rsidP="009D0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ICTPRG541 Monitor and support data conversion to new ICT systems</w:t>
      </w:r>
      <w:r>
        <w:fldChar w:fldCharType="end"/>
      </w:r>
    </w:p>
    <w:p w:rsidR="009D03FF" w:rsidP="009D03FF">
      <w:pPr>
        <w:pStyle w:val="Version"/>
        <w:sectPr w:rsidSect="00B72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138" w:rsidP="00B72138">
      <w:pPr>
        <w:pStyle w:val="SuperHeading"/>
      </w:pPr>
      <w:r w:rsidRPr="00B72138">
        <w:t>ICTPRG541 Monitor and support data conversion to new ICT systems</w:t>
      </w:r>
    </w:p>
    <w:p w:rsidR="00000000" w:rsidRPr="00B72138" w:rsidP="00B72138">
      <w:pPr>
        <w:pStyle w:val="Heading1"/>
      </w:pPr>
      <w:bookmarkStart w:id="1" w:name="O_1095431"/>
      <w:bookmarkEnd w:id="1"/>
      <w:r w:rsidRPr="00B721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BodyText"/>
            </w:pPr>
            <w:r w:rsidRPr="00B7213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rPr>
                <w:rStyle w:val="SpecialBold"/>
              </w:rPr>
              <w:t>Comments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BodyText"/>
            </w:pPr>
            <w:r w:rsidRPr="00B72138">
              <w:t>This version first released with ICT Information and Communications Technology Training Package Version 6.0.</w:t>
            </w:r>
          </w:p>
        </w:tc>
      </w:tr>
    </w:tbl>
    <w:p w:rsidR="00000000" w:rsidRPr="00B72138" w:rsidP="00B72138">
      <w:pPr>
        <w:pStyle w:val="BodyText"/>
      </w:pPr>
    </w:p>
    <w:p w:rsidR="00000000" w:rsidRPr="00B72138" w:rsidP="00B72138">
      <w:pPr>
        <w:pStyle w:val="AllowPageBreak"/>
      </w:pPr>
    </w:p>
    <w:p w:rsidR="00000000" w:rsidRPr="00B72138" w:rsidP="00B72138">
      <w:pPr>
        <w:pStyle w:val="Heading1"/>
      </w:pPr>
      <w:bookmarkStart w:id="2" w:name="O_1095436"/>
      <w:bookmarkEnd w:id="2"/>
      <w:r w:rsidRPr="00B72138">
        <w:t>Application</w:t>
      </w:r>
    </w:p>
    <w:p w:rsidR="00000000" w:rsidRPr="00B72138" w:rsidP="009D03FF">
      <w:pPr>
        <w:pStyle w:val="BodyText"/>
      </w:pPr>
      <w:r w:rsidRPr="00B72138">
        <w:t>This unit describes the skills and knowledge required to monitor and support data conversion to a new Information and Communications Technology (ICT) system.</w:t>
      </w:r>
    </w:p>
    <w:p w:rsidR="00000000" w:rsidRPr="00B72138" w:rsidP="009D03FF">
      <w:pPr>
        <w:pStyle w:val="BodyText"/>
      </w:pPr>
      <w:r w:rsidRPr="00B72138">
        <w:t>It applies to software developers who are required to convert data on new ICT</w:t>
      </w:r>
      <w:r w:rsidRPr="00B72138">
        <w:t xml:space="preserve"> systems.</w:t>
      </w:r>
    </w:p>
    <w:p w:rsidR="00000000" w:rsidRPr="00B72138" w:rsidP="009D03FF">
      <w:pPr>
        <w:pStyle w:val="BodyText"/>
      </w:pPr>
      <w:r w:rsidRPr="00B72138">
        <w:t>No licensing, legislative or certification requirements apply to this unit at the time of publication.</w:t>
      </w:r>
    </w:p>
    <w:p w:rsidR="00000000" w:rsidRPr="00B72138" w:rsidP="00B72138">
      <w:pPr>
        <w:pStyle w:val="Heading1"/>
      </w:pPr>
      <w:bookmarkStart w:id="3" w:name="O_1095435"/>
      <w:bookmarkEnd w:id="3"/>
      <w:r w:rsidRPr="00B72138">
        <w:t>Unit Sector</w:t>
      </w:r>
    </w:p>
    <w:p w:rsidR="00000000" w:rsidRPr="00B72138" w:rsidP="009D03FF">
      <w:pPr>
        <w:pStyle w:val="BodyText"/>
      </w:pPr>
      <w:r w:rsidRPr="00B72138">
        <w:t>Programming and software development</w:t>
      </w:r>
    </w:p>
    <w:p w:rsidR="00000000" w:rsidRPr="00B72138" w:rsidP="00B72138">
      <w:pPr>
        <w:pStyle w:val="Heading1"/>
      </w:pPr>
      <w:bookmarkStart w:id="4" w:name="O_1095434"/>
      <w:bookmarkEnd w:id="4"/>
      <w:r w:rsidRPr="00B721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3"/>
        <w:gridCol w:w="6543"/>
      </w:tblGrid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BodyText"/>
            </w:pPr>
            <w:r w:rsidRPr="00B7213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rPr>
                <w:rStyle w:val="SpecialBold"/>
              </w:rPr>
              <w:t>PERFORMANCE CR</w:t>
            </w:r>
            <w:r w:rsidRPr="00B72138">
              <w:rPr>
                <w:rStyle w:val="SpecialBold"/>
              </w:rPr>
              <w:t>ITERIA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BodyText"/>
            </w:pPr>
            <w:r w:rsidRPr="00B721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List"/>
              <w:rPr>
                <w:lang w:val="en-NZ"/>
              </w:rPr>
            </w:pPr>
            <w:r w:rsidRPr="00B72138">
              <w:t>1. Prepare to monitor data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List"/>
            </w:pPr>
            <w:r w:rsidRPr="00B72138">
              <w:t xml:space="preserve">1.1 Determine organisational monitoring and support requirements </w:t>
            </w:r>
          </w:p>
          <w:p w:rsidR="00000000" w:rsidRPr="00B72138" w:rsidP="00B72138">
            <w:pPr>
              <w:pStyle w:val="List"/>
            </w:pPr>
            <w:r w:rsidRPr="00B72138">
              <w:t>1.2 Obtain and analyse conversion supporting documentation from required personnel</w:t>
            </w:r>
          </w:p>
          <w:p w:rsidR="00000000" w:rsidRPr="00B72138" w:rsidP="00B72138">
            <w:pPr>
              <w:pStyle w:val="List"/>
            </w:pPr>
            <w:r w:rsidRPr="00B72138">
              <w:t>1.3 Determine and document monitoring and support conversion plan according to organisational requirements</w:t>
            </w:r>
          </w:p>
          <w:p w:rsidR="00000000" w:rsidP="00B72138">
            <w:pPr>
              <w:pStyle w:val="List"/>
              <w:rPr>
                <w:lang w:val="en-NZ"/>
              </w:rPr>
            </w:pPr>
            <w:r w:rsidRPr="00B72138">
              <w:t>1.4 Determine software, hardware and environmental prerequisites i</w:t>
            </w:r>
            <w:r w:rsidRPr="00B72138">
              <w:t xml:space="preserve">n conversion plan 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List"/>
              <w:rPr>
                <w:lang w:val="en-NZ"/>
              </w:rPr>
            </w:pPr>
            <w:r w:rsidRPr="00B72138">
              <w:t>2. Monitor data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List"/>
            </w:pPr>
            <w:r w:rsidRPr="00B72138">
              <w:t xml:space="preserve">2.1 Backup production data according to conversion plan </w:t>
            </w:r>
          </w:p>
          <w:p w:rsidR="00000000" w:rsidRPr="00B72138" w:rsidP="00B72138">
            <w:pPr>
              <w:pStyle w:val="List"/>
            </w:pPr>
            <w:r w:rsidRPr="00B72138">
              <w:t>2.2 Validate data accuracy and integrity according to conversion specifications</w:t>
            </w:r>
          </w:p>
          <w:p w:rsidR="00000000" w:rsidRPr="00B72138" w:rsidP="00B72138">
            <w:pPr>
              <w:pStyle w:val="List"/>
            </w:pPr>
            <w:r w:rsidRPr="00B72138">
              <w:t xml:space="preserve">2.3 Identify data rejected by conversion tools, and conduct conversion </w:t>
            </w:r>
            <w:r w:rsidRPr="00B72138">
              <w:t>p</w:t>
            </w:r>
            <w:r w:rsidRPr="00B72138">
              <w:t>lan actions</w:t>
            </w:r>
          </w:p>
          <w:p w:rsidR="00000000" w:rsidP="00B72138">
            <w:pPr>
              <w:pStyle w:val="List"/>
              <w:rPr>
                <w:lang w:val="en-NZ"/>
              </w:rPr>
            </w:pPr>
            <w:r w:rsidRPr="00B72138">
              <w:t xml:space="preserve">2.4 Document data rejection and errant behaviour of conversion process according to organisational requirements 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List"/>
              <w:rPr>
                <w:lang w:val="en-NZ"/>
              </w:rPr>
            </w:pPr>
            <w:r w:rsidRPr="00B72138">
              <w:t>3. Support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List"/>
            </w:pPr>
            <w:r w:rsidRPr="00B72138">
              <w:t xml:space="preserve">3.1 Demonstrate, document and verify conversion results against conversion plan </w:t>
            </w:r>
          </w:p>
          <w:p w:rsidR="00000000" w:rsidRPr="00B72138" w:rsidP="00B72138">
            <w:pPr>
              <w:pStyle w:val="List"/>
            </w:pPr>
            <w:r w:rsidRPr="00B72138">
              <w:t xml:space="preserve">3.2 Submit documentation to required personnel, seek and respond to feedback </w:t>
            </w:r>
          </w:p>
          <w:p w:rsidR="00000000" w:rsidRPr="00B72138" w:rsidP="00B72138">
            <w:pPr>
              <w:pStyle w:val="List"/>
            </w:pPr>
            <w:r w:rsidRPr="00B72138">
              <w:t>3.3 Document backup copies of conversion files according to organisational requirements</w:t>
            </w:r>
          </w:p>
        </w:tc>
      </w:tr>
    </w:tbl>
    <w:p w:rsidR="00000000" w:rsidRPr="00B72138" w:rsidP="00B72138">
      <w:pPr>
        <w:pStyle w:val="BodyText"/>
      </w:pPr>
    </w:p>
    <w:p w:rsidR="00000000" w:rsidRPr="00B72138" w:rsidP="00B72138">
      <w:pPr>
        <w:pStyle w:val="AllowPageBreak"/>
      </w:pPr>
    </w:p>
    <w:p w:rsidR="00000000" w:rsidRPr="00B72138" w:rsidP="00B72138">
      <w:pPr>
        <w:pStyle w:val="Heading1"/>
      </w:pPr>
      <w:bookmarkStart w:id="5" w:name="O_1095433"/>
      <w:bookmarkEnd w:id="5"/>
      <w:r w:rsidRPr="00B72138">
        <w:t>Foundation Skills</w:t>
      </w:r>
    </w:p>
    <w:p w:rsidR="00000000" w:rsidRPr="009D03FF" w:rsidP="009D03FF">
      <w:pPr>
        <w:pStyle w:val="BodyText"/>
        <w:rPr>
          <w:i/>
        </w:rPr>
      </w:pPr>
      <w:r w:rsidRPr="009D03FF">
        <w:rPr>
          <w:rStyle w:val="Emphasis"/>
        </w:rPr>
        <w:t>This section describes language, literacy, numeracy</w:t>
      </w:r>
      <w:r w:rsidRPr="009D03FF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BodyText"/>
            </w:pPr>
            <w:r w:rsidRPr="00B721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rPr>
                <w:rStyle w:val="SpecialBold"/>
              </w:rPr>
              <w:t>DESCRIPTION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ListBullet"/>
              <w:rPr>
                <w:lang w:val="en-NZ"/>
              </w:rPr>
            </w:pPr>
            <w:r w:rsidRPr="00B72138">
              <w:t xml:space="preserve">Articulates requirements and responsibilities distinctively, using effective communication techniques </w:t>
            </w:r>
            <w:r w:rsidRPr="00B72138">
              <w:t>and industry standard technical language intended for audience and environment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ListBullet"/>
              <w:rPr>
                <w:lang w:val="en-NZ"/>
              </w:rPr>
            </w:pPr>
            <w:r w:rsidRPr="00B72138">
              <w:t xml:space="preserve">Interprets, and critically analyses, complex texts and applies the required strategies in order to construct meaning from the supporting documentation for conversion, </w:t>
            </w:r>
            <w:r w:rsidRPr="00B72138">
              <w:t>and when identifying prerequisites in the plan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ListBullet"/>
              <w:rPr>
                <w:lang w:val="en-NZ"/>
              </w:rPr>
            </w:pPr>
            <w:r w:rsidRPr="00B72138">
              <w:t>Prepares technical workplace documents detailing processes and outcomes that fulfil the expectations of different stakeholders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ListBullet"/>
            </w:pPr>
            <w:r w:rsidRPr="00B72138">
              <w:t xml:space="preserve">Selects, implements and seeks to improve protocols governing </w:t>
            </w:r>
            <w:r w:rsidRPr="00B72138">
              <w:t>communications with clients and co-workers in a range of work contexts</w:t>
            </w:r>
          </w:p>
          <w:p w:rsidR="00000000" w:rsidP="00B72138">
            <w:pPr>
              <w:pStyle w:val="ListBullet"/>
              <w:rPr>
                <w:lang w:val="en-NZ"/>
              </w:rPr>
            </w:pPr>
            <w:r w:rsidRPr="00B72138">
              <w:t>Collaborates with others, sharing information to build strong work groups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ListBullet"/>
              <w:rPr>
                <w:lang w:val="en-NZ"/>
              </w:rPr>
            </w:pPr>
            <w:r w:rsidRPr="00B72138">
              <w:t>Sequences and schedules complex activities, monitors implementation, and manages rele</w:t>
            </w:r>
            <w:r w:rsidRPr="00B72138">
              <w:t>vant communication when taking action to confirm backup before conversion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ListBullet"/>
            </w:pPr>
            <w:r w:rsidRPr="00B72138">
              <w:t xml:space="preserve">Uses systematic, analytical processes in complex, non-routine situations, setting goals, gathering </w:t>
            </w:r>
            <w:r w:rsidRPr="00B72138">
              <w:t>relevant information, and identifying, and evaluating options against the agreed criteria when validating data accuracy and integrity, and when verifying results</w:t>
            </w:r>
          </w:p>
          <w:p w:rsidR="00000000" w:rsidP="00B72138">
            <w:pPr>
              <w:pStyle w:val="ListBullet"/>
              <w:rPr>
                <w:lang w:val="en-NZ"/>
              </w:rPr>
            </w:pPr>
            <w:r w:rsidRPr="00B72138">
              <w:t>Demonstrates knowledge of an increasing range of familiar problems, their symptoms and causes,</w:t>
            </w:r>
            <w:r w:rsidRPr="00B72138">
              <w:t xml:space="preserve"> actively looking for early warning signs, and implementing contingency plans in relation to the data rejected by </w:t>
            </w:r>
            <w:r w:rsidRPr="00B72138">
              <w:t>conversion tools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ListBullet"/>
            </w:pPr>
            <w:r w:rsidRPr="00B72138">
              <w:t>Demonstrates sophisticated knowledge of the principles, concepts, language and practices associated with the dig</w:t>
            </w:r>
            <w:r w:rsidRPr="00B72138">
              <w:t>ital world, and uses these to troubleshoot, and understand, the uses and potential of new technology, when monitoring and supporting data conversion to a new ICT system</w:t>
            </w:r>
          </w:p>
        </w:tc>
      </w:tr>
    </w:tbl>
    <w:p w:rsidR="00000000" w:rsidRPr="00B72138" w:rsidP="00B72138">
      <w:pPr>
        <w:pStyle w:val="BodyText"/>
      </w:pPr>
    </w:p>
    <w:p w:rsidR="00000000" w:rsidRPr="00B72138" w:rsidP="00B72138">
      <w:pPr>
        <w:pStyle w:val="AllowPageBreak"/>
      </w:pPr>
    </w:p>
    <w:p w:rsidR="00000000" w:rsidRPr="00B72138" w:rsidP="00B72138">
      <w:pPr>
        <w:pStyle w:val="Heading1"/>
      </w:pPr>
      <w:bookmarkStart w:id="6" w:name="O_1095432"/>
      <w:bookmarkEnd w:id="6"/>
      <w:r w:rsidRPr="00B72138">
        <w:t>Unit Mapping Information</w:t>
      </w:r>
    </w:p>
    <w:p w:rsidR="00000000" w:rsidRPr="00B72138" w:rsidP="009D03FF">
      <w:pPr>
        <w:pStyle w:val="BodyText"/>
      </w:pPr>
      <w:r w:rsidRPr="00B72138">
        <w:t>Supersedes and is equivalent to ICTPRG511</w:t>
      </w:r>
      <w:r w:rsidRPr="00B72138">
        <w:t xml:space="preserve"> Monitor and support data conversion to new ICT system.</w:t>
      </w:r>
    </w:p>
    <w:p w:rsidR="00000000" w:rsidRPr="00B72138" w:rsidP="00B72138">
      <w:pPr>
        <w:pStyle w:val="Heading1"/>
      </w:pPr>
      <w:bookmarkStart w:id="7" w:name="O_1095425"/>
      <w:bookmarkEnd w:id="7"/>
      <w:r w:rsidRPr="00B72138">
        <w:t>Links</w:t>
      </w:r>
    </w:p>
    <w:p w:rsidR="00000000" w:rsidRPr="00B72138" w:rsidP="009D03FF">
      <w:pPr>
        <w:pStyle w:val="BodyText"/>
      </w:pPr>
      <w:r w:rsidRPr="00B721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01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2138" w:rsidP="009D03FF">
      <w:pPr>
        <w:pStyle w:val="BodyText"/>
        <w:sectPr w:rsidSect="00B721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138" w:rsidP="00B72138">
      <w:pPr>
        <w:pStyle w:val="SuperHeading"/>
      </w:pPr>
      <w:r w:rsidRPr="00B72138">
        <w:t>Assessment Requirements for ICTPRG541 Monitor and support data conversion to new ICT systems</w:t>
      </w:r>
    </w:p>
    <w:p w:rsidR="00000000" w:rsidRPr="00B72138" w:rsidP="00B72138">
      <w:pPr>
        <w:pStyle w:val="Heading1"/>
      </w:pPr>
      <w:bookmarkStart w:id="8" w:name="O_1095427"/>
      <w:bookmarkEnd w:id="8"/>
      <w:r w:rsidRPr="00B721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BodyText"/>
            </w:pPr>
            <w:r w:rsidRPr="00B7213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rPr>
                <w:rStyle w:val="SpecialBold"/>
              </w:rPr>
              <w:t>Comments</w:t>
            </w:r>
          </w:p>
        </w:tc>
      </w:tr>
      <w:tr w:rsidTr="009D0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38">
            <w:pPr>
              <w:pStyle w:val="BodyText"/>
              <w:rPr>
                <w:lang w:val="en-NZ"/>
              </w:rPr>
            </w:pPr>
            <w:r w:rsidRPr="00B7213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38" w:rsidP="00B72138">
            <w:pPr>
              <w:pStyle w:val="BodyText"/>
            </w:pPr>
            <w:r w:rsidRPr="00B72138">
              <w:t>This version first released with ICT Information and Communications Technol</w:t>
            </w:r>
            <w:r w:rsidRPr="00B72138">
              <w:t>ogy Training Package Version 6.0.</w:t>
            </w:r>
          </w:p>
        </w:tc>
      </w:tr>
    </w:tbl>
    <w:p w:rsidR="00000000" w:rsidRPr="00B72138" w:rsidP="00B72138">
      <w:pPr>
        <w:pStyle w:val="BodyText"/>
      </w:pPr>
    </w:p>
    <w:p w:rsidR="00000000" w:rsidRPr="00B72138" w:rsidP="00B72138">
      <w:pPr>
        <w:pStyle w:val="AllowPageBreak"/>
      </w:pPr>
    </w:p>
    <w:p w:rsidR="00000000" w:rsidRPr="00B72138" w:rsidP="00B72138">
      <w:pPr>
        <w:pStyle w:val="Heading1"/>
      </w:pPr>
      <w:bookmarkStart w:id="9" w:name="O_1095430"/>
      <w:bookmarkEnd w:id="9"/>
      <w:r w:rsidRPr="00B72138">
        <w:t>Performance Evidence</w:t>
      </w:r>
    </w:p>
    <w:p w:rsidR="00000000" w:rsidRPr="00B72138" w:rsidP="009D03FF">
      <w:pPr>
        <w:pStyle w:val="BodyText"/>
      </w:pPr>
      <w:r w:rsidRPr="00B72138">
        <w:t xml:space="preserve">The candidate must demonstrate the ability to complete the tasks outlined in the elements, performance criteria and foundation skills of this unit, including evidence </w:t>
      </w:r>
      <w:r w:rsidRPr="00B72138">
        <w:t>of the ability to:</w:t>
      </w:r>
    </w:p>
    <w:p w:rsidR="00000000" w:rsidRPr="00B72138" w:rsidP="00B72138">
      <w:pPr>
        <w:pStyle w:val="ListBullet"/>
      </w:pPr>
      <w:r w:rsidRPr="00B72138">
        <w:t>implement, backup and maintain an organisation’s data conversion on at least one occasion.</w:t>
      </w:r>
    </w:p>
    <w:p w:rsidR="00000000" w:rsidRPr="00B72138" w:rsidP="00B72138">
      <w:pPr>
        <w:pStyle w:val="BodyText"/>
      </w:pPr>
    </w:p>
    <w:p w:rsidR="00000000" w:rsidRPr="00B72138" w:rsidP="009D03FF">
      <w:pPr>
        <w:pStyle w:val="BodyText"/>
      </w:pPr>
      <w:r w:rsidRPr="00B72138">
        <w:t>In the course of the above, the candidate must:</w:t>
      </w:r>
    </w:p>
    <w:p w:rsidR="00000000" w:rsidRPr="00B72138" w:rsidP="00B72138">
      <w:pPr>
        <w:pStyle w:val="ListBullet"/>
      </w:pPr>
      <w:r w:rsidRPr="00B72138">
        <w:t>document processes and outcomes.</w:t>
      </w:r>
    </w:p>
    <w:p w:rsidR="00000000" w:rsidRPr="00B72138" w:rsidP="00B72138">
      <w:pPr>
        <w:pStyle w:val="AllowPageBreak"/>
      </w:pPr>
    </w:p>
    <w:p w:rsidR="00000000" w:rsidRPr="00B72138" w:rsidP="00B72138">
      <w:pPr>
        <w:pStyle w:val="Heading1"/>
      </w:pPr>
      <w:bookmarkStart w:id="10" w:name="O_1095429"/>
      <w:bookmarkEnd w:id="10"/>
      <w:r w:rsidRPr="00B72138">
        <w:t>Knowledge Evidence</w:t>
      </w:r>
    </w:p>
    <w:p w:rsidR="00000000" w:rsidRPr="00B72138" w:rsidP="009D03FF">
      <w:pPr>
        <w:pStyle w:val="BodyText"/>
      </w:pPr>
      <w:r w:rsidRPr="00B72138">
        <w:t>The candidate must be able to demonstrate knowledge to complete the tasks outlined in the elements, performance criteria and foundation skills of this unit, including knowledge of:</w:t>
      </w:r>
    </w:p>
    <w:p w:rsidR="00000000" w:rsidRPr="00B72138" w:rsidP="00B72138">
      <w:pPr>
        <w:pStyle w:val="ListBullet"/>
      </w:pPr>
      <w:r w:rsidRPr="00B72138">
        <w:t>industry standard data modelling methodologies required to monitor and sup</w:t>
      </w:r>
      <w:r w:rsidRPr="00B72138">
        <w:t>port data conversion</w:t>
      </w:r>
    </w:p>
    <w:p w:rsidR="00000000" w:rsidRPr="00B72138" w:rsidP="00B72138">
      <w:pPr>
        <w:pStyle w:val="ListBullet"/>
      </w:pPr>
      <w:r w:rsidRPr="00B72138">
        <w:t xml:space="preserve">industry standard data conversion tools </w:t>
      </w:r>
    </w:p>
    <w:p w:rsidR="00000000" w:rsidRPr="00B72138" w:rsidP="00B72138">
      <w:pPr>
        <w:pStyle w:val="ListBullet"/>
      </w:pPr>
      <w:r w:rsidRPr="00B72138">
        <w:t>industry standard hardware and software products applicable to monitoring and supporting data conversion</w:t>
      </w:r>
    </w:p>
    <w:p w:rsidR="00000000" w:rsidRPr="00B72138" w:rsidP="00B72138">
      <w:pPr>
        <w:pStyle w:val="ListBullet"/>
      </w:pPr>
      <w:r w:rsidRPr="00B72138">
        <w:t>data conversion from legacy systems.</w:t>
      </w:r>
    </w:p>
    <w:p w:rsidR="00000000" w:rsidRPr="00B72138" w:rsidP="00B72138">
      <w:pPr>
        <w:pStyle w:val="AllowPageBreak"/>
      </w:pPr>
    </w:p>
    <w:p w:rsidR="00000000" w:rsidRPr="00B72138" w:rsidP="00B72138">
      <w:pPr>
        <w:pStyle w:val="Heading1"/>
      </w:pPr>
      <w:bookmarkStart w:id="11" w:name="O_1095428"/>
      <w:bookmarkEnd w:id="11"/>
      <w:r w:rsidRPr="00B72138">
        <w:t>Assessment Conditions</w:t>
      </w:r>
    </w:p>
    <w:p w:rsidR="00000000" w:rsidRPr="00B72138" w:rsidP="009D03FF">
      <w:pPr>
        <w:pStyle w:val="BodyText"/>
      </w:pPr>
      <w:r w:rsidRPr="00B72138">
        <w:t>Skills in t</w:t>
      </w:r>
      <w:r w:rsidRPr="00B72138">
        <w:t xml:space="preserve">his unit must be demonstrated in a workplace or simulated environment where the conditions are typical of those in a working environment in this industry. </w:t>
      </w:r>
    </w:p>
    <w:p w:rsidR="00000000" w:rsidRPr="00B72138" w:rsidP="009D03FF">
      <w:pPr>
        <w:pStyle w:val="BodyText"/>
      </w:pPr>
      <w:r w:rsidRPr="00B72138">
        <w:t>This includes access to:</w:t>
      </w:r>
    </w:p>
    <w:p w:rsidR="00000000" w:rsidRPr="00B72138" w:rsidP="00B72138">
      <w:pPr>
        <w:pStyle w:val="ListBullet"/>
      </w:pPr>
      <w:r w:rsidRPr="00B72138">
        <w:t>documentation guidelines</w:t>
      </w:r>
    </w:p>
    <w:p w:rsidR="00000000" w:rsidRPr="00B72138" w:rsidP="00B72138">
      <w:pPr>
        <w:pStyle w:val="ListBullet"/>
      </w:pPr>
      <w:r w:rsidRPr="00B72138">
        <w:t>sample data to be converted</w:t>
      </w:r>
    </w:p>
    <w:p w:rsidR="00000000" w:rsidRPr="00B72138" w:rsidP="00B72138">
      <w:pPr>
        <w:pStyle w:val="ListBullet"/>
      </w:pPr>
      <w:r w:rsidRPr="00B72138">
        <w:t>data conversion tools</w:t>
      </w:r>
      <w:r w:rsidRPr="00B72138">
        <w:t>.</w:t>
      </w:r>
    </w:p>
    <w:p w:rsidR="00000000" w:rsidRPr="00B72138" w:rsidP="00B72138">
      <w:pPr>
        <w:pStyle w:val="BodyText"/>
      </w:pPr>
    </w:p>
    <w:p w:rsidR="00000000" w:rsidRPr="00B72138" w:rsidP="009D03FF">
      <w:pPr>
        <w:pStyle w:val="BodyText"/>
      </w:pPr>
      <w:r w:rsidRPr="00B72138">
        <w:t>Assessors of this unit must satisfy the requirements for assessors in applicable vocational education and training legislation, frameworks and/or standards.</w:t>
      </w:r>
    </w:p>
    <w:p w:rsidR="00000000" w:rsidRPr="00B72138" w:rsidP="00B72138">
      <w:pPr>
        <w:pStyle w:val="Heading1"/>
      </w:pPr>
      <w:bookmarkStart w:id="12" w:name="O_1095426"/>
      <w:bookmarkEnd w:id="12"/>
      <w:r w:rsidRPr="00B72138">
        <w:t>Links</w:t>
      </w:r>
    </w:p>
    <w:p w:rsidR="00000000" w:rsidRPr="00B72138" w:rsidP="009D03FF">
      <w:pPr>
        <w:pStyle w:val="BodyText"/>
      </w:pPr>
      <w:r w:rsidRPr="00B721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01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2138" w:rsidP="00B72138"/>
    <w:sectPr w:rsidSect="00B721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8" w:rsidRPr="009D03FF" w:rsidP="009D0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FF" w:rsidP="00B72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3FF" w:rsidP="00B72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03FF" w:rsidP="00B721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8" w:rsidP="00B72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3FF">
      <w:t>Approved</w:t>
    </w:r>
    <w:r w:rsidR="009D03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3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3FF">
      <w:rPr>
        <w:noProof/>
      </w:rPr>
      <w:t>4</w:t>
    </w:r>
    <w:r>
      <w:rPr>
        <w:noProof/>
      </w:rPr>
      <w:fldChar w:fldCharType="end"/>
    </w:r>
  </w:p>
  <w:p w:rsidR="00B72138" w:rsidP="00B72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3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3FF">
      <w:t>Future Skills Organisation</w:t>
    </w:r>
    <w:r w:rsidR="009D03FF">
      <w:fldChar w:fldCharType="end"/>
    </w:r>
  </w:p>
  <w:p w:rsidR="00B72138" w:rsidP="00B72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138" w:rsidRPr="009D03FF" w:rsidP="009D0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FF" w:rsidRPr="002D2AF8" w:rsidP="00B72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ICTPRG541 Monitor and support data conversion to new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3FF" w:rsidP="00B721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38" w:rsidRPr="002D2AF8" w:rsidP="00B72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3FF">
      <w:t>ICTPRG541 Monitor and support data conversion to new ICT systems</w:t>
    </w:r>
    <w:r w:rsidR="009D03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3FF">
      <w:rPr>
        <w:noProof/>
      </w:rPr>
      <w:t>2 March 2025</w:t>
    </w:r>
    <w:r>
      <w:fldChar w:fldCharType="end"/>
    </w:r>
  </w:p>
  <w:p w:rsidR="00B72138" w:rsidP="00B72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F0A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B47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138"/>
  </w:style>
  <w:style w:type="character" w:customStyle="1" w:styleId="Heading1Char">
    <w:name w:val="Heading 1 Char"/>
    <w:basedOn w:val="DefaultParagraphFont"/>
    <w:link w:val="Heading1"/>
    <w:rsid w:val="00B72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1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21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21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138"/>
    <w:rPr>
      <w:b/>
      <w:spacing w:val="0"/>
    </w:rPr>
  </w:style>
  <w:style w:type="character" w:styleId="Emphasis">
    <w:name w:val="Emphasis"/>
    <w:basedOn w:val="DefaultParagraphFont"/>
    <w:qFormat/>
    <w:rsid w:val="00B72138"/>
    <w:rPr>
      <w:i/>
    </w:rPr>
  </w:style>
  <w:style w:type="paragraph" w:customStyle="1" w:styleId="SuperHeading">
    <w:name w:val="SuperHeading"/>
    <w:basedOn w:val="Normal"/>
    <w:rsid w:val="00B72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1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2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1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1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138"/>
  </w:style>
  <w:style w:type="paragraph" w:styleId="TableofFigures">
    <w:name w:val="table of figures"/>
    <w:basedOn w:val="Normal"/>
    <w:next w:val="Normal"/>
    <w:semiHidden/>
    <w:rsid w:val="00B72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1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138"/>
    <w:rPr>
      <w:rFonts w:ascii="Wingdings" w:hAnsi="Wingdings"/>
    </w:rPr>
  </w:style>
  <w:style w:type="paragraph" w:customStyle="1" w:styleId="TableHeading">
    <w:name w:val="Table Heading"/>
    <w:basedOn w:val="HeadingBase"/>
    <w:rsid w:val="00B72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138"/>
    <w:rPr>
      <w:color w:val="0033CC"/>
      <w:u w:val="none"/>
    </w:rPr>
  </w:style>
  <w:style w:type="paragraph" w:customStyle="1" w:styleId="BodyTextRight">
    <w:name w:val="Body Text Right"/>
    <w:basedOn w:val="BodyText"/>
    <w:rsid w:val="00B72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1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138"/>
    <w:rPr>
      <w:sz w:val="32"/>
    </w:rPr>
  </w:style>
  <w:style w:type="paragraph" w:customStyle="1" w:styleId="HeadingProcedure">
    <w:name w:val="Heading Procedure"/>
    <w:basedOn w:val="HeadingBase"/>
    <w:next w:val="Normal"/>
    <w:rsid w:val="00B72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138"/>
    <w:pPr>
      <w:spacing w:before="60" w:after="60"/>
    </w:pPr>
  </w:style>
  <w:style w:type="paragraph" w:styleId="ListContinue">
    <w:name w:val="List Continue"/>
    <w:basedOn w:val="List"/>
    <w:rsid w:val="00B72138"/>
    <w:pPr>
      <w:ind w:firstLine="0"/>
    </w:pPr>
  </w:style>
  <w:style w:type="paragraph" w:customStyle="1" w:styleId="ListNote">
    <w:name w:val="List Note"/>
    <w:basedOn w:val="List"/>
    <w:rsid w:val="00B72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138"/>
    <w:rPr>
      <w:rFonts w:ascii="Courier New" w:hAnsi="Courier New"/>
    </w:rPr>
  </w:style>
  <w:style w:type="paragraph" w:customStyle="1" w:styleId="NoteBullet">
    <w:name w:val="Note Bullet"/>
    <w:basedOn w:val="Note"/>
    <w:rsid w:val="00B72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1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138"/>
    <w:rPr>
      <w:b/>
      <w:smallCaps/>
    </w:rPr>
  </w:style>
  <w:style w:type="paragraph" w:customStyle="1" w:styleId="TableListNumber">
    <w:name w:val="Table List Number"/>
    <w:basedOn w:val="ListNumber"/>
    <w:rsid w:val="00B72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138"/>
    <w:pPr>
      <w:numPr>
        <w:numId w:val="8"/>
      </w:numPr>
    </w:pPr>
  </w:style>
  <w:style w:type="paragraph" w:customStyle="1" w:styleId="ListAlpha2">
    <w:name w:val="List Alpha 2"/>
    <w:basedOn w:val="List2"/>
    <w:rsid w:val="00B72138"/>
    <w:pPr>
      <w:numPr>
        <w:numId w:val="7"/>
      </w:numPr>
    </w:pPr>
  </w:style>
  <w:style w:type="paragraph" w:styleId="List2">
    <w:name w:val="List 2"/>
    <w:basedOn w:val="BodyText"/>
    <w:rsid w:val="00B72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1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1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138"/>
    <w:pPr>
      <w:numPr>
        <w:numId w:val="3"/>
      </w:numPr>
    </w:pPr>
  </w:style>
  <w:style w:type="paragraph" w:styleId="ListContinue2">
    <w:name w:val="List Continue 2"/>
    <w:basedOn w:val="List2"/>
    <w:rsid w:val="00B72138"/>
    <w:pPr>
      <w:ind w:firstLine="0"/>
    </w:pPr>
  </w:style>
  <w:style w:type="paragraph" w:styleId="ListContinue3">
    <w:name w:val="List Continue 3"/>
    <w:basedOn w:val="List3"/>
    <w:rsid w:val="00B72138"/>
    <w:pPr>
      <w:ind w:left="1021" w:firstLine="0"/>
    </w:pPr>
  </w:style>
  <w:style w:type="paragraph" w:styleId="ListContinue4">
    <w:name w:val="List Continue 4"/>
    <w:basedOn w:val="List4"/>
    <w:rsid w:val="00B72138"/>
    <w:pPr>
      <w:ind w:firstLine="0"/>
    </w:pPr>
  </w:style>
  <w:style w:type="paragraph" w:styleId="ListContinue5">
    <w:name w:val="List Continue 5"/>
    <w:basedOn w:val="List5"/>
    <w:rsid w:val="00B72138"/>
    <w:pPr>
      <w:ind w:firstLine="0"/>
    </w:pPr>
  </w:style>
  <w:style w:type="paragraph" w:styleId="ListNumber3">
    <w:name w:val="List Number 3"/>
    <w:basedOn w:val="List3"/>
    <w:rsid w:val="00B72138"/>
    <w:pPr>
      <w:numPr>
        <w:numId w:val="4"/>
      </w:numPr>
    </w:pPr>
  </w:style>
  <w:style w:type="paragraph" w:styleId="ListNumber4">
    <w:name w:val="List Number 4"/>
    <w:basedOn w:val="List4"/>
    <w:rsid w:val="00B72138"/>
    <w:pPr>
      <w:numPr>
        <w:numId w:val="5"/>
      </w:numPr>
    </w:pPr>
  </w:style>
  <w:style w:type="paragraph" w:styleId="ListNumber5">
    <w:name w:val="List Number 5"/>
    <w:basedOn w:val="List5"/>
    <w:rsid w:val="00B72138"/>
    <w:pPr>
      <w:numPr>
        <w:numId w:val="6"/>
      </w:numPr>
    </w:pPr>
  </w:style>
  <w:style w:type="paragraph" w:styleId="BlockText">
    <w:name w:val="Block Text"/>
    <w:basedOn w:val="Normal"/>
    <w:rsid w:val="00B72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138"/>
    <w:rPr>
      <w:sz w:val="16"/>
      <w:vertAlign w:val="superscript"/>
    </w:rPr>
  </w:style>
  <w:style w:type="character" w:customStyle="1" w:styleId="Symbols">
    <w:name w:val="Symbols"/>
    <w:basedOn w:val="DefaultParagraphFont"/>
    <w:rsid w:val="00B72138"/>
    <w:rPr>
      <w:rFonts w:ascii="Symbol" w:hAnsi="Symbol"/>
    </w:rPr>
  </w:style>
  <w:style w:type="character" w:customStyle="1" w:styleId="MenuOptions">
    <w:name w:val="Menu Options"/>
    <w:basedOn w:val="DefaultParagraphFont"/>
    <w:rsid w:val="00B72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138"/>
    <w:rPr>
      <w:b/>
    </w:rPr>
  </w:style>
  <w:style w:type="character" w:customStyle="1" w:styleId="Underlined">
    <w:name w:val="Underlined"/>
    <w:basedOn w:val="DefaultParagraphFont"/>
    <w:rsid w:val="00B72138"/>
    <w:rPr>
      <w:u w:val="single"/>
    </w:rPr>
  </w:style>
  <w:style w:type="paragraph" w:customStyle="1" w:styleId="TableBodyTextRight">
    <w:name w:val="Table Body Text Right"/>
    <w:basedOn w:val="TableBodyText"/>
    <w:rsid w:val="00B72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138"/>
    <w:rPr>
      <w:sz w:val="18"/>
    </w:rPr>
  </w:style>
  <w:style w:type="paragraph" w:customStyle="1" w:styleId="BodySmallRight">
    <w:name w:val="Body Small Right"/>
    <w:basedOn w:val="BodyTextRight"/>
    <w:rsid w:val="00B72138"/>
    <w:rPr>
      <w:sz w:val="18"/>
      <w:szCs w:val="18"/>
    </w:rPr>
  </w:style>
  <w:style w:type="paragraph" w:customStyle="1" w:styleId="MarginEdition">
    <w:name w:val="Margin Edition"/>
    <w:basedOn w:val="MarginNote"/>
    <w:rsid w:val="00B72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138"/>
    <w:rPr>
      <w:sz w:val="2"/>
      <w:szCs w:val="2"/>
    </w:rPr>
  </w:style>
  <w:style w:type="character" w:customStyle="1" w:styleId="Small">
    <w:name w:val="Small"/>
    <w:basedOn w:val="DefaultParagraphFont"/>
    <w:rsid w:val="00B72138"/>
    <w:rPr>
      <w:sz w:val="16"/>
    </w:rPr>
  </w:style>
  <w:style w:type="paragraph" w:customStyle="1" w:styleId="WideTable">
    <w:name w:val="Wide Table"/>
    <w:basedOn w:val="Normal"/>
    <w:rsid w:val="00B72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138"/>
  </w:style>
  <w:style w:type="paragraph" w:styleId="Quote">
    <w:name w:val="Quote"/>
    <w:basedOn w:val="Heading1"/>
    <w:link w:val="QuoteChar"/>
    <w:qFormat/>
    <w:rsid w:val="00B72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138"/>
    <w:pPr>
      <w:pageBreakBefore/>
    </w:pPr>
  </w:style>
  <w:style w:type="paragraph" w:customStyle="1" w:styleId="Border">
    <w:name w:val="Border"/>
    <w:basedOn w:val="Normal"/>
    <w:qFormat/>
    <w:rsid w:val="00B72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138"/>
    <w:rPr>
      <w:u w:val="single"/>
    </w:rPr>
  </w:style>
  <w:style w:type="character" w:customStyle="1" w:styleId="BoldandItalics">
    <w:name w:val="Bold and Italics"/>
    <w:qFormat/>
    <w:rsid w:val="00B72138"/>
    <w:rPr>
      <w:b/>
      <w:i/>
      <w:u w:val="none"/>
    </w:rPr>
  </w:style>
  <w:style w:type="paragraph" w:styleId="BalloonText">
    <w:name w:val="Balloon Text"/>
    <w:basedOn w:val="Normal"/>
    <w:link w:val="BalloonTextChar"/>
    <w:rsid w:val="00B72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138"/>
    <w:pPr>
      <w:spacing w:before="0" w:after="0"/>
    </w:pPr>
  </w:style>
  <w:style w:type="paragraph" w:customStyle="1" w:styleId="BodyTextBold">
    <w:name w:val="Body Text Bold"/>
    <w:basedOn w:val="BodyText"/>
    <w:qFormat/>
    <w:rsid w:val="00B72138"/>
    <w:rPr>
      <w:b/>
    </w:rPr>
  </w:style>
  <w:style w:type="character" w:styleId="Hyperlink">
    <w:name w:val="Hyperlink"/>
    <w:basedOn w:val="DefaultParagraphFont"/>
    <w:uiPriority w:val="99"/>
    <w:unhideWhenUsed/>
    <w:rsid w:val="009D0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5341</Characters>
  <Application>Microsoft Office Word</Application>
  <DocSecurity>0</DocSecurity>
  <Lines>161</Lines>
  <Paragraphs>99</Paragraphs>
  <ScaleCrop>false</ScaleCrop>
  <Company>Author-it Software Corporation Ltd.</Company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ICTPRG541 Monitor and support data conversion to new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