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7838" w:rsidP="004A78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ICTPRG528 Perform ICT data conversion</w:t>
      </w:r>
      <w:r>
        <w:fldChar w:fldCharType="end"/>
      </w:r>
    </w:p>
    <w:p w:rsidR="004A7838" w:rsidP="004A7838">
      <w:pPr>
        <w:pStyle w:val="Version"/>
        <w:sectPr w:rsidSect="005E74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7457" w:rsidP="005E7457">
      <w:pPr>
        <w:pStyle w:val="SuperHeading"/>
      </w:pPr>
      <w:r w:rsidRPr="005E7457">
        <w:t>ICTPRG528 Perform ICT data conversion</w:t>
      </w:r>
    </w:p>
    <w:p w:rsidR="00000000" w:rsidRPr="005E7457" w:rsidP="005E7457">
      <w:pPr>
        <w:pStyle w:val="Heading1"/>
      </w:pPr>
      <w:bookmarkStart w:id="1" w:name="O_673033"/>
      <w:bookmarkEnd w:id="1"/>
      <w:r w:rsidRPr="005E74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E7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457" w:rsidP="005E7457">
            <w:pPr>
              <w:pStyle w:val="BodyText"/>
            </w:pPr>
            <w:r w:rsidRPr="005E745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457">
            <w:pPr>
              <w:pStyle w:val="BodyText"/>
              <w:rPr>
                <w:lang w:val="en-NZ"/>
              </w:rPr>
            </w:pPr>
            <w:r w:rsidRPr="005E7457">
              <w:rPr>
                <w:rStyle w:val="SpecialBold"/>
              </w:rPr>
              <w:t>Comments</w:t>
            </w:r>
          </w:p>
        </w:tc>
      </w:tr>
      <w:tr w:rsidTr="005E7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457">
            <w:pPr>
              <w:pStyle w:val="BodyText"/>
              <w:rPr>
                <w:lang w:val="en-NZ"/>
              </w:rPr>
            </w:pPr>
            <w:r w:rsidRPr="005E745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457" w:rsidP="005E7457">
            <w:pPr>
              <w:pStyle w:val="BodyText"/>
            </w:pPr>
            <w:r w:rsidRPr="005E7457">
              <w:t>This version first released with ICT Information and Communications Technology Training Package Version 1.0.</w:t>
            </w:r>
          </w:p>
        </w:tc>
      </w:tr>
    </w:tbl>
    <w:p w:rsidR="00000000" w:rsidRPr="005E7457" w:rsidP="005E7457">
      <w:pPr>
        <w:pStyle w:val="BodyText"/>
      </w:pPr>
    </w:p>
    <w:p w:rsidR="00000000" w:rsidRPr="005E7457" w:rsidP="005E7457">
      <w:pPr>
        <w:pStyle w:val="AllowPageBreak"/>
      </w:pPr>
    </w:p>
    <w:p w:rsidR="00000000" w:rsidRPr="005E7457" w:rsidP="005E7457">
      <w:pPr>
        <w:pStyle w:val="Heading1"/>
      </w:pPr>
      <w:bookmarkStart w:id="2" w:name="O_673034"/>
      <w:bookmarkEnd w:id="2"/>
      <w:r w:rsidRPr="005E7457">
        <w:t>Application</w:t>
      </w:r>
    </w:p>
    <w:p w:rsidR="00000000" w:rsidRPr="005E7457" w:rsidP="004A7838">
      <w:pPr>
        <w:pStyle w:val="BodyText"/>
      </w:pPr>
      <w:r w:rsidRPr="005E7457">
        <w:t xml:space="preserve">This unit describes the skills and knowledge required to translate </w:t>
      </w:r>
      <w:r w:rsidRPr="005E7457">
        <w:t>information and communications technology (ICT) data from one format to another, by means of a data conversion process.</w:t>
      </w:r>
    </w:p>
    <w:p w:rsidR="00000000" w:rsidRPr="005E7457" w:rsidP="004A7838">
      <w:pPr>
        <w:pStyle w:val="BodyText"/>
      </w:pPr>
      <w:r w:rsidRPr="005E7457">
        <w:t>It applies to individuals in support and implementation roles who are required to convert data from one system to another.</w:t>
      </w:r>
    </w:p>
    <w:p w:rsidR="00000000" w:rsidRPr="005E7457" w:rsidP="004A7838">
      <w:pPr>
        <w:pStyle w:val="BodyText"/>
      </w:pPr>
      <w:r w:rsidRPr="005E7457">
        <w:t>No licensin</w:t>
      </w:r>
      <w:r w:rsidRPr="005E7457">
        <w:t>g, legislative or certification requirements apply to this unit at the time of publication.</w:t>
      </w:r>
    </w:p>
    <w:p w:rsidR="00000000" w:rsidRPr="005E7457" w:rsidP="005E7457">
      <w:pPr>
        <w:pStyle w:val="Heading1"/>
      </w:pPr>
      <w:bookmarkStart w:id="3" w:name="O_673037"/>
      <w:bookmarkEnd w:id="3"/>
      <w:r w:rsidRPr="005E7457">
        <w:t>Unit Sector</w:t>
      </w:r>
    </w:p>
    <w:p w:rsidR="00000000" w:rsidRPr="005E7457" w:rsidP="004A7838">
      <w:pPr>
        <w:pStyle w:val="BodyText"/>
      </w:pPr>
      <w:r w:rsidRPr="005E7457">
        <w:t>Programming and software development</w:t>
      </w:r>
    </w:p>
    <w:p w:rsidR="00000000" w:rsidRPr="005E7457" w:rsidP="005E7457">
      <w:pPr>
        <w:pStyle w:val="Heading1"/>
      </w:pPr>
      <w:bookmarkStart w:id="4" w:name="O_673038"/>
      <w:bookmarkEnd w:id="4"/>
      <w:r w:rsidRPr="005E745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E74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457" w:rsidP="005E7457">
            <w:pPr>
              <w:pStyle w:val="BodyText"/>
            </w:pPr>
            <w:r w:rsidRPr="005E745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457">
            <w:pPr>
              <w:pStyle w:val="BodyText"/>
              <w:rPr>
                <w:lang w:val="en-NZ"/>
              </w:rPr>
            </w:pPr>
            <w:r w:rsidRPr="005E7457">
              <w:rPr>
                <w:rStyle w:val="SpecialBold"/>
              </w:rPr>
              <w:t>PERFORMANCE CRITERIA</w:t>
            </w:r>
          </w:p>
        </w:tc>
      </w:tr>
      <w:tr w:rsidTr="005E74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457" w:rsidP="005E7457">
            <w:pPr>
              <w:pStyle w:val="BodyText"/>
            </w:pPr>
            <w:r w:rsidRPr="005E745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457">
            <w:pPr>
              <w:pStyle w:val="BodyText"/>
              <w:rPr>
                <w:lang w:val="en-NZ"/>
              </w:rPr>
            </w:pPr>
            <w:r w:rsidRPr="005E74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74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457">
            <w:pPr>
              <w:pStyle w:val="BodyText"/>
              <w:rPr>
                <w:lang w:val="en-NZ"/>
              </w:rPr>
            </w:pPr>
            <w:r w:rsidRPr="005E7457">
              <w:t>1. Prepare the system for conversion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457" w:rsidP="005E7457">
            <w:pPr>
              <w:pStyle w:val="BodyText"/>
            </w:pPr>
            <w:r w:rsidRPr="005E7457">
              <w:t>1.1 Obtain the data stores that are subject to conversion</w:t>
            </w:r>
          </w:p>
          <w:p w:rsidR="00000000" w:rsidRPr="005E7457" w:rsidP="005E7457">
            <w:pPr>
              <w:pStyle w:val="BodyText"/>
            </w:pPr>
            <w:r w:rsidRPr="005E7457">
              <w:t>1.2 Protect and confir</w:t>
            </w:r>
            <w:r w:rsidRPr="005E7457">
              <w:t>m backup solutions</w:t>
            </w:r>
          </w:p>
          <w:p w:rsidR="00000000" w:rsidRPr="005E7457" w:rsidP="005E7457">
            <w:pPr>
              <w:pStyle w:val="BodyText"/>
            </w:pPr>
            <w:r w:rsidRPr="005E7457">
              <w:t>1.3 Trial conversion work in an isolated environment, secure from the production system</w:t>
            </w:r>
          </w:p>
          <w:p w:rsidR="00000000" w:rsidRPr="005E7457" w:rsidP="005E7457">
            <w:pPr>
              <w:pStyle w:val="BodyText"/>
            </w:pPr>
            <w:r w:rsidRPr="005E7457">
              <w:t>1.4 Map and document, the required data fields from the old system to the new or upgraded system</w:t>
            </w:r>
          </w:p>
          <w:p w:rsidR="00000000" w:rsidRPr="005E7457" w:rsidP="005E7457">
            <w:pPr>
              <w:pStyle w:val="BodyText"/>
            </w:pPr>
            <w:r w:rsidRPr="005E7457">
              <w:t>1.5 Determine field validation requirements from con</w:t>
            </w:r>
            <w:r w:rsidRPr="005E7457">
              <w:t>version plans, including data field legal ranges</w:t>
            </w:r>
          </w:p>
          <w:p w:rsidR="00000000" w:rsidRPr="005E7457" w:rsidP="005E7457">
            <w:pPr>
              <w:pStyle w:val="BodyText"/>
            </w:pPr>
            <w:r w:rsidRPr="005E7457">
              <w:t>1.6 Determine the actions to be taken with the fields or records that are rejected by the conversion plan</w:t>
            </w:r>
          </w:p>
          <w:p w:rsidR="00000000" w:rsidRPr="005E7457" w:rsidP="005E7457">
            <w:pPr>
              <w:pStyle w:val="BodyText"/>
            </w:pPr>
            <w:r w:rsidRPr="005E7457">
              <w:t>1.7 Consult stakeholders on the creation of a conversion plan</w:t>
            </w:r>
          </w:p>
          <w:p w:rsidR="00000000" w:rsidRPr="005E7457" w:rsidP="005E7457">
            <w:pPr>
              <w:pStyle w:val="BodyText"/>
            </w:pPr>
            <w:r w:rsidRPr="005E7457">
              <w:t xml:space="preserve">1.8 Design the data conversion program </w:t>
            </w:r>
            <w:r w:rsidRPr="005E7457">
              <w:t>modules from the conversion specifications</w:t>
            </w:r>
          </w:p>
          <w:p w:rsidR="00000000" w:rsidRPr="005E7457" w:rsidP="005E7457">
            <w:pPr>
              <w:pStyle w:val="BodyText"/>
            </w:pPr>
            <w:r w:rsidRPr="005E7457">
              <w:t>1.9 Code and test data conversion program modules, according to conversion specifications</w:t>
            </w:r>
          </w:p>
          <w:p w:rsidR="00000000" w:rsidP="005E7457">
            <w:pPr>
              <w:pStyle w:val="BodyText"/>
              <w:rPr>
                <w:lang w:val="en-NZ"/>
              </w:rPr>
            </w:pPr>
            <w:r w:rsidRPr="005E7457">
              <w:t>1.10 Confirm data conversion and test the converted production data</w:t>
            </w:r>
          </w:p>
        </w:tc>
      </w:tr>
      <w:tr w:rsidTr="005E74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457">
            <w:pPr>
              <w:pStyle w:val="BodyText"/>
              <w:rPr>
                <w:lang w:val="en-NZ"/>
              </w:rPr>
            </w:pPr>
            <w:r w:rsidRPr="005E7457">
              <w:t>2. Perform data conversion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457" w:rsidP="005E7457">
            <w:pPr>
              <w:pStyle w:val="BodyText"/>
            </w:pPr>
            <w:r w:rsidRPr="005E7457">
              <w:t>2.1 Estimate and plan for conversion time</w:t>
            </w:r>
          </w:p>
          <w:p w:rsidR="00000000" w:rsidRPr="005E7457" w:rsidP="005E7457">
            <w:pPr>
              <w:pStyle w:val="BodyText"/>
            </w:pPr>
            <w:r w:rsidRPr="005E7457">
              <w:t>2.2 Prepare the production system for data conversion and take off-line</w:t>
            </w:r>
          </w:p>
          <w:p w:rsidR="00000000" w:rsidRPr="005E7457" w:rsidP="005E7457">
            <w:pPr>
              <w:pStyle w:val="BodyText"/>
            </w:pPr>
            <w:r w:rsidRPr="005E7457">
              <w:t>2.3 Undertake action to protect production data</w:t>
            </w:r>
          </w:p>
          <w:p w:rsidR="00000000" w:rsidRPr="005E7457" w:rsidP="005E7457">
            <w:pPr>
              <w:pStyle w:val="BodyText"/>
            </w:pPr>
            <w:r w:rsidRPr="005E7457">
              <w:t>2.4 Take action to ensure minimal disruption to client business requirements during the conver</w:t>
            </w:r>
            <w:r w:rsidRPr="005E7457">
              <w:t>sion process</w:t>
            </w:r>
          </w:p>
          <w:p w:rsidR="00000000" w:rsidRPr="005E7457" w:rsidP="005E7457">
            <w:pPr>
              <w:pStyle w:val="BodyText"/>
            </w:pPr>
            <w:r w:rsidRPr="005E7457">
              <w:t>2.5 Document the data rejected by conversion routines, and the reason for rejection</w:t>
            </w:r>
          </w:p>
          <w:p w:rsidR="00000000" w:rsidRPr="005E7457" w:rsidP="005E7457">
            <w:pPr>
              <w:pStyle w:val="BodyText"/>
            </w:pPr>
            <w:r w:rsidRPr="005E7457">
              <w:t>2.6 Execute the conversion program modules</w:t>
            </w:r>
          </w:p>
          <w:p w:rsidR="00000000" w:rsidRPr="005E7457" w:rsidP="005E7457">
            <w:pPr>
              <w:pStyle w:val="BodyText"/>
            </w:pPr>
            <w:r w:rsidRPr="005E7457">
              <w:t>2.7 Document the results of the conversion process, and report to the appropriate person</w:t>
            </w:r>
          </w:p>
        </w:tc>
      </w:tr>
    </w:tbl>
    <w:p w:rsidR="00000000" w:rsidRPr="005E7457" w:rsidP="005E7457">
      <w:pPr>
        <w:pStyle w:val="BodyText"/>
      </w:pPr>
    </w:p>
    <w:p w:rsidR="00000000" w:rsidRPr="005E7457" w:rsidP="005E7457">
      <w:pPr>
        <w:pStyle w:val="AllowPageBreak"/>
      </w:pPr>
    </w:p>
    <w:p w:rsidR="00000000" w:rsidRPr="005E7457" w:rsidP="005E7457">
      <w:pPr>
        <w:pStyle w:val="Heading1"/>
      </w:pPr>
      <w:bookmarkStart w:id="5" w:name="O_673039"/>
      <w:bookmarkEnd w:id="5"/>
      <w:r w:rsidRPr="005E7457">
        <w:t>Foundati</w:t>
      </w:r>
      <w:r w:rsidRPr="005E7457">
        <w:t>on Skills</w:t>
      </w:r>
    </w:p>
    <w:p w:rsidR="00000000" w:rsidRPr="004A7838" w:rsidP="004A7838">
      <w:pPr>
        <w:pStyle w:val="BodyText"/>
        <w:rPr>
          <w:i/>
        </w:rPr>
      </w:pPr>
      <w:r w:rsidRPr="004A783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5E74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457" w:rsidP="005E7457">
            <w:pPr>
              <w:pStyle w:val="BodyText"/>
            </w:pPr>
            <w:r w:rsidRPr="005E7457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457" w:rsidP="005E7457">
            <w:pPr>
              <w:pStyle w:val="BodyText"/>
            </w:pPr>
            <w:r w:rsidRPr="005E7457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457">
            <w:pPr>
              <w:pStyle w:val="BodyText"/>
              <w:rPr>
                <w:lang w:val="en-NZ"/>
              </w:rPr>
            </w:pPr>
            <w:r w:rsidRPr="005E7457">
              <w:rPr>
                <w:rStyle w:val="SpecialBold"/>
              </w:rPr>
              <w:t>Description</w:t>
            </w:r>
          </w:p>
        </w:tc>
      </w:tr>
      <w:tr w:rsidTr="005E74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457">
            <w:pPr>
              <w:pStyle w:val="BodyText"/>
              <w:rPr>
                <w:lang w:val="en-NZ"/>
              </w:rPr>
            </w:pPr>
            <w:r w:rsidRPr="005E7457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457">
            <w:pPr>
              <w:pStyle w:val="BodyText"/>
              <w:rPr>
                <w:lang w:val="en-NZ"/>
              </w:rPr>
            </w:pPr>
            <w:r w:rsidRPr="005E7457">
              <w:t>1.5, 1.8, 1.9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457">
            <w:pPr>
              <w:pStyle w:val="ListBullet"/>
              <w:rPr>
                <w:lang w:val="en-NZ"/>
              </w:rPr>
            </w:pPr>
            <w:r w:rsidRPr="005E7457">
              <w:t>Interprets and analyses complex technical documentation</w:t>
            </w:r>
          </w:p>
        </w:tc>
      </w:tr>
      <w:tr w:rsidTr="005E74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457">
            <w:pPr>
              <w:pStyle w:val="BodyText"/>
              <w:rPr>
                <w:lang w:val="en-NZ"/>
              </w:rPr>
            </w:pPr>
            <w:r w:rsidRPr="005E7457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457">
            <w:pPr>
              <w:pStyle w:val="BodyText"/>
              <w:rPr>
                <w:lang w:val="en-NZ"/>
              </w:rPr>
            </w:pPr>
            <w:r w:rsidRPr="005E7457">
              <w:t>1.4, 2.5, 2.7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457" w:rsidP="005E7457">
            <w:pPr>
              <w:pStyle w:val="ListBullet"/>
            </w:pPr>
            <w:r w:rsidRPr="005E7457">
              <w:t>Accurately records and completes documentation, according to organisational formats and protocols</w:t>
            </w:r>
          </w:p>
          <w:p w:rsidR="00000000" w:rsidP="005E7457">
            <w:pPr>
              <w:pStyle w:val="ListBullet"/>
              <w:rPr>
                <w:lang w:val="en-NZ"/>
              </w:rPr>
            </w:pPr>
            <w:r w:rsidRPr="005E7457">
              <w:t>Writes, and edits, documents to ensure the accuracy and consistency of informa</w:t>
            </w:r>
            <w:r w:rsidRPr="005E7457">
              <w:t>tion, and clarity of meaning</w:t>
            </w:r>
          </w:p>
        </w:tc>
      </w:tr>
      <w:tr w:rsidTr="005E74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457">
            <w:pPr>
              <w:pStyle w:val="BodyText"/>
              <w:rPr>
                <w:lang w:val="en-NZ"/>
              </w:rPr>
            </w:pPr>
            <w:r w:rsidRPr="005E7457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457">
            <w:pPr>
              <w:pStyle w:val="BodyText"/>
              <w:rPr>
                <w:lang w:val="en-NZ"/>
              </w:rPr>
            </w:pPr>
            <w:r w:rsidRPr="005E7457">
              <w:t>1.7, 2.7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457">
            <w:pPr>
              <w:pStyle w:val="ListBullet"/>
              <w:rPr>
                <w:lang w:val="en-NZ"/>
              </w:rPr>
            </w:pPr>
            <w:r w:rsidRPr="005E7457">
              <w:t>Liaises with others to check own understanding and ensure that the objective is being met</w:t>
            </w:r>
          </w:p>
        </w:tc>
      </w:tr>
      <w:tr w:rsidTr="005E74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457">
            <w:pPr>
              <w:pStyle w:val="BodyText"/>
              <w:rPr>
                <w:lang w:val="en-NZ"/>
              </w:rPr>
            </w:pPr>
            <w:r w:rsidRPr="005E7457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457">
            <w:pPr>
              <w:pStyle w:val="BodyText"/>
              <w:rPr>
                <w:lang w:val="en-NZ"/>
              </w:rPr>
            </w:pPr>
            <w:r w:rsidRPr="005E7457">
              <w:t>1.1, 1.2, 1.3, 1.4, 1.6, 1.8, 1.9, 1.10, 2.1, 2.2, 2.3, 2.4, 2.6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457" w:rsidP="005E7457">
            <w:pPr>
              <w:pStyle w:val="ListBullet"/>
            </w:pPr>
            <w:r w:rsidRPr="005E7457">
              <w:t xml:space="preserve">Takes responsibility for planning, sequencing and prioritising tasks, in order to achieve the required outcomes </w:t>
            </w:r>
          </w:p>
          <w:p w:rsidR="00000000" w:rsidRPr="005E7457" w:rsidP="005E7457">
            <w:pPr>
              <w:pStyle w:val="ListBullet"/>
            </w:pPr>
            <w:r w:rsidRPr="005E7457">
              <w:t>Uses a range of digital tools and sophisticated techniques to meet the desired outcomes</w:t>
            </w:r>
          </w:p>
          <w:p w:rsidR="00000000" w:rsidRPr="005E7457" w:rsidP="005E7457">
            <w:pPr>
              <w:pStyle w:val="ListBullet"/>
            </w:pPr>
            <w:r w:rsidRPr="005E7457">
              <w:t xml:space="preserve">Identifies technical or conceptual issues, and applies </w:t>
            </w:r>
            <w:r w:rsidRPr="005E7457">
              <w:t>analytical processes, to resolve these issues</w:t>
            </w:r>
          </w:p>
          <w:p w:rsidR="00000000" w:rsidRPr="005E7457" w:rsidP="005E7457">
            <w:pPr>
              <w:pStyle w:val="ListBullet"/>
            </w:pPr>
            <w:r w:rsidRPr="005E7457">
              <w:t>Uses analytical and lateral thinking to review current practices, and develop new or improved software or systems</w:t>
            </w:r>
          </w:p>
        </w:tc>
      </w:tr>
    </w:tbl>
    <w:p w:rsidR="00000000" w:rsidRPr="005E7457" w:rsidP="005E7457">
      <w:pPr>
        <w:pStyle w:val="BodyText"/>
      </w:pPr>
    </w:p>
    <w:p w:rsidR="00000000" w:rsidRPr="005E7457" w:rsidP="005E7457">
      <w:pPr>
        <w:pStyle w:val="AllowPageBreak"/>
      </w:pPr>
    </w:p>
    <w:p w:rsidR="00000000" w:rsidRPr="005E7457" w:rsidP="005E7457">
      <w:pPr>
        <w:pStyle w:val="Heading1"/>
      </w:pPr>
      <w:bookmarkStart w:id="6" w:name="O_673041"/>
      <w:bookmarkEnd w:id="6"/>
      <w:r w:rsidRPr="005E745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0"/>
        <w:gridCol w:w="1636"/>
        <w:gridCol w:w="1422"/>
        <w:gridCol w:w="1557"/>
      </w:tblGrid>
      <w:tr w:rsidTr="005E7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7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457" w:rsidP="005E7457">
            <w:pPr>
              <w:pStyle w:val="BodyText"/>
            </w:pPr>
            <w:r w:rsidRPr="005E7457">
              <w:rPr>
                <w:rStyle w:val="SpecialBold"/>
              </w:rPr>
              <w:t>Code and title</w:t>
            </w:r>
          </w:p>
          <w:p w:rsidR="00000000" w:rsidRPr="005E7457" w:rsidP="005E7457">
            <w:pPr>
              <w:pStyle w:val="BodyText"/>
            </w:pPr>
            <w:r w:rsidRPr="005E7457">
              <w:rPr>
                <w:rStyle w:val="SpecialBold"/>
              </w:rPr>
              <w:t>current version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457" w:rsidP="005E7457">
            <w:pPr>
              <w:pStyle w:val="BodyText"/>
            </w:pPr>
            <w:r w:rsidRPr="005E7457">
              <w:rPr>
                <w:rStyle w:val="SpecialBold"/>
              </w:rPr>
              <w:t>Code and title</w:t>
            </w:r>
          </w:p>
          <w:p w:rsidR="00000000" w:rsidRPr="005E7457" w:rsidP="005E7457">
            <w:pPr>
              <w:pStyle w:val="BodyText"/>
            </w:pPr>
            <w:r w:rsidRPr="005E7457">
              <w:rPr>
                <w:rStyle w:val="SpecialBold"/>
              </w:rPr>
              <w:t>previo</w:t>
            </w:r>
            <w:r w:rsidRPr="005E7457">
              <w:rPr>
                <w:rStyle w:val="SpecialBold"/>
              </w:rPr>
              <w:t>us version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457" w:rsidP="005E7457">
            <w:pPr>
              <w:pStyle w:val="BodyText"/>
            </w:pPr>
            <w:r w:rsidRPr="005E7457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457">
            <w:pPr>
              <w:pStyle w:val="BodyText"/>
              <w:rPr>
                <w:lang w:val="en-NZ"/>
              </w:rPr>
            </w:pPr>
            <w:r w:rsidRPr="005E7457">
              <w:rPr>
                <w:rStyle w:val="SpecialBold"/>
              </w:rPr>
              <w:t>Equivalence status</w:t>
            </w:r>
          </w:p>
        </w:tc>
      </w:tr>
      <w:tr w:rsidTr="005E7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457">
            <w:pPr>
              <w:pStyle w:val="BodyText"/>
              <w:rPr>
                <w:lang w:val="en-NZ"/>
              </w:rPr>
            </w:pPr>
            <w:r w:rsidRPr="005E7457">
              <w:t>ICTPRG528 Perform ICT data conversion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457">
            <w:pPr>
              <w:pStyle w:val="BodyText"/>
              <w:rPr>
                <w:lang w:val="en-NZ"/>
              </w:rPr>
            </w:pPr>
            <w:r w:rsidRPr="005E7457">
              <w:t>ICAPRG528A Perform IT data conversion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457" w:rsidP="005E7457">
            <w:pPr>
              <w:pStyle w:val="BodyText"/>
            </w:pPr>
            <w:r w:rsidRPr="005E7457">
              <w:t>Updated to meet Standards for Training Packages.</w:t>
            </w:r>
          </w:p>
          <w:p w:rsidR="00000000" w:rsidRPr="005E7457" w:rsidP="005E7457">
            <w:pPr>
              <w:pStyle w:val="BodyText"/>
            </w:pPr>
          </w:p>
          <w:p w:rsidR="00000000" w:rsidP="005E7457">
            <w:pPr>
              <w:pStyle w:val="BodyText"/>
              <w:rPr>
                <w:lang w:val="en-NZ"/>
              </w:rPr>
            </w:pPr>
            <w:r w:rsidRPr="005E7457">
              <w:t>Minor change to title.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457" w:rsidP="005E7457">
            <w:pPr>
              <w:pStyle w:val="BodyText"/>
            </w:pPr>
            <w:r w:rsidRPr="005E7457">
              <w:t>Equivalent unit</w:t>
            </w:r>
          </w:p>
        </w:tc>
      </w:tr>
    </w:tbl>
    <w:p w:rsidR="00000000" w:rsidRPr="005E7457" w:rsidP="005E7457">
      <w:pPr>
        <w:pStyle w:val="BodyText"/>
      </w:pPr>
    </w:p>
    <w:p w:rsidR="00000000" w:rsidRPr="005E7457" w:rsidP="005E7457">
      <w:pPr>
        <w:pStyle w:val="AllowPageBreak"/>
      </w:pPr>
    </w:p>
    <w:p w:rsidR="00000000" w:rsidRPr="005E7457" w:rsidP="005E7457">
      <w:pPr>
        <w:pStyle w:val="Heading1"/>
      </w:pPr>
      <w:bookmarkStart w:id="7" w:name="O_673048"/>
      <w:bookmarkEnd w:id="7"/>
      <w:r w:rsidRPr="005E7457">
        <w:t>Links</w:t>
      </w:r>
    </w:p>
    <w:p w:rsidR="00000000" w:rsidRPr="005E7457" w:rsidP="004A7838">
      <w:pPr>
        <w:pStyle w:val="BodyText"/>
      </w:pPr>
      <w:r w:rsidRPr="005E745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0D7405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5E7457" w:rsidP="005E7457"/>
    <w:sectPr w:rsidSect="005E74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4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457" w:rsidRPr="004A7838" w:rsidP="004A78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4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838" w:rsidP="005E74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7838" w:rsidP="005E74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A7838" w:rsidP="005E74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4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8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7457" w:rsidRPr="004A7838" w:rsidP="004A78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4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838" w:rsidRPr="002D2AF8" w:rsidP="005E74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ICTPRG528 Perform ICT data conversion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4A7838" w:rsidP="005E74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40C3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0099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4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74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74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74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74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74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74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74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74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74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74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7457"/>
  </w:style>
  <w:style w:type="character" w:customStyle="1" w:styleId="Heading1Char">
    <w:name w:val="Heading 1 Char"/>
    <w:basedOn w:val="DefaultParagraphFont"/>
    <w:link w:val="Heading1"/>
    <w:rsid w:val="005E74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74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74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74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7457"/>
    <w:rPr>
      <w:b/>
      <w:spacing w:val="0"/>
    </w:rPr>
  </w:style>
  <w:style w:type="character" w:styleId="Emphasis">
    <w:name w:val="Emphasis"/>
    <w:basedOn w:val="DefaultParagraphFont"/>
    <w:qFormat/>
    <w:rsid w:val="005E7457"/>
    <w:rPr>
      <w:i/>
    </w:rPr>
  </w:style>
  <w:style w:type="paragraph" w:customStyle="1" w:styleId="SuperHeading">
    <w:name w:val="SuperHeading"/>
    <w:basedOn w:val="Normal"/>
    <w:rsid w:val="005E74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74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74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74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74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74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74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74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74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74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74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74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74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74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74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74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74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74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74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74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74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74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74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74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74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74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74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74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74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74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74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74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74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74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74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74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74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74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7457"/>
  </w:style>
  <w:style w:type="paragraph" w:styleId="TableofFigures">
    <w:name w:val="table of figures"/>
    <w:basedOn w:val="Normal"/>
    <w:next w:val="Normal"/>
    <w:semiHidden/>
    <w:rsid w:val="005E74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74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7457"/>
    <w:rPr>
      <w:rFonts w:ascii="Wingdings" w:hAnsi="Wingdings"/>
    </w:rPr>
  </w:style>
  <w:style w:type="paragraph" w:customStyle="1" w:styleId="TableHeading">
    <w:name w:val="Table Heading"/>
    <w:basedOn w:val="HeadingBase"/>
    <w:rsid w:val="005E74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7457"/>
    <w:rPr>
      <w:color w:val="0033CC"/>
      <w:u w:val="none"/>
    </w:rPr>
  </w:style>
  <w:style w:type="paragraph" w:customStyle="1" w:styleId="BodyTextRight">
    <w:name w:val="Body Text Right"/>
    <w:basedOn w:val="BodyText"/>
    <w:rsid w:val="005E74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74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74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74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74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74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7457"/>
    <w:rPr>
      <w:sz w:val="32"/>
    </w:rPr>
  </w:style>
  <w:style w:type="paragraph" w:customStyle="1" w:styleId="HeadingProcedure">
    <w:name w:val="Heading Procedure"/>
    <w:basedOn w:val="HeadingBase"/>
    <w:next w:val="Normal"/>
    <w:rsid w:val="005E74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7457"/>
    <w:pPr>
      <w:spacing w:before="60" w:after="60"/>
    </w:pPr>
  </w:style>
  <w:style w:type="paragraph" w:styleId="ListContinue">
    <w:name w:val="List Continue"/>
    <w:basedOn w:val="List"/>
    <w:rsid w:val="005E7457"/>
    <w:pPr>
      <w:ind w:firstLine="0"/>
    </w:pPr>
  </w:style>
  <w:style w:type="paragraph" w:customStyle="1" w:styleId="ListNote">
    <w:name w:val="List Note"/>
    <w:basedOn w:val="List"/>
    <w:rsid w:val="005E74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74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74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7457"/>
    <w:rPr>
      <w:rFonts w:ascii="Courier New" w:hAnsi="Courier New"/>
    </w:rPr>
  </w:style>
  <w:style w:type="paragraph" w:customStyle="1" w:styleId="NoteBullet">
    <w:name w:val="Note Bullet"/>
    <w:basedOn w:val="Note"/>
    <w:rsid w:val="005E74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74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74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74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74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74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74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7457"/>
    <w:rPr>
      <w:b/>
      <w:smallCaps/>
    </w:rPr>
  </w:style>
  <w:style w:type="paragraph" w:customStyle="1" w:styleId="TableListNumber">
    <w:name w:val="Table List Number"/>
    <w:basedOn w:val="ListNumber"/>
    <w:rsid w:val="005E74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74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7457"/>
    <w:pPr>
      <w:numPr>
        <w:numId w:val="8"/>
      </w:numPr>
    </w:pPr>
  </w:style>
  <w:style w:type="paragraph" w:customStyle="1" w:styleId="ListAlpha2">
    <w:name w:val="List Alpha 2"/>
    <w:basedOn w:val="List2"/>
    <w:rsid w:val="005E7457"/>
    <w:pPr>
      <w:numPr>
        <w:numId w:val="7"/>
      </w:numPr>
    </w:pPr>
  </w:style>
  <w:style w:type="paragraph" w:styleId="List2">
    <w:name w:val="List 2"/>
    <w:basedOn w:val="BodyText"/>
    <w:rsid w:val="005E74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74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74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74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74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74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7457"/>
    <w:pPr>
      <w:numPr>
        <w:numId w:val="3"/>
      </w:numPr>
    </w:pPr>
  </w:style>
  <w:style w:type="paragraph" w:styleId="ListContinue2">
    <w:name w:val="List Continue 2"/>
    <w:basedOn w:val="List2"/>
    <w:rsid w:val="005E7457"/>
    <w:pPr>
      <w:ind w:firstLine="0"/>
    </w:pPr>
  </w:style>
  <w:style w:type="paragraph" w:styleId="ListContinue3">
    <w:name w:val="List Continue 3"/>
    <w:basedOn w:val="List3"/>
    <w:rsid w:val="005E7457"/>
    <w:pPr>
      <w:ind w:left="1021" w:firstLine="0"/>
    </w:pPr>
  </w:style>
  <w:style w:type="paragraph" w:styleId="ListContinue4">
    <w:name w:val="List Continue 4"/>
    <w:basedOn w:val="List4"/>
    <w:rsid w:val="005E7457"/>
    <w:pPr>
      <w:ind w:firstLine="0"/>
    </w:pPr>
  </w:style>
  <w:style w:type="paragraph" w:styleId="ListContinue5">
    <w:name w:val="List Continue 5"/>
    <w:basedOn w:val="List5"/>
    <w:rsid w:val="005E7457"/>
    <w:pPr>
      <w:ind w:firstLine="0"/>
    </w:pPr>
  </w:style>
  <w:style w:type="paragraph" w:styleId="ListNumber3">
    <w:name w:val="List Number 3"/>
    <w:basedOn w:val="List3"/>
    <w:rsid w:val="005E7457"/>
    <w:pPr>
      <w:numPr>
        <w:numId w:val="4"/>
      </w:numPr>
    </w:pPr>
  </w:style>
  <w:style w:type="paragraph" w:styleId="ListNumber4">
    <w:name w:val="List Number 4"/>
    <w:basedOn w:val="List4"/>
    <w:rsid w:val="005E7457"/>
    <w:pPr>
      <w:numPr>
        <w:numId w:val="5"/>
      </w:numPr>
    </w:pPr>
  </w:style>
  <w:style w:type="paragraph" w:styleId="ListNumber5">
    <w:name w:val="List Number 5"/>
    <w:basedOn w:val="List5"/>
    <w:rsid w:val="005E7457"/>
    <w:pPr>
      <w:numPr>
        <w:numId w:val="6"/>
      </w:numPr>
    </w:pPr>
  </w:style>
  <w:style w:type="paragraph" w:styleId="BlockText">
    <w:name w:val="Block Text"/>
    <w:basedOn w:val="Normal"/>
    <w:rsid w:val="005E74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74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7457"/>
    <w:rPr>
      <w:sz w:val="16"/>
      <w:vertAlign w:val="superscript"/>
    </w:rPr>
  </w:style>
  <w:style w:type="character" w:customStyle="1" w:styleId="Symbols">
    <w:name w:val="Symbols"/>
    <w:basedOn w:val="DefaultParagraphFont"/>
    <w:rsid w:val="005E7457"/>
    <w:rPr>
      <w:rFonts w:ascii="Symbol" w:hAnsi="Symbol"/>
    </w:rPr>
  </w:style>
  <w:style w:type="character" w:customStyle="1" w:styleId="MenuOptions">
    <w:name w:val="Menu Options"/>
    <w:basedOn w:val="DefaultParagraphFont"/>
    <w:rsid w:val="005E74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7457"/>
    <w:rPr>
      <w:b/>
    </w:rPr>
  </w:style>
  <w:style w:type="character" w:customStyle="1" w:styleId="Underlined">
    <w:name w:val="Underlined"/>
    <w:basedOn w:val="DefaultParagraphFont"/>
    <w:rsid w:val="005E7457"/>
    <w:rPr>
      <w:u w:val="single"/>
    </w:rPr>
  </w:style>
  <w:style w:type="paragraph" w:customStyle="1" w:styleId="TableBodyTextRight">
    <w:name w:val="Table Body Text Right"/>
    <w:basedOn w:val="TableBodyText"/>
    <w:rsid w:val="005E74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7457"/>
    <w:rPr>
      <w:sz w:val="18"/>
    </w:rPr>
  </w:style>
  <w:style w:type="paragraph" w:customStyle="1" w:styleId="BodySmallRight">
    <w:name w:val="Body Small Right"/>
    <w:basedOn w:val="BodyTextRight"/>
    <w:rsid w:val="005E7457"/>
    <w:rPr>
      <w:sz w:val="18"/>
      <w:szCs w:val="18"/>
    </w:rPr>
  </w:style>
  <w:style w:type="paragraph" w:customStyle="1" w:styleId="MarginEdition">
    <w:name w:val="Margin Edition"/>
    <w:basedOn w:val="MarginNote"/>
    <w:rsid w:val="005E74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7457"/>
    <w:rPr>
      <w:sz w:val="2"/>
      <w:szCs w:val="2"/>
    </w:rPr>
  </w:style>
  <w:style w:type="character" w:customStyle="1" w:styleId="Small">
    <w:name w:val="Small"/>
    <w:basedOn w:val="DefaultParagraphFont"/>
    <w:rsid w:val="005E7457"/>
    <w:rPr>
      <w:sz w:val="16"/>
    </w:rPr>
  </w:style>
  <w:style w:type="paragraph" w:customStyle="1" w:styleId="WideTable">
    <w:name w:val="Wide Table"/>
    <w:basedOn w:val="Normal"/>
    <w:rsid w:val="005E74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7457"/>
  </w:style>
  <w:style w:type="paragraph" w:styleId="Quote">
    <w:name w:val="Quote"/>
    <w:basedOn w:val="Heading1"/>
    <w:link w:val="QuoteChar"/>
    <w:qFormat/>
    <w:rsid w:val="005E74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74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7457"/>
    <w:pPr>
      <w:pageBreakBefore/>
    </w:pPr>
  </w:style>
  <w:style w:type="paragraph" w:customStyle="1" w:styleId="Border">
    <w:name w:val="Border"/>
    <w:basedOn w:val="Normal"/>
    <w:qFormat/>
    <w:rsid w:val="005E74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74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4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4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74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74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74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74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74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7457"/>
    <w:rPr>
      <w:u w:val="single"/>
    </w:rPr>
  </w:style>
  <w:style w:type="character" w:customStyle="1" w:styleId="BoldandItalics">
    <w:name w:val="Bold and Italics"/>
    <w:qFormat/>
    <w:rsid w:val="005E7457"/>
    <w:rPr>
      <w:b/>
      <w:i/>
      <w:u w:val="none"/>
    </w:rPr>
  </w:style>
  <w:style w:type="paragraph" w:styleId="BalloonText">
    <w:name w:val="Balloon Text"/>
    <w:basedOn w:val="Normal"/>
    <w:link w:val="BalloonTextChar"/>
    <w:rsid w:val="005E74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74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74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74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74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74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7457"/>
    <w:pPr>
      <w:spacing w:before="0" w:after="0"/>
    </w:pPr>
  </w:style>
  <w:style w:type="paragraph" w:customStyle="1" w:styleId="BodyTextBold">
    <w:name w:val="Body Text Bold"/>
    <w:basedOn w:val="BodyText"/>
    <w:qFormat/>
    <w:rsid w:val="005E7457"/>
    <w:rPr>
      <w:b/>
    </w:rPr>
  </w:style>
  <w:style w:type="character" w:styleId="Hyperlink">
    <w:name w:val="Hyperlink"/>
    <w:basedOn w:val="DefaultParagraphFont"/>
    <w:uiPriority w:val="99"/>
    <w:unhideWhenUsed/>
    <w:rsid w:val="004A78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3475</Characters>
  <Application>Microsoft Office Word</Application>
  <DocSecurity>0</DocSecurity>
  <Lines>151</Lines>
  <Paragraphs>87</Paragraphs>
  <ScaleCrop>false</ScaleCrop>
  <Company>Author-it Software Corporation Ltd.</Company>
  <LinksUpToDate>false</LinksUpToDate>
  <CharactersWithSpaces>3960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ICTPRG528 Perform ICT data conversion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2019-09-02T00:01:00Z</dcterms:created>
  <dcterms:modified xsi:type="dcterms:W3CDTF">2019-09-02T00:01:00Z</dcterms:modified>
</cp:coreProperties>
</file>