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948" w:rsidP="009B5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ICTOPN607 Design dense wavelength division multiplexing systems</w:t>
      </w:r>
      <w:r>
        <w:fldChar w:fldCharType="end"/>
      </w:r>
    </w:p>
    <w:p w:rsidR="009B5948" w:rsidP="009B5948">
      <w:pPr>
        <w:pStyle w:val="Version"/>
        <w:sectPr w:rsidSect="00B73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63F" w:rsidP="00B7363F">
      <w:pPr>
        <w:pStyle w:val="SuperHeading"/>
      </w:pPr>
      <w:r w:rsidRPr="00B7363F">
        <w:t>Assessment Requirements for ICTOPN607 Design dense wavelength division multiplexing systems</w:t>
      </w:r>
    </w:p>
    <w:p w:rsidR="00000000" w:rsidRPr="00B7363F" w:rsidP="00B7363F">
      <w:pPr>
        <w:pStyle w:val="Heading1"/>
      </w:pPr>
      <w:bookmarkStart w:id="1" w:name="O_1142559"/>
      <w:bookmarkEnd w:id="1"/>
      <w:r w:rsidRPr="00B736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736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3F" w:rsidP="00B7363F">
            <w:pPr>
              <w:pStyle w:val="BodyText"/>
            </w:pPr>
            <w:r w:rsidRPr="00B7363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3F">
            <w:pPr>
              <w:pStyle w:val="BodyText"/>
              <w:rPr>
                <w:lang w:val="en-NZ"/>
              </w:rPr>
            </w:pPr>
            <w:r w:rsidRPr="00B7363F">
              <w:rPr>
                <w:rStyle w:val="SpecialBold"/>
              </w:rPr>
              <w:t>Comments</w:t>
            </w:r>
          </w:p>
        </w:tc>
      </w:tr>
      <w:tr w:rsidTr="00B736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3F">
            <w:pPr>
              <w:pStyle w:val="BodyText"/>
              <w:rPr>
                <w:lang w:val="en-NZ"/>
              </w:rPr>
            </w:pPr>
            <w:r w:rsidRPr="00B7363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3F" w:rsidP="00B7363F">
            <w:pPr>
              <w:pStyle w:val="BodyText"/>
            </w:pPr>
            <w:r w:rsidRPr="00B7363F">
              <w:t>This version first released with ICT Information and Communications Technology Training Package Version 7.0.</w:t>
            </w:r>
          </w:p>
        </w:tc>
      </w:tr>
    </w:tbl>
    <w:p w:rsidR="00000000" w:rsidRPr="00B7363F" w:rsidP="00B7363F">
      <w:pPr>
        <w:pStyle w:val="BodyText"/>
      </w:pPr>
    </w:p>
    <w:p w:rsidR="00000000" w:rsidRPr="00B7363F" w:rsidP="00B7363F">
      <w:pPr>
        <w:pStyle w:val="AllowPageBreak"/>
      </w:pPr>
    </w:p>
    <w:p w:rsidR="00000000" w:rsidRPr="00B7363F" w:rsidP="00B7363F">
      <w:pPr>
        <w:pStyle w:val="Heading1"/>
      </w:pPr>
      <w:bookmarkStart w:id="2" w:name="O_1142562"/>
      <w:bookmarkEnd w:id="2"/>
      <w:r w:rsidRPr="00B7363F">
        <w:t>Performance Evidence</w:t>
      </w:r>
    </w:p>
    <w:p w:rsidR="00000000" w:rsidRPr="00B7363F" w:rsidP="009B5948">
      <w:pPr>
        <w:pStyle w:val="BodyText"/>
      </w:pPr>
      <w:r w:rsidRPr="00B7363F">
        <w:t>The candidate must demonstrate the ability to complete the tasks outlined in the elements, performance cr</w:t>
      </w:r>
      <w:r w:rsidRPr="00B7363F">
        <w:t>iteria and foundation skills of this unit, including evidence of the ability to:</w:t>
      </w:r>
    </w:p>
    <w:p w:rsidR="00000000" w:rsidRPr="00B7363F" w:rsidP="00B7363F">
      <w:pPr>
        <w:pStyle w:val="ListBullet"/>
      </w:pPr>
      <w:r w:rsidRPr="00B7363F">
        <w:t>design at least two dense wavelength division multiplexing systems (DWDM).</w:t>
      </w:r>
    </w:p>
    <w:p w:rsidR="00000000" w:rsidRPr="00B7363F" w:rsidP="00B7363F">
      <w:pPr>
        <w:pStyle w:val="BodyText"/>
      </w:pPr>
    </w:p>
    <w:p w:rsidR="00000000" w:rsidRPr="00B7363F" w:rsidP="009B5948">
      <w:pPr>
        <w:pStyle w:val="BodyText"/>
      </w:pPr>
      <w:r w:rsidRPr="00B7363F">
        <w:t>In the course of the above, the candidate must:</w:t>
      </w:r>
    </w:p>
    <w:p w:rsidR="00000000" w:rsidRPr="00B7363F" w:rsidP="00B7363F">
      <w:pPr>
        <w:pStyle w:val="ListBullet"/>
      </w:pPr>
      <w:r w:rsidRPr="00B7363F">
        <w:t>document an internet protocol (IP) addressing sch</w:t>
      </w:r>
      <w:r w:rsidRPr="00B7363F">
        <w:t>eme that is suitable for DWDM shelf configuration</w:t>
      </w:r>
    </w:p>
    <w:p w:rsidR="00000000" w:rsidRPr="00B7363F" w:rsidP="00B7363F">
      <w:pPr>
        <w:pStyle w:val="ListBullet"/>
      </w:pPr>
      <w:r w:rsidRPr="00B7363F">
        <w:t>determine fibre loss between sites</w:t>
      </w:r>
    </w:p>
    <w:p w:rsidR="00000000" w:rsidRPr="00B7363F" w:rsidP="00B7363F">
      <w:pPr>
        <w:pStyle w:val="ListBullet"/>
      </w:pPr>
      <w:r w:rsidRPr="00B7363F">
        <w:t>calculate link budgets and link margins</w:t>
      </w:r>
    </w:p>
    <w:p w:rsidR="00000000" w:rsidRPr="00B7363F" w:rsidP="00B7363F">
      <w:pPr>
        <w:pStyle w:val="ListBullet"/>
      </w:pPr>
      <w:r w:rsidRPr="00B7363F">
        <w:t>prepare dense wavelength division multiplexing (DWDM) shelf configuration and specifications</w:t>
      </w:r>
    </w:p>
    <w:p w:rsidR="00000000" w:rsidRPr="00B7363F" w:rsidP="00B7363F">
      <w:pPr>
        <w:pStyle w:val="ListBullet"/>
      </w:pPr>
      <w:r w:rsidRPr="00B7363F">
        <w:t>produce detailed configurat</w:t>
      </w:r>
      <w:r w:rsidRPr="00B7363F">
        <w:t>ion documents</w:t>
      </w:r>
    </w:p>
    <w:p w:rsidR="00000000" w:rsidRPr="00B7363F" w:rsidP="00B7363F">
      <w:pPr>
        <w:pStyle w:val="ListBullet"/>
      </w:pPr>
      <w:r w:rsidRPr="00B7363F">
        <w:t>investigate an emerging DWDM technology.</w:t>
      </w:r>
    </w:p>
    <w:p w:rsidR="00000000" w:rsidRPr="00B7363F" w:rsidP="00B7363F">
      <w:pPr>
        <w:pStyle w:val="AllowPageBreak"/>
      </w:pPr>
    </w:p>
    <w:p w:rsidR="00000000" w:rsidRPr="00B7363F" w:rsidP="00B7363F">
      <w:pPr>
        <w:pStyle w:val="Heading1"/>
      </w:pPr>
      <w:bookmarkStart w:id="3" w:name="O_1142561"/>
      <w:bookmarkEnd w:id="3"/>
      <w:r w:rsidRPr="00B7363F">
        <w:t>Knowledge Evidence</w:t>
      </w:r>
    </w:p>
    <w:p w:rsidR="00000000" w:rsidRPr="00B7363F" w:rsidP="009B5948">
      <w:pPr>
        <w:pStyle w:val="BodyText"/>
      </w:pPr>
      <w:r w:rsidRPr="00B7363F">
        <w:t>The candidate must be able to demonstrate knowledge to complete the tasks outlined in the elements, performance criteria and foundation skills of this unit, includ</w:t>
      </w:r>
      <w:r w:rsidRPr="00B7363F">
        <w:t>ing knowledge of:</w:t>
      </w:r>
    </w:p>
    <w:p w:rsidR="00000000" w:rsidRPr="00B7363F" w:rsidP="00B7363F">
      <w:pPr>
        <w:pStyle w:val="ListBullet"/>
      </w:pPr>
      <w:r w:rsidRPr="00B7363F">
        <w:t>features of configuration of DWDM shelf</w:t>
      </w:r>
    </w:p>
    <w:p w:rsidR="00000000" w:rsidRPr="00B7363F" w:rsidP="00B7363F">
      <w:pPr>
        <w:pStyle w:val="ListBullet"/>
      </w:pPr>
      <w:r w:rsidRPr="00B7363F">
        <w:t>operation principles of DWDM systems</w:t>
      </w:r>
    </w:p>
    <w:p w:rsidR="00000000" w:rsidRPr="00B7363F" w:rsidP="00B7363F">
      <w:pPr>
        <w:pStyle w:val="ListBullet"/>
      </w:pPr>
      <w:r w:rsidRPr="00B7363F">
        <w:t>required formats for configuration documents for DWDM system</w:t>
      </w:r>
    </w:p>
    <w:p w:rsidR="00000000" w:rsidRPr="00B7363F" w:rsidP="00B7363F">
      <w:pPr>
        <w:pStyle w:val="ListBullet"/>
      </w:pPr>
      <w:r w:rsidRPr="00B7363F">
        <w:t>functions and features of electrostatic discharge</w:t>
      </w:r>
    </w:p>
    <w:p w:rsidR="00000000" w:rsidRPr="00B7363F" w:rsidP="00B7363F">
      <w:pPr>
        <w:pStyle w:val="ListBullet"/>
      </w:pPr>
      <w:r w:rsidRPr="00B7363F">
        <w:t>features and operating requirements of the follow</w:t>
      </w:r>
      <w:r w:rsidRPr="00B7363F">
        <w:t>ing test equipment:</w:t>
      </w:r>
    </w:p>
    <w:p w:rsidR="00000000" w:rsidRPr="00B7363F" w:rsidP="00B7363F">
      <w:pPr>
        <w:pStyle w:val="ListBullet2"/>
      </w:pPr>
      <w:r w:rsidRPr="00B7363F">
        <w:t>an optical time domain reflectometer (OTDR)</w:t>
      </w:r>
    </w:p>
    <w:p w:rsidR="00000000" w:rsidRPr="00B7363F" w:rsidP="00B7363F">
      <w:pPr>
        <w:pStyle w:val="ListBullet2"/>
      </w:pPr>
      <w:r w:rsidRPr="00B7363F">
        <w:t>a hand-held optical power meter</w:t>
      </w:r>
    </w:p>
    <w:p w:rsidR="00000000" w:rsidRPr="00B7363F" w:rsidP="00B7363F">
      <w:pPr>
        <w:pStyle w:val="ListBullet2"/>
      </w:pPr>
      <w:r w:rsidRPr="00B7363F">
        <w:t xml:space="preserve">a transmission test set </w:t>
      </w:r>
    </w:p>
    <w:p w:rsidR="00000000" w:rsidRPr="00B7363F" w:rsidP="00B7363F">
      <w:pPr>
        <w:pStyle w:val="ListBullet2"/>
      </w:pPr>
      <w:r w:rsidRPr="00B7363F">
        <w:t>an optical spectrum analyser</w:t>
      </w:r>
    </w:p>
    <w:p w:rsidR="00000000" w:rsidRPr="00B7363F" w:rsidP="00B7363F">
      <w:pPr>
        <w:pStyle w:val="ListBullet"/>
      </w:pPr>
      <w:r w:rsidRPr="00B7363F">
        <w:t>functions of an optical add-drop multiplexer (OADM)</w:t>
      </w:r>
    </w:p>
    <w:p w:rsidR="00000000" w:rsidRPr="00B7363F" w:rsidP="00B7363F">
      <w:pPr>
        <w:pStyle w:val="ListBullet"/>
      </w:pPr>
      <w:r w:rsidRPr="00B7363F">
        <w:t>functions of reconfigurable optical add-drop multiplexer (ROADM)</w:t>
      </w:r>
    </w:p>
    <w:p w:rsidR="00000000" w:rsidRPr="00B7363F" w:rsidP="00B7363F">
      <w:pPr>
        <w:pStyle w:val="ListBullet"/>
      </w:pPr>
      <w:r w:rsidRPr="00B7363F">
        <w:t>International Telecommunications Union (ITU) wavelength grid for DWDM</w:t>
      </w:r>
    </w:p>
    <w:p w:rsidR="00000000" w:rsidRPr="00B7363F" w:rsidP="00B7363F">
      <w:pPr>
        <w:pStyle w:val="ListBullet"/>
      </w:pPr>
      <w:r w:rsidRPr="00B7363F">
        <w:t>features of laser stability</w:t>
      </w:r>
    </w:p>
    <w:p w:rsidR="00000000" w:rsidRPr="00B7363F" w:rsidP="00B7363F">
      <w:pPr>
        <w:pStyle w:val="ListBullet"/>
      </w:pPr>
      <w:r w:rsidRPr="00B7363F">
        <w:t>characteristics of dispersion compensation devices</w:t>
      </w:r>
    </w:p>
    <w:p w:rsidR="00000000" w:rsidRPr="00B7363F" w:rsidP="00B7363F">
      <w:pPr>
        <w:pStyle w:val="ListBullet"/>
      </w:pPr>
      <w:r w:rsidRPr="00B7363F">
        <w:t>the importance of a link budget and calcul</w:t>
      </w:r>
      <w:r w:rsidRPr="00B7363F">
        <w:t>ate link margins</w:t>
      </w:r>
    </w:p>
    <w:p w:rsidR="00000000" w:rsidRPr="00B7363F" w:rsidP="00B7363F">
      <w:pPr>
        <w:pStyle w:val="ListBullet"/>
      </w:pPr>
      <w:r w:rsidRPr="00B7363F">
        <w:t>optical fibre connector types and characteristics</w:t>
      </w:r>
    </w:p>
    <w:p w:rsidR="00000000" w:rsidRPr="00B7363F" w:rsidP="00B7363F">
      <w:pPr>
        <w:pStyle w:val="ListBullet"/>
      </w:pPr>
      <w:r w:rsidRPr="00B7363F">
        <w:t>optical fibre types and characteristics</w:t>
      </w:r>
    </w:p>
    <w:p w:rsidR="00000000" w:rsidRPr="00B7363F" w:rsidP="00B7363F">
      <w:pPr>
        <w:pStyle w:val="ListBullet"/>
      </w:pPr>
      <w:r w:rsidRPr="00B7363F">
        <w:t>path protection and protection switching requirements</w:t>
      </w:r>
    </w:p>
    <w:p w:rsidR="00000000" w:rsidRPr="00B7363F" w:rsidP="00B7363F">
      <w:pPr>
        <w:pStyle w:val="ListBullet"/>
      </w:pPr>
      <w:r w:rsidRPr="00B7363F">
        <w:t>physical optical loopbacks and software loopbacks</w:t>
      </w:r>
    </w:p>
    <w:p w:rsidR="00000000" w:rsidRPr="00B7363F" w:rsidP="00B7363F">
      <w:pPr>
        <w:pStyle w:val="ListBullet"/>
      </w:pPr>
      <w:r w:rsidRPr="00B7363F">
        <w:t>traditional protocols and emerging Optical Tr</w:t>
      </w:r>
      <w:r w:rsidRPr="00B7363F">
        <w:t>ansport Network (OTN) technologies used on optical DWDM systems</w:t>
      </w:r>
    </w:p>
    <w:p w:rsidR="00000000" w:rsidRPr="00B7363F" w:rsidP="00B7363F">
      <w:pPr>
        <w:pStyle w:val="ListBullet"/>
      </w:pPr>
      <w:r w:rsidRPr="00B7363F">
        <w:t>ring topologies and linear network topologies</w:t>
      </w:r>
    </w:p>
    <w:p w:rsidR="00000000" w:rsidRPr="00B7363F" w:rsidP="00B7363F">
      <w:pPr>
        <w:pStyle w:val="ListBullet"/>
      </w:pPr>
      <w:r w:rsidRPr="00B7363F">
        <w:t>specific work health and safety (WHS) requirements that impact management of DWDM systems</w:t>
      </w:r>
    </w:p>
    <w:p w:rsidR="00000000" w:rsidRPr="00B7363F" w:rsidP="00B7363F">
      <w:pPr>
        <w:pStyle w:val="ListBullet"/>
      </w:pPr>
      <w:r w:rsidRPr="00B7363F">
        <w:t>required legislation, codes, company work practices, regulations and standards and environmental requirements for scoped work.</w:t>
      </w:r>
    </w:p>
    <w:p w:rsidR="00000000" w:rsidRPr="00B7363F" w:rsidP="00B7363F">
      <w:pPr>
        <w:pStyle w:val="AllowPageBreak"/>
      </w:pPr>
    </w:p>
    <w:p w:rsidR="00000000" w:rsidRPr="00B7363F" w:rsidP="00B7363F">
      <w:pPr>
        <w:pStyle w:val="Heading1"/>
      </w:pPr>
      <w:bookmarkStart w:id="4" w:name="O_1142560"/>
      <w:bookmarkEnd w:id="4"/>
      <w:r w:rsidRPr="00B7363F">
        <w:t>Assessment Conditions</w:t>
      </w:r>
    </w:p>
    <w:p w:rsidR="00000000" w:rsidRPr="00B7363F" w:rsidP="009B5948">
      <w:pPr>
        <w:pStyle w:val="BodyText"/>
      </w:pPr>
      <w:r w:rsidRPr="00B7363F">
        <w:t>Skills in this unit must be demonstrated in a workplace or simulated environment where t</w:t>
      </w:r>
      <w:r w:rsidRPr="00B7363F">
        <w:t>he conditions are typical of those in a working environment in this industry.</w:t>
      </w:r>
    </w:p>
    <w:p w:rsidR="00000000" w:rsidRPr="00B7363F" w:rsidP="009B5948">
      <w:pPr>
        <w:pStyle w:val="BodyText"/>
      </w:pPr>
      <w:r w:rsidRPr="00B7363F">
        <w:t>This includes access to:</w:t>
      </w:r>
    </w:p>
    <w:p w:rsidR="00000000" w:rsidRPr="00B7363F" w:rsidP="00B7363F">
      <w:pPr>
        <w:pStyle w:val="ListBullet"/>
      </w:pPr>
      <w:r w:rsidRPr="00B7363F">
        <w:t>manufacturer technical documentation</w:t>
      </w:r>
    </w:p>
    <w:p w:rsidR="00000000" w:rsidRPr="00B7363F" w:rsidP="00B7363F">
      <w:pPr>
        <w:pStyle w:val="ListBullet"/>
      </w:pPr>
      <w:r w:rsidRPr="00B7363F">
        <w:t>required regulations</w:t>
      </w:r>
    </w:p>
    <w:p w:rsidR="00000000" w:rsidRPr="00B7363F" w:rsidP="00B7363F">
      <w:pPr>
        <w:pStyle w:val="ListBullet"/>
      </w:pPr>
      <w:r w:rsidRPr="00B7363F">
        <w:t>system specifications.</w:t>
      </w:r>
    </w:p>
    <w:p w:rsidR="00000000" w:rsidRPr="00B7363F" w:rsidP="00B7363F">
      <w:pPr>
        <w:pStyle w:val="BodyText"/>
      </w:pPr>
    </w:p>
    <w:p w:rsidR="00000000" w:rsidRPr="00B7363F" w:rsidP="009B5948">
      <w:pPr>
        <w:pStyle w:val="BodyText"/>
      </w:pPr>
      <w:r w:rsidRPr="00B7363F">
        <w:t xml:space="preserve">Assessors of this unit must satisfy the requirements for assessors in </w:t>
      </w:r>
      <w:r w:rsidRPr="00B7363F">
        <w:t>required vocational education and training legislation, frameworks and/or standards.</w:t>
      </w:r>
    </w:p>
    <w:p w:rsidR="00000000" w:rsidRPr="00B7363F" w:rsidP="00B7363F">
      <w:pPr>
        <w:pStyle w:val="Heading1"/>
      </w:pPr>
      <w:bookmarkStart w:id="5" w:name="O_1142558"/>
      <w:bookmarkEnd w:id="5"/>
      <w:r w:rsidRPr="00B7363F">
        <w:t>Links</w:t>
      </w:r>
    </w:p>
    <w:p w:rsidR="00000000" w:rsidRPr="00B7363F" w:rsidP="009B5948">
      <w:pPr>
        <w:pStyle w:val="BodyText"/>
      </w:pPr>
      <w:r w:rsidRPr="00B736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64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363F" w:rsidP="00B7363F"/>
    <w:sectPr w:rsidSect="00B736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3F" w:rsidRPr="009B5948" w:rsidP="009B5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48" w:rsidP="00B73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948" w:rsidP="00B73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5948" w:rsidP="00B73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63F" w:rsidRPr="009B5948" w:rsidP="009B5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48" w:rsidRPr="002D2AF8" w:rsidP="00B73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ICTOPN607 Design dense wavelength division multiplexing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B5948" w:rsidP="00B73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2D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FAE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0B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63F"/>
  </w:style>
  <w:style w:type="character" w:customStyle="1" w:styleId="Heading1Char">
    <w:name w:val="Heading 1 Char"/>
    <w:basedOn w:val="DefaultParagraphFont"/>
    <w:link w:val="Heading1"/>
    <w:rsid w:val="00B73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63F"/>
    <w:rPr>
      <w:b/>
      <w:spacing w:val="0"/>
    </w:rPr>
  </w:style>
  <w:style w:type="paragraph" w:styleId="ListBullet2">
    <w:name w:val="List Bullet 2"/>
    <w:basedOn w:val="List2"/>
    <w:rsid w:val="00B736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63F"/>
    <w:rPr>
      <w:i/>
    </w:rPr>
  </w:style>
  <w:style w:type="paragraph" w:styleId="Caption">
    <w:name w:val="caption"/>
    <w:basedOn w:val="BodyText"/>
    <w:next w:val="Normal"/>
    <w:qFormat/>
    <w:rsid w:val="00B73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63F"/>
  </w:style>
  <w:style w:type="paragraph" w:styleId="TableofFigures">
    <w:name w:val="table of figures"/>
    <w:basedOn w:val="Normal"/>
    <w:next w:val="Normal"/>
    <w:semiHidden/>
    <w:rsid w:val="00B73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6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63F"/>
    <w:rPr>
      <w:rFonts w:ascii="Wingdings" w:hAnsi="Wingdings"/>
    </w:rPr>
  </w:style>
  <w:style w:type="paragraph" w:customStyle="1" w:styleId="TableHeading">
    <w:name w:val="Table Heading"/>
    <w:basedOn w:val="HeadingBase"/>
    <w:rsid w:val="00B73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63F"/>
    <w:rPr>
      <w:color w:val="0033CC"/>
      <w:u w:val="none"/>
    </w:rPr>
  </w:style>
  <w:style w:type="paragraph" w:customStyle="1" w:styleId="BodyTextRight">
    <w:name w:val="Body Text Right"/>
    <w:basedOn w:val="BodyText"/>
    <w:rsid w:val="00B73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63F"/>
    <w:rPr>
      <w:sz w:val="32"/>
    </w:rPr>
  </w:style>
  <w:style w:type="paragraph" w:customStyle="1" w:styleId="HeadingProcedure">
    <w:name w:val="Heading Procedure"/>
    <w:basedOn w:val="HeadingBase"/>
    <w:next w:val="Normal"/>
    <w:rsid w:val="00B73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63F"/>
    <w:pPr>
      <w:spacing w:before="60" w:after="60"/>
    </w:pPr>
  </w:style>
  <w:style w:type="paragraph" w:styleId="ListContinue">
    <w:name w:val="List Continue"/>
    <w:basedOn w:val="List"/>
    <w:rsid w:val="00B7363F"/>
    <w:pPr>
      <w:ind w:firstLine="0"/>
    </w:pPr>
  </w:style>
  <w:style w:type="paragraph" w:customStyle="1" w:styleId="ListNote">
    <w:name w:val="List Note"/>
    <w:basedOn w:val="List"/>
    <w:rsid w:val="00B73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63F"/>
    <w:rPr>
      <w:rFonts w:ascii="Courier New" w:hAnsi="Courier New"/>
    </w:rPr>
  </w:style>
  <w:style w:type="paragraph" w:customStyle="1" w:styleId="NoteBullet">
    <w:name w:val="Note Bullet"/>
    <w:basedOn w:val="Note"/>
    <w:rsid w:val="00B73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63F"/>
    <w:rPr>
      <w:b/>
      <w:smallCaps/>
    </w:rPr>
  </w:style>
  <w:style w:type="paragraph" w:customStyle="1" w:styleId="TableListNumber">
    <w:name w:val="Table List Number"/>
    <w:basedOn w:val="ListNumber"/>
    <w:rsid w:val="00B73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63F"/>
    <w:pPr>
      <w:numPr>
        <w:numId w:val="9"/>
      </w:numPr>
    </w:pPr>
  </w:style>
  <w:style w:type="paragraph" w:customStyle="1" w:styleId="ListAlpha2">
    <w:name w:val="List Alpha 2"/>
    <w:basedOn w:val="List2"/>
    <w:rsid w:val="00B7363F"/>
    <w:pPr>
      <w:numPr>
        <w:numId w:val="8"/>
      </w:numPr>
    </w:pPr>
  </w:style>
  <w:style w:type="paragraph" w:styleId="List2">
    <w:name w:val="List 2"/>
    <w:basedOn w:val="BodyText"/>
    <w:rsid w:val="00B73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6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63F"/>
    <w:pPr>
      <w:numPr>
        <w:numId w:val="4"/>
      </w:numPr>
    </w:pPr>
  </w:style>
  <w:style w:type="paragraph" w:styleId="ListContinue2">
    <w:name w:val="List Continue 2"/>
    <w:basedOn w:val="List2"/>
    <w:rsid w:val="00B7363F"/>
    <w:pPr>
      <w:ind w:firstLine="0"/>
    </w:pPr>
  </w:style>
  <w:style w:type="paragraph" w:styleId="ListContinue3">
    <w:name w:val="List Continue 3"/>
    <w:basedOn w:val="List3"/>
    <w:rsid w:val="00B7363F"/>
    <w:pPr>
      <w:ind w:left="1021" w:firstLine="0"/>
    </w:pPr>
  </w:style>
  <w:style w:type="paragraph" w:styleId="ListContinue4">
    <w:name w:val="List Continue 4"/>
    <w:basedOn w:val="List4"/>
    <w:rsid w:val="00B7363F"/>
    <w:pPr>
      <w:ind w:firstLine="0"/>
    </w:pPr>
  </w:style>
  <w:style w:type="paragraph" w:styleId="ListContinue5">
    <w:name w:val="List Continue 5"/>
    <w:basedOn w:val="List5"/>
    <w:rsid w:val="00B7363F"/>
    <w:pPr>
      <w:ind w:firstLine="0"/>
    </w:pPr>
  </w:style>
  <w:style w:type="paragraph" w:styleId="ListNumber3">
    <w:name w:val="List Number 3"/>
    <w:basedOn w:val="List3"/>
    <w:rsid w:val="00B7363F"/>
    <w:pPr>
      <w:numPr>
        <w:numId w:val="5"/>
      </w:numPr>
    </w:pPr>
  </w:style>
  <w:style w:type="paragraph" w:styleId="ListNumber4">
    <w:name w:val="List Number 4"/>
    <w:basedOn w:val="List4"/>
    <w:rsid w:val="00B7363F"/>
    <w:pPr>
      <w:numPr>
        <w:numId w:val="6"/>
      </w:numPr>
    </w:pPr>
  </w:style>
  <w:style w:type="paragraph" w:styleId="ListNumber5">
    <w:name w:val="List Number 5"/>
    <w:basedOn w:val="List5"/>
    <w:rsid w:val="00B7363F"/>
    <w:pPr>
      <w:numPr>
        <w:numId w:val="7"/>
      </w:numPr>
    </w:pPr>
  </w:style>
  <w:style w:type="paragraph" w:styleId="BlockText">
    <w:name w:val="Block Text"/>
    <w:basedOn w:val="Normal"/>
    <w:rsid w:val="00B73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63F"/>
    <w:rPr>
      <w:sz w:val="16"/>
      <w:vertAlign w:val="superscript"/>
    </w:rPr>
  </w:style>
  <w:style w:type="character" w:customStyle="1" w:styleId="Symbols">
    <w:name w:val="Symbols"/>
    <w:basedOn w:val="DefaultParagraphFont"/>
    <w:rsid w:val="00B7363F"/>
    <w:rPr>
      <w:rFonts w:ascii="Symbol" w:hAnsi="Symbol"/>
    </w:rPr>
  </w:style>
  <w:style w:type="character" w:customStyle="1" w:styleId="MenuOptions">
    <w:name w:val="Menu Options"/>
    <w:basedOn w:val="DefaultParagraphFont"/>
    <w:rsid w:val="00B73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63F"/>
    <w:rPr>
      <w:b/>
    </w:rPr>
  </w:style>
  <w:style w:type="character" w:customStyle="1" w:styleId="Underlined">
    <w:name w:val="Underlined"/>
    <w:basedOn w:val="DefaultParagraphFont"/>
    <w:rsid w:val="00B7363F"/>
    <w:rPr>
      <w:u w:val="single"/>
    </w:rPr>
  </w:style>
  <w:style w:type="paragraph" w:customStyle="1" w:styleId="TableBodyTextRight">
    <w:name w:val="Table Body Text Right"/>
    <w:basedOn w:val="TableBodyText"/>
    <w:rsid w:val="00B73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63F"/>
    <w:rPr>
      <w:sz w:val="18"/>
    </w:rPr>
  </w:style>
  <w:style w:type="paragraph" w:customStyle="1" w:styleId="BodySmallRight">
    <w:name w:val="Body Small Right"/>
    <w:basedOn w:val="BodyTextRight"/>
    <w:rsid w:val="00B7363F"/>
    <w:rPr>
      <w:sz w:val="18"/>
      <w:szCs w:val="18"/>
    </w:rPr>
  </w:style>
  <w:style w:type="paragraph" w:customStyle="1" w:styleId="MarginEdition">
    <w:name w:val="Margin Edition"/>
    <w:basedOn w:val="MarginNote"/>
    <w:rsid w:val="00B73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63F"/>
    <w:rPr>
      <w:sz w:val="2"/>
      <w:szCs w:val="2"/>
    </w:rPr>
  </w:style>
  <w:style w:type="character" w:customStyle="1" w:styleId="Small">
    <w:name w:val="Small"/>
    <w:basedOn w:val="DefaultParagraphFont"/>
    <w:rsid w:val="00B7363F"/>
    <w:rPr>
      <w:sz w:val="16"/>
    </w:rPr>
  </w:style>
  <w:style w:type="paragraph" w:customStyle="1" w:styleId="WideTable">
    <w:name w:val="Wide Table"/>
    <w:basedOn w:val="Normal"/>
    <w:rsid w:val="00B73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63F"/>
  </w:style>
  <w:style w:type="paragraph" w:styleId="Quote">
    <w:name w:val="Quote"/>
    <w:basedOn w:val="Heading1"/>
    <w:link w:val="QuoteChar"/>
    <w:qFormat/>
    <w:rsid w:val="00B73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63F"/>
    <w:pPr>
      <w:pageBreakBefore/>
    </w:pPr>
  </w:style>
  <w:style w:type="paragraph" w:customStyle="1" w:styleId="Border">
    <w:name w:val="Border"/>
    <w:basedOn w:val="Normal"/>
    <w:qFormat/>
    <w:rsid w:val="00B73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63F"/>
    <w:rPr>
      <w:u w:val="single"/>
    </w:rPr>
  </w:style>
  <w:style w:type="character" w:customStyle="1" w:styleId="BoldandItalics">
    <w:name w:val="Bold and Italics"/>
    <w:qFormat/>
    <w:rsid w:val="00B7363F"/>
    <w:rPr>
      <w:b/>
      <w:i/>
      <w:u w:val="none"/>
    </w:rPr>
  </w:style>
  <w:style w:type="paragraph" w:styleId="BalloonText">
    <w:name w:val="Balloon Text"/>
    <w:basedOn w:val="Normal"/>
    <w:link w:val="BalloonTextChar"/>
    <w:rsid w:val="00B73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63F"/>
    <w:pPr>
      <w:spacing w:before="0" w:after="0"/>
    </w:pPr>
  </w:style>
  <w:style w:type="paragraph" w:customStyle="1" w:styleId="BodyTextBold">
    <w:name w:val="Body Text Bold"/>
    <w:basedOn w:val="BodyText"/>
    <w:qFormat/>
    <w:rsid w:val="00B7363F"/>
    <w:rPr>
      <w:b/>
    </w:rPr>
  </w:style>
  <w:style w:type="character" w:styleId="Hyperlink">
    <w:name w:val="Hyperlink"/>
    <w:basedOn w:val="DefaultParagraphFont"/>
    <w:uiPriority w:val="99"/>
    <w:unhideWhenUsed/>
    <w:rsid w:val="009B5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2869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ICTOPN607 Design dense wavelength division multiplexing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