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255" w:rsidP="00F25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ICTOPN510 Test and commission dense wavelength division multiplexing transmission systems</w:t>
      </w:r>
      <w:r>
        <w:fldChar w:fldCharType="end"/>
      </w:r>
    </w:p>
    <w:p w:rsidR="00F25255" w:rsidP="00F25255">
      <w:pPr>
        <w:pStyle w:val="Version"/>
        <w:sectPr w:rsidSect="00A56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A9D" w:rsidP="00A56A9D">
      <w:pPr>
        <w:pStyle w:val="SuperHeading"/>
      </w:pPr>
      <w:r w:rsidRPr="00A56A9D">
        <w:t>Assessment Requirements for ICTOPN510 Test and commission dense wavelength division multiplexing transmission systems</w:t>
      </w:r>
    </w:p>
    <w:p w:rsidR="00000000" w:rsidRPr="00A56A9D" w:rsidP="00A56A9D">
      <w:pPr>
        <w:pStyle w:val="Heading1"/>
      </w:pPr>
      <w:bookmarkStart w:id="1" w:name="O_1141563"/>
      <w:bookmarkEnd w:id="1"/>
      <w:r w:rsidRPr="00A56A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A56A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9D" w:rsidP="00A56A9D">
            <w:pPr>
              <w:pStyle w:val="BodyText"/>
            </w:pPr>
            <w:r w:rsidRPr="00A56A9D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9D">
            <w:pPr>
              <w:pStyle w:val="BodyText"/>
              <w:rPr>
                <w:lang w:val="en-NZ"/>
              </w:rPr>
            </w:pPr>
            <w:r w:rsidRPr="00A56A9D">
              <w:rPr>
                <w:rStyle w:val="SpecialBold"/>
              </w:rPr>
              <w:t>Comments</w:t>
            </w:r>
          </w:p>
        </w:tc>
      </w:tr>
      <w:tr w:rsidTr="00A56A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9D">
            <w:pPr>
              <w:pStyle w:val="BodyText"/>
              <w:rPr>
                <w:lang w:val="en-NZ"/>
              </w:rPr>
            </w:pPr>
            <w:r w:rsidRPr="00A56A9D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9D" w:rsidP="00A56A9D">
            <w:pPr>
              <w:pStyle w:val="BodyText"/>
            </w:pPr>
            <w:r w:rsidRPr="00A56A9D">
              <w:t>This version first released with ICT Information and Communications Technology Training Package Version 7.0.</w:t>
            </w:r>
          </w:p>
        </w:tc>
      </w:tr>
    </w:tbl>
    <w:p w:rsidR="00000000" w:rsidRPr="00A56A9D" w:rsidP="00A56A9D">
      <w:pPr>
        <w:pStyle w:val="BodyText"/>
      </w:pPr>
    </w:p>
    <w:p w:rsidR="00000000" w:rsidRPr="00A56A9D" w:rsidP="00A56A9D">
      <w:pPr>
        <w:pStyle w:val="AllowPageBreak"/>
      </w:pPr>
    </w:p>
    <w:p w:rsidR="00000000" w:rsidRPr="00A56A9D" w:rsidP="00A56A9D">
      <w:pPr>
        <w:pStyle w:val="Heading1"/>
      </w:pPr>
      <w:bookmarkStart w:id="2" w:name="O_1141566"/>
      <w:bookmarkEnd w:id="2"/>
      <w:r w:rsidRPr="00A56A9D">
        <w:t>Performance Evidence</w:t>
      </w:r>
    </w:p>
    <w:p w:rsidR="00000000" w:rsidRPr="00A56A9D" w:rsidP="00F25255">
      <w:pPr>
        <w:pStyle w:val="BodyText"/>
      </w:pPr>
      <w:r w:rsidRPr="00A56A9D">
        <w:t>The candidate must demonstrate the ability to complete the tasks outlined in the elements, performance cr</w:t>
      </w:r>
      <w:r w:rsidRPr="00A56A9D">
        <w:t>iteria and foundation skills of this unit, including evidence of the ability to:</w:t>
      </w:r>
    </w:p>
    <w:p w:rsidR="00000000" w:rsidRPr="00A56A9D" w:rsidP="00A56A9D">
      <w:pPr>
        <w:pStyle w:val="ListBullet"/>
      </w:pPr>
      <w:r w:rsidRPr="00A56A9D">
        <w:t>test and commission at least two dense wavelength division multiplexing (DWDM) transmission systems.</w:t>
      </w:r>
    </w:p>
    <w:p w:rsidR="00000000" w:rsidRPr="00A56A9D" w:rsidP="00A56A9D">
      <w:pPr>
        <w:pStyle w:val="BodyText"/>
      </w:pPr>
    </w:p>
    <w:p w:rsidR="00000000" w:rsidRPr="00A56A9D" w:rsidP="00F25255">
      <w:pPr>
        <w:pStyle w:val="BodyText"/>
      </w:pPr>
      <w:r w:rsidRPr="00A56A9D">
        <w:t>In the course of the above, the candidate must:</w:t>
      </w:r>
    </w:p>
    <w:p w:rsidR="00000000" w:rsidRPr="00A56A9D" w:rsidP="00A56A9D">
      <w:pPr>
        <w:pStyle w:val="ListBullet"/>
      </w:pPr>
      <w:r w:rsidRPr="00A56A9D">
        <w:t>plan and coordinate com</w:t>
      </w:r>
      <w:r w:rsidRPr="00A56A9D">
        <w:t>mission</w:t>
      </w:r>
    </w:p>
    <w:p w:rsidR="00000000" w:rsidRPr="00A56A9D" w:rsidP="00A56A9D">
      <w:pPr>
        <w:pStyle w:val="ListBullet"/>
      </w:pPr>
      <w:r w:rsidRPr="00A56A9D">
        <w:t>test and DWDM transmission system according to required regulations and procedures</w:t>
      </w:r>
    </w:p>
    <w:p w:rsidR="00000000" w:rsidRPr="00A56A9D" w:rsidP="00A56A9D">
      <w:pPr>
        <w:pStyle w:val="ListBullet"/>
      </w:pPr>
      <w:r w:rsidRPr="00A56A9D">
        <w:t>complete commissioning documentation according to organisational requirements.</w:t>
      </w:r>
    </w:p>
    <w:p w:rsidR="00000000" w:rsidRPr="00A56A9D" w:rsidP="00A56A9D">
      <w:pPr>
        <w:pStyle w:val="AllowPageBreak"/>
      </w:pPr>
    </w:p>
    <w:p w:rsidR="00000000" w:rsidRPr="00A56A9D" w:rsidP="00A56A9D">
      <w:pPr>
        <w:pStyle w:val="Heading1"/>
      </w:pPr>
      <w:bookmarkStart w:id="3" w:name="O_1141565"/>
      <w:bookmarkEnd w:id="3"/>
      <w:r w:rsidRPr="00A56A9D">
        <w:t>Knowledge Evidence</w:t>
      </w:r>
    </w:p>
    <w:p w:rsidR="00000000" w:rsidRPr="00A56A9D" w:rsidP="00F25255">
      <w:pPr>
        <w:pStyle w:val="BodyText"/>
      </w:pPr>
      <w:r w:rsidRPr="00A56A9D">
        <w:t>The candidate must be able to demonstrate knowledge to complete the tasks outlined in the elements, performance criteria and foundation skills of this unit, including knowledge of:</w:t>
      </w:r>
    </w:p>
    <w:p w:rsidR="00000000" w:rsidRPr="00A56A9D" w:rsidP="00A56A9D">
      <w:pPr>
        <w:pStyle w:val="ListBullet"/>
      </w:pPr>
      <w:r w:rsidRPr="00A56A9D">
        <w:t>legislation, codes, regulations and standards, work health and safety (WHS</w:t>
      </w:r>
      <w:r w:rsidRPr="00A56A9D">
        <w:t>), and organisational requirements for scoped work, including:</w:t>
      </w:r>
    </w:p>
    <w:p w:rsidR="00000000" w:rsidRPr="00A56A9D" w:rsidP="00A56A9D">
      <w:pPr>
        <w:pStyle w:val="ListBullet2"/>
      </w:pPr>
      <w:r w:rsidRPr="00A56A9D">
        <w:t>reporting requirements</w:t>
      </w:r>
    </w:p>
    <w:p w:rsidR="00000000" w:rsidRPr="00A56A9D" w:rsidP="00A56A9D">
      <w:pPr>
        <w:pStyle w:val="ListBullet2"/>
      </w:pPr>
      <w:r w:rsidRPr="00A56A9D">
        <w:t>commissioning test procedures</w:t>
      </w:r>
    </w:p>
    <w:p w:rsidR="00000000" w:rsidRPr="00A56A9D" w:rsidP="00A56A9D">
      <w:pPr>
        <w:pStyle w:val="ListBullet"/>
      </w:pPr>
      <w:r w:rsidRPr="00A56A9D">
        <w:t>organisational hazard risk control measures</w:t>
      </w:r>
    </w:p>
    <w:p w:rsidR="00000000" w:rsidRPr="00A56A9D" w:rsidP="00A56A9D">
      <w:pPr>
        <w:pStyle w:val="ListBullet"/>
      </w:pPr>
      <w:r w:rsidRPr="00A56A9D">
        <w:t>procedures to review equipment for faults and compliance with organisational regulations</w:t>
      </w:r>
    </w:p>
    <w:p w:rsidR="00000000" w:rsidRPr="00A56A9D" w:rsidP="00A56A9D">
      <w:pPr>
        <w:pStyle w:val="ListBullet"/>
      </w:pPr>
      <w:r w:rsidRPr="00A56A9D">
        <w:t>cause</w:t>
      </w:r>
      <w:r w:rsidRPr="00A56A9D">
        <w:t>s of alarms in long term stability tests</w:t>
      </w:r>
    </w:p>
    <w:p w:rsidR="00000000" w:rsidRPr="00A56A9D" w:rsidP="00A56A9D">
      <w:pPr>
        <w:pStyle w:val="ListBullet"/>
      </w:pPr>
      <w:r w:rsidRPr="00A56A9D">
        <w:t>principles of operating DWDM transmission systems</w:t>
      </w:r>
    </w:p>
    <w:p w:rsidR="00000000" w:rsidRPr="00A56A9D" w:rsidP="00A56A9D">
      <w:pPr>
        <w:pStyle w:val="ListBullet"/>
      </w:pPr>
      <w:r w:rsidRPr="00A56A9D">
        <w:t>standard electrostatic discharge precautions</w:t>
      </w:r>
    </w:p>
    <w:p w:rsidR="00000000" w:rsidRPr="00A56A9D" w:rsidP="00A56A9D">
      <w:pPr>
        <w:pStyle w:val="ListBullet"/>
      </w:pPr>
      <w:r w:rsidRPr="00A56A9D">
        <w:t>features and operating requirements of the following test equipment:</w:t>
      </w:r>
    </w:p>
    <w:p w:rsidR="00000000" w:rsidRPr="00A56A9D" w:rsidP="00A56A9D">
      <w:pPr>
        <w:pStyle w:val="ListBullet2"/>
      </w:pPr>
      <w:r w:rsidRPr="00A56A9D">
        <w:t>a hand-held optical power meter</w:t>
      </w:r>
    </w:p>
    <w:p w:rsidR="00000000" w:rsidRPr="00A56A9D" w:rsidP="00A56A9D">
      <w:pPr>
        <w:pStyle w:val="ListBullet2"/>
      </w:pPr>
      <w:r w:rsidRPr="00A56A9D">
        <w:t xml:space="preserve">a transmission test set </w:t>
      </w:r>
    </w:p>
    <w:p w:rsidR="00000000" w:rsidRPr="00A56A9D" w:rsidP="00A56A9D">
      <w:pPr>
        <w:pStyle w:val="ListBullet2"/>
      </w:pPr>
      <w:r w:rsidRPr="00A56A9D">
        <w:t>an optical spectrum analyser</w:t>
      </w:r>
    </w:p>
    <w:p w:rsidR="00000000" w:rsidRPr="00A56A9D" w:rsidP="00A56A9D">
      <w:pPr>
        <w:pStyle w:val="ListBullet"/>
      </w:pPr>
      <w:r w:rsidRPr="00A56A9D">
        <w:t>functions of an optical add drop multiplexer</w:t>
      </w:r>
    </w:p>
    <w:p w:rsidR="00000000" w:rsidRPr="00A56A9D" w:rsidP="00A56A9D">
      <w:pPr>
        <w:pStyle w:val="ListBullet"/>
      </w:pPr>
      <w:r w:rsidRPr="00A56A9D">
        <w:t>how to set up the following:</w:t>
      </w:r>
    </w:p>
    <w:p w:rsidR="00000000" w:rsidRPr="00A56A9D" w:rsidP="00A56A9D">
      <w:pPr>
        <w:pStyle w:val="ListBullet2"/>
      </w:pPr>
      <w:r w:rsidRPr="00A56A9D">
        <w:t>internet protocol (IP) addressing</w:t>
      </w:r>
    </w:p>
    <w:p w:rsidR="00000000" w:rsidRPr="00A56A9D" w:rsidP="00A56A9D">
      <w:pPr>
        <w:pStyle w:val="ListBullet2"/>
      </w:pPr>
      <w:r w:rsidRPr="00A56A9D">
        <w:t>subnet mask</w:t>
      </w:r>
    </w:p>
    <w:p w:rsidR="00000000" w:rsidRPr="00A56A9D" w:rsidP="00A56A9D">
      <w:pPr>
        <w:pStyle w:val="ListBullet2"/>
      </w:pPr>
      <w:r w:rsidRPr="00A56A9D">
        <w:t>dynamic host configuration protocol (DHCP)</w:t>
      </w:r>
    </w:p>
    <w:p w:rsidR="00000000" w:rsidRPr="00A56A9D" w:rsidP="00A56A9D">
      <w:pPr>
        <w:pStyle w:val="ListBullet2"/>
      </w:pPr>
      <w:r w:rsidRPr="00A56A9D">
        <w:t>default gateway</w:t>
      </w:r>
    </w:p>
    <w:p w:rsidR="00000000" w:rsidRPr="00A56A9D" w:rsidP="00A56A9D">
      <w:pPr>
        <w:pStyle w:val="ListBullet"/>
      </w:pPr>
      <w:r w:rsidRPr="00A56A9D">
        <w:t>International Teleco</w:t>
      </w:r>
      <w:r w:rsidRPr="00A56A9D">
        <w:t>mmunications Union (ITU) wavelength grid for DWDM</w:t>
      </w:r>
    </w:p>
    <w:p w:rsidR="00000000" w:rsidRPr="00A56A9D" w:rsidP="00A56A9D">
      <w:pPr>
        <w:pStyle w:val="ListBullet"/>
      </w:pPr>
      <w:r w:rsidRPr="00A56A9D">
        <w:t>identify types and characteristics of optical fibre connector</w:t>
      </w:r>
    </w:p>
    <w:p w:rsidR="00000000" w:rsidRPr="00A56A9D" w:rsidP="00A56A9D">
      <w:pPr>
        <w:pStyle w:val="ListBullet"/>
      </w:pPr>
      <w:r w:rsidRPr="00A56A9D">
        <w:t>path protection and protection switching</w:t>
      </w:r>
    </w:p>
    <w:p w:rsidR="00000000" w:rsidRPr="00A56A9D" w:rsidP="00A56A9D">
      <w:pPr>
        <w:pStyle w:val="ListBullet"/>
      </w:pPr>
      <w:r w:rsidRPr="00A56A9D">
        <w:t>physical optical loopbacks and software loopbacks</w:t>
      </w:r>
    </w:p>
    <w:p w:rsidR="00000000" w:rsidRPr="00A56A9D" w:rsidP="00A56A9D">
      <w:pPr>
        <w:pStyle w:val="ListBullet"/>
      </w:pPr>
      <w:r w:rsidRPr="00A56A9D">
        <w:t>protocols used on optical DWDM systems</w:t>
      </w:r>
    </w:p>
    <w:p w:rsidR="00000000" w:rsidRPr="00A56A9D" w:rsidP="00A56A9D">
      <w:pPr>
        <w:pStyle w:val="ListBullet"/>
      </w:pPr>
      <w:r w:rsidRPr="00A56A9D">
        <w:t>ring topologie</w:t>
      </w:r>
      <w:r w:rsidRPr="00A56A9D">
        <w:t>s and linear network topologies</w:t>
      </w:r>
    </w:p>
    <w:p w:rsidR="00000000" w:rsidRPr="00A56A9D" w:rsidP="00A56A9D">
      <w:pPr>
        <w:pStyle w:val="ListBullet"/>
      </w:pPr>
      <w:r w:rsidRPr="00A56A9D">
        <w:t>specific health and safety requirements that impact the safe inspection of optical connectors and the safe measurement of optical power from laser transmission systems.</w:t>
      </w:r>
    </w:p>
    <w:p w:rsidR="00000000" w:rsidRPr="00A56A9D" w:rsidP="00A56A9D">
      <w:pPr>
        <w:pStyle w:val="AllowPageBreak"/>
      </w:pPr>
    </w:p>
    <w:p w:rsidR="00000000" w:rsidRPr="00A56A9D" w:rsidP="00A56A9D">
      <w:pPr>
        <w:pStyle w:val="Heading1"/>
      </w:pPr>
      <w:bookmarkStart w:id="4" w:name="O_1141564"/>
      <w:bookmarkEnd w:id="4"/>
      <w:r w:rsidRPr="00A56A9D">
        <w:t>Assessment Conditions</w:t>
      </w:r>
    </w:p>
    <w:p w:rsidR="00000000" w:rsidRPr="00A56A9D" w:rsidP="00F25255">
      <w:pPr>
        <w:pStyle w:val="BodyText"/>
      </w:pPr>
      <w:r w:rsidRPr="00A56A9D">
        <w:t>Skills in this unit must be demonstrated in a workplace or simulated environment where the conditions are typical of those in a working environment in this industry.</w:t>
      </w:r>
    </w:p>
    <w:p w:rsidR="00000000" w:rsidRPr="00A56A9D" w:rsidP="00F25255">
      <w:pPr>
        <w:pStyle w:val="BodyText"/>
      </w:pPr>
      <w:r w:rsidRPr="00A56A9D">
        <w:t>This includes access to:</w:t>
      </w:r>
    </w:p>
    <w:p w:rsidR="00000000" w:rsidRPr="00A56A9D" w:rsidP="00A56A9D">
      <w:pPr>
        <w:pStyle w:val="ListBullet"/>
      </w:pPr>
      <w:r w:rsidRPr="00A56A9D">
        <w:t>test equipment used in industry</w:t>
      </w:r>
    </w:p>
    <w:p w:rsidR="00000000" w:rsidRPr="00A56A9D" w:rsidP="00A56A9D">
      <w:pPr>
        <w:pStyle w:val="ListBullet"/>
      </w:pPr>
      <w:r w:rsidRPr="00A56A9D">
        <w:t>manufacturer technical documenta</w:t>
      </w:r>
      <w:r w:rsidRPr="00A56A9D">
        <w:t>tion.</w:t>
      </w:r>
    </w:p>
    <w:p w:rsidR="00000000" w:rsidRPr="00A56A9D" w:rsidP="00A56A9D">
      <w:pPr>
        <w:pStyle w:val="BodyText"/>
      </w:pPr>
    </w:p>
    <w:p w:rsidR="00000000" w:rsidRPr="00A56A9D" w:rsidP="00F25255">
      <w:pPr>
        <w:pStyle w:val="BodyText"/>
      </w:pPr>
      <w:r w:rsidRPr="00A56A9D">
        <w:t>Assessors of this unit must satisfy the requirements for assessors in required vocational education and training legislation, frameworks and/or standards.</w:t>
      </w:r>
    </w:p>
    <w:p w:rsidR="00000000" w:rsidRPr="00A56A9D" w:rsidP="00A56A9D">
      <w:pPr>
        <w:pStyle w:val="Heading1"/>
      </w:pPr>
      <w:bookmarkStart w:id="5" w:name="O_1141562"/>
      <w:bookmarkEnd w:id="5"/>
      <w:r w:rsidRPr="00A56A9D">
        <w:t>Links</w:t>
      </w:r>
    </w:p>
    <w:p w:rsidR="00000000" w:rsidRPr="00A56A9D" w:rsidP="00F25255">
      <w:pPr>
        <w:pStyle w:val="BodyText"/>
      </w:pPr>
      <w:r w:rsidRPr="00A56A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77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6A9D" w:rsidP="00A56A9D"/>
    <w:sectPr w:rsidSect="00A56A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9D" w:rsidRPr="00F25255" w:rsidP="00F25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55" w:rsidP="00A56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255" w:rsidP="00A56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5255" w:rsidP="00A56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A9D" w:rsidRPr="00F25255" w:rsidP="00F25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55" w:rsidRPr="002D2AF8" w:rsidP="00A56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ICTOPN510 Test and commission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25255" w:rsidP="00A56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7A1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68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2EE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A9D"/>
  </w:style>
  <w:style w:type="character" w:customStyle="1" w:styleId="Heading1Char">
    <w:name w:val="Heading 1 Char"/>
    <w:basedOn w:val="DefaultParagraphFont"/>
    <w:link w:val="Heading1"/>
    <w:rsid w:val="00A56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A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A9D"/>
    <w:rPr>
      <w:b/>
      <w:spacing w:val="0"/>
    </w:rPr>
  </w:style>
  <w:style w:type="paragraph" w:styleId="ListBullet2">
    <w:name w:val="List Bullet 2"/>
    <w:basedOn w:val="List2"/>
    <w:rsid w:val="00A56A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A9D"/>
    <w:rPr>
      <w:i/>
    </w:rPr>
  </w:style>
  <w:style w:type="paragraph" w:styleId="Caption">
    <w:name w:val="caption"/>
    <w:basedOn w:val="BodyText"/>
    <w:next w:val="Normal"/>
    <w:qFormat/>
    <w:rsid w:val="00A56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A9D"/>
  </w:style>
  <w:style w:type="paragraph" w:styleId="TableofFigures">
    <w:name w:val="table of figures"/>
    <w:basedOn w:val="Normal"/>
    <w:next w:val="Normal"/>
    <w:semiHidden/>
    <w:rsid w:val="00A56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A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A9D"/>
    <w:rPr>
      <w:rFonts w:ascii="Wingdings" w:hAnsi="Wingdings"/>
    </w:rPr>
  </w:style>
  <w:style w:type="paragraph" w:customStyle="1" w:styleId="TableHeading">
    <w:name w:val="Table Heading"/>
    <w:basedOn w:val="HeadingBase"/>
    <w:rsid w:val="00A56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A9D"/>
    <w:rPr>
      <w:color w:val="0033CC"/>
      <w:u w:val="none"/>
    </w:rPr>
  </w:style>
  <w:style w:type="paragraph" w:customStyle="1" w:styleId="BodyTextRight">
    <w:name w:val="Body Text Right"/>
    <w:basedOn w:val="BodyText"/>
    <w:rsid w:val="00A56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A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A9D"/>
    <w:rPr>
      <w:sz w:val="32"/>
    </w:rPr>
  </w:style>
  <w:style w:type="paragraph" w:customStyle="1" w:styleId="HeadingProcedure">
    <w:name w:val="Heading Procedure"/>
    <w:basedOn w:val="HeadingBase"/>
    <w:next w:val="Normal"/>
    <w:rsid w:val="00A56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A9D"/>
    <w:pPr>
      <w:spacing w:before="60" w:after="60"/>
    </w:pPr>
  </w:style>
  <w:style w:type="paragraph" w:styleId="ListContinue">
    <w:name w:val="List Continue"/>
    <w:basedOn w:val="List"/>
    <w:rsid w:val="00A56A9D"/>
    <w:pPr>
      <w:ind w:firstLine="0"/>
    </w:pPr>
  </w:style>
  <w:style w:type="paragraph" w:customStyle="1" w:styleId="ListNote">
    <w:name w:val="List Note"/>
    <w:basedOn w:val="List"/>
    <w:rsid w:val="00A56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A9D"/>
    <w:rPr>
      <w:rFonts w:ascii="Courier New" w:hAnsi="Courier New"/>
    </w:rPr>
  </w:style>
  <w:style w:type="paragraph" w:customStyle="1" w:styleId="NoteBullet">
    <w:name w:val="Note Bullet"/>
    <w:basedOn w:val="Note"/>
    <w:rsid w:val="00A56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A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A9D"/>
    <w:rPr>
      <w:b/>
      <w:smallCaps/>
    </w:rPr>
  </w:style>
  <w:style w:type="paragraph" w:customStyle="1" w:styleId="TableListNumber">
    <w:name w:val="Table List Number"/>
    <w:basedOn w:val="ListNumber"/>
    <w:rsid w:val="00A56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A9D"/>
    <w:pPr>
      <w:numPr>
        <w:numId w:val="9"/>
      </w:numPr>
    </w:pPr>
  </w:style>
  <w:style w:type="paragraph" w:customStyle="1" w:styleId="ListAlpha2">
    <w:name w:val="List Alpha 2"/>
    <w:basedOn w:val="List2"/>
    <w:rsid w:val="00A56A9D"/>
    <w:pPr>
      <w:numPr>
        <w:numId w:val="8"/>
      </w:numPr>
    </w:pPr>
  </w:style>
  <w:style w:type="paragraph" w:styleId="List2">
    <w:name w:val="List 2"/>
    <w:basedOn w:val="BodyText"/>
    <w:rsid w:val="00A56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A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A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A9D"/>
    <w:pPr>
      <w:numPr>
        <w:numId w:val="4"/>
      </w:numPr>
    </w:pPr>
  </w:style>
  <w:style w:type="paragraph" w:styleId="ListContinue2">
    <w:name w:val="List Continue 2"/>
    <w:basedOn w:val="List2"/>
    <w:rsid w:val="00A56A9D"/>
    <w:pPr>
      <w:ind w:firstLine="0"/>
    </w:pPr>
  </w:style>
  <w:style w:type="paragraph" w:styleId="ListContinue3">
    <w:name w:val="List Continue 3"/>
    <w:basedOn w:val="List3"/>
    <w:rsid w:val="00A56A9D"/>
    <w:pPr>
      <w:ind w:left="1021" w:firstLine="0"/>
    </w:pPr>
  </w:style>
  <w:style w:type="paragraph" w:styleId="ListContinue4">
    <w:name w:val="List Continue 4"/>
    <w:basedOn w:val="List4"/>
    <w:rsid w:val="00A56A9D"/>
    <w:pPr>
      <w:ind w:firstLine="0"/>
    </w:pPr>
  </w:style>
  <w:style w:type="paragraph" w:styleId="ListContinue5">
    <w:name w:val="List Continue 5"/>
    <w:basedOn w:val="List5"/>
    <w:rsid w:val="00A56A9D"/>
    <w:pPr>
      <w:ind w:firstLine="0"/>
    </w:pPr>
  </w:style>
  <w:style w:type="paragraph" w:styleId="ListNumber3">
    <w:name w:val="List Number 3"/>
    <w:basedOn w:val="List3"/>
    <w:rsid w:val="00A56A9D"/>
    <w:pPr>
      <w:numPr>
        <w:numId w:val="5"/>
      </w:numPr>
    </w:pPr>
  </w:style>
  <w:style w:type="paragraph" w:styleId="ListNumber4">
    <w:name w:val="List Number 4"/>
    <w:basedOn w:val="List4"/>
    <w:rsid w:val="00A56A9D"/>
    <w:pPr>
      <w:numPr>
        <w:numId w:val="6"/>
      </w:numPr>
    </w:pPr>
  </w:style>
  <w:style w:type="paragraph" w:styleId="ListNumber5">
    <w:name w:val="List Number 5"/>
    <w:basedOn w:val="List5"/>
    <w:rsid w:val="00A56A9D"/>
    <w:pPr>
      <w:numPr>
        <w:numId w:val="7"/>
      </w:numPr>
    </w:pPr>
  </w:style>
  <w:style w:type="paragraph" w:styleId="BlockText">
    <w:name w:val="Block Text"/>
    <w:basedOn w:val="Normal"/>
    <w:rsid w:val="00A56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A9D"/>
    <w:rPr>
      <w:sz w:val="16"/>
      <w:vertAlign w:val="superscript"/>
    </w:rPr>
  </w:style>
  <w:style w:type="character" w:customStyle="1" w:styleId="Symbols">
    <w:name w:val="Symbols"/>
    <w:basedOn w:val="DefaultParagraphFont"/>
    <w:rsid w:val="00A56A9D"/>
    <w:rPr>
      <w:rFonts w:ascii="Symbol" w:hAnsi="Symbol"/>
    </w:rPr>
  </w:style>
  <w:style w:type="character" w:customStyle="1" w:styleId="MenuOptions">
    <w:name w:val="Menu Options"/>
    <w:basedOn w:val="DefaultParagraphFont"/>
    <w:rsid w:val="00A56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A9D"/>
    <w:rPr>
      <w:b/>
    </w:rPr>
  </w:style>
  <w:style w:type="character" w:customStyle="1" w:styleId="Underlined">
    <w:name w:val="Underlined"/>
    <w:basedOn w:val="DefaultParagraphFont"/>
    <w:rsid w:val="00A56A9D"/>
    <w:rPr>
      <w:u w:val="single"/>
    </w:rPr>
  </w:style>
  <w:style w:type="paragraph" w:customStyle="1" w:styleId="TableBodyTextRight">
    <w:name w:val="Table Body Text Right"/>
    <w:basedOn w:val="TableBodyText"/>
    <w:rsid w:val="00A56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A9D"/>
    <w:rPr>
      <w:sz w:val="18"/>
    </w:rPr>
  </w:style>
  <w:style w:type="paragraph" w:customStyle="1" w:styleId="BodySmallRight">
    <w:name w:val="Body Small Right"/>
    <w:basedOn w:val="BodyTextRight"/>
    <w:rsid w:val="00A56A9D"/>
    <w:rPr>
      <w:sz w:val="18"/>
      <w:szCs w:val="18"/>
    </w:rPr>
  </w:style>
  <w:style w:type="paragraph" w:customStyle="1" w:styleId="MarginEdition">
    <w:name w:val="Margin Edition"/>
    <w:basedOn w:val="MarginNote"/>
    <w:rsid w:val="00A56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A9D"/>
    <w:rPr>
      <w:sz w:val="2"/>
      <w:szCs w:val="2"/>
    </w:rPr>
  </w:style>
  <w:style w:type="character" w:customStyle="1" w:styleId="Small">
    <w:name w:val="Small"/>
    <w:basedOn w:val="DefaultParagraphFont"/>
    <w:rsid w:val="00A56A9D"/>
    <w:rPr>
      <w:sz w:val="16"/>
    </w:rPr>
  </w:style>
  <w:style w:type="paragraph" w:customStyle="1" w:styleId="WideTable">
    <w:name w:val="Wide Table"/>
    <w:basedOn w:val="Normal"/>
    <w:rsid w:val="00A56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A9D"/>
  </w:style>
  <w:style w:type="paragraph" w:styleId="Quote">
    <w:name w:val="Quote"/>
    <w:basedOn w:val="Heading1"/>
    <w:link w:val="QuoteChar"/>
    <w:qFormat/>
    <w:rsid w:val="00A56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A9D"/>
    <w:pPr>
      <w:pageBreakBefore/>
    </w:pPr>
  </w:style>
  <w:style w:type="paragraph" w:customStyle="1" w:styleId="Border">
    <w:name w:val="Border"/>
    <w:basedOn w:val="Normal"/>
    <w:qFormat/>
    <w:rsid w:val="00A56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A9D"/>
    <w:rPr>
      <w:u w:val="single"/>
    </w:rPr>
  </w:style>
  <w:style w:type="character" w:customStyle="1" w:styleId="BoldandItalics">
    <w:name w:val="Bold and Italics"/>
    <w:qFormat/>
    <w:rsid w:val="00A56A9D"/>
    <w:rPr>
      <w:b/>
      <w:i/>
      <w:u w:val="none"/>
    </w:rPr>
  </w:style>
  <w:style w:type="paragraph" w:styleId="BalloonText">
    <w:name w:val="Balloon Text"/>
    <w:basedOn w:val="Normal"/>
    <w:link w:val="BalloonTextChar"/>
    <w:rsid w:val="00A56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A9D"/>
    <w:pPr>
      <w:spacing w:before="0" w:after="0"/>
    </w:pPr>
  </w:style>
  <w:style w:type="paragraph" w:customStyle="1" w:styleId="BodyTextBold">
    <w:name w:val="Body Text Bold"/>
    <w:basedOn w:val="BodyText"/>
    <w:qFormat/>
    <w:rsid w:val="00A56A9D"/>
    <w:rPr>
      <w:b/>
    </w:rPr>
  </w:style>
  <w:style w:type="character" w:styleId="Hyperlink">
    <w:name w:val="Hyperlink"/>
    <w:basedOn w:val="DefaultParagraphFont"/>
    <w:uiPriority w:val="99"/>
    <w:unhideWhenUsed/>
    <w:rsid w:val="00F25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2786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ICTOPN510 Test and commission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