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EFC" w:rsidP="007B0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ICTOPN507 Plan and configure dense wavelength division multiplexing optical networks</w:t>
      </w:r>
      <w:r>
        <w:fldChar w:fldCharType="end"/>
      </w:r>
    </w:p>
    <w:p w:rsidR="007B0EFC" w:rsidP="007B0EFC">
      <w:pPr>
        <w:pStyle w:val="Version"/>
        <w:sectPr w:rsidSect="00347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CE2" w:rsidP="00347CE2">
      <w:pPr>
        <w:pStyle w:val="SuperHeading"/>
      </w:pPr>
      <w:r w:rsidRPr="00347CE2">
        <w:t>Assessment Requirements for ICTOPN507 Plan and configure dense wavelength division multiplexing optical networks</w:t>
      </w:r>
    </w:p>
    <w:p w:rsidR="00000000" w:rsidRPr="00347CE2" w:rsidP="00347CE2">
      <w:pPr>
        <w:pStyle w:val="Heading1"/>
      </w:pPr>
      <w:bookmarkStart w:id="1" w:name="O_1141483"/>
      <w:bookmarkEnd w:id="1"/>
      <w:r w:rsidRPr="00347CE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347C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CE2" w:rsidP="00347CE2">
            <w:pPr>
              <w:pStyle w:val="BodyText"/>
            </w:pPr>
            <w:r w:rsidRPr="00347CE2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CE2">
            <w:pPr>
              <w:pStyle w:val="BodyText"/>
              <w:rPr>
                <w:lang w:val="en-NZ"/>
              </w:rPr>
            </w:pPr>
            <w:r w:rsidRPr="00347CE2">
              <w:rPr>
                <w:rStyle w:val="SpecialBold"/>
              </w:rPr>
              <w:t>Comments</w:t>
            </w:r>
          </w:p>
        </w:tc>
      </w:tr>
      <w:tr w:rsidTr="00347CE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CE2">
            <w:pPr>
              <w:pStyle w:val="BodyText"/>
              <w:rPr>
                <w:lang w:val="en-NZ"/>
              </w:rPr>
            </w:pPr>
            <w:r w:rsidRPr="00347CE2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CE2" w:rsidP="00347CE2">
            <w:pPr>
              <w:pStyle w:val="BodyText"/>
            </w:pPr>
            <w:r w:rsidRPr="00347CE2">
              <w:t>This version first released with ICT Information and Communications Technology Training Package Version 7.0.</w:t>
            </w:r>
          </w:p>
        </w:tc>
      </w:tr>
    </w:tbl>
    <w:p w:rsidR="00000000" w:rsidRPr="00347CE2" w:rsidP="00347CE2">
      <w:pPr>
        <w:pStyle w:val="BodyText"/>
      </w:pPr>
    </w:p>
    <w:p w:rsidR="00000000" w:rsidRPr="00347CE2" w:rsidP="00347CE2">
      <w:pPr>
        <w:pStyle w:val="AllowPageBreak"/>
      </w:pPr>
    </w:p>
    <w:p w:rsidR="00000000" w:rsidRPr="00347CE2" w:rsidP="00347CE2">
      <w:pPr>
        <w:pStyle w:val="Heading1"/>
      </w:pPr>
      <w:bookmarkStart w:id="2" w:name="O_1141486"/>
      <w:bookmarkEnd w:id="2"/>
      <w:r w:rsidRPr="00347CE2">
        <w:t>Performance Evidence</w:t>
      </w:r>
    </w:p>
    <w:p w:rsidR="00000000" w:rsidRPr="00347CE2" w:rsidP="007B0EFC">
      <w:pPr>
        <w:pStyle w:val="BodyText"/>
      </w:pPr>
      <w:r w:rsidRPr="00347CE2">
        <w:t>The candidate must demonstrate the ability to complete the tasks outlined in the elements, performance cr</w:t>
      </w:r>
      <w:r w:rsidRPr="00347CE2">
        <w:t>iteria and foundation skills of this unit, including evidence of the ability to:</w:t>
      </w:r>
    </w:p>
    <w:p w:rsidR="00000000" w:rsidRPr="00347CE2" w:rsidP="00347CE2">
      <w:pPr>
        <w:pStyle w:val="ListBullet"/>
      </w:pPr>
      <w:r w:rsidRPr="00347CE2">
        <w:t>plan and configure at least two dense wavelength division multiplexing (DWDM) optical networks.</w:t>
      </w:r>
    </w:p>
    <w:p w:rsidR="00000000" w:rsidRPr="00347CE2" w:rsidP="00347CE2">
      <w:pPr>
        <w:pStyle w:val="BodyText"/>
      </w:pPr>
    </w:p>
    <w:p w:rsidR="00000000" w:rsidRPr="00347CE2" w:rsidP="007B0EFC">
      <w:pPr>
        <w:pStyle w:val="BodyText"/>
      </w:pPr>
      <w:r w:rsidRPr="00347CE2">
        <w:t>In the course of the above, the candidate must:</w:t>
      </w:r>
    </w:p>
    <w:p w:rsidR="00000000" w:rsidRPr="00347CE2" w:rsidP="00347CE2">
      <w:pPr>
        <w:pStyle w:val="ListBullet"/>
      </w:pPr>
      <w:r w:rsidRPr="00347CE2">
        <w:t>prepare DWDM shelf configura</w:t>
      </w:r>
      <w:r w:rsidRPr="00347CE2">
        <w:t>tions and specifications</w:t>
      </w:r>
    </w:p>
    <w:p w:rsidR="00000000" w:rsidRPr="00347CE2" w:rsidP="00347CE2">
      <w:pPr>
        <w:pStyle w:val="ListBullet"/>
      </w:pPr>
      <w:r w:rsidRPr="00347CE2">
        <w:t>plan preliminary optical tests</w:t>
      </w:r>
    </w:p>
    <w:p w:rsidR="00000000" w:rsidRPr="00347CE2" w:rsidP="00347CE2">
      <w:pPr>
        <w:pStyle w:val="ListBullet"/>
      </w:pPr>
      <w:r w:rsidRPr="00347CE2">
        <w:t>complete project and acceptance documentation and submit for approval</w:t>
      </w:r>
    </w:p>
    <w:p w:rsidR="00000000" w:rsidRPr="00347CE2" w:rsidP="00347CE2">
      <w:pPr>
        <w:pStyle w:val="ListBullet"/>
      </w:pPr>
      <w:r w:rsidRPr="00347CE2">
        <w:t>comply with work health and safety (WHS) requirements and job specifications.</w:t>
      </w:r>
    </w:p>
    <w:p w:rsidR="00000000" w:rsidRPr="00347CE2" w:rsidP="00347CE2">
      <w:pPr>
        <w:pStyle w:val="AllowPageBreak"/>
      </w:pPr>
    </w:p>
    <w:p w:rsidR="00000000" w:rsidRPr="00347CE2" w:rsidP="00347CE2">
      <w:pPr>
        <w:pStyle w:val="Heading1"/>
      </w:pPr>
      <w:bookmarkStart w:id="3" w:name="O_1141485"/>
      <w:bookmarkEnd w:id="3"/>
      <w:r w:rsidRPr="00347CE2">
        <w:t>Knowledge Evidence</w:t>
      </w:r>
    </w:p>
    <w:p w:rsidR="00000000" w:rsidRPr="00347CE2" w:rsidP="007B0EFC">
      <w:pPr>
        <w:pStyle w:val="BodyText"/>
      </w:pPr>
      <w:r w:rsidRPr="00347CE2">
        <w:t>The candidate must be able to demonstrate knowledge to complete the tasks outlined in the elements, performance criteria and foundation skills of this unit, including knowledge of:</w:t>
      </w:r>
    </w:p>
    <w:p w:rsidR="00000000" w:rsidRPr="00347CE2" w:rsidP="00347CE2">
      <w:pPr>
        <w:pStyle w:val="ListBullet"/>
      </w:pPr>
      <w:r w:rsidRPr="00347CE2">
        <w:t>configuration of DWDM shelves</w:t>
      </w:r>
    </w:p>
    <w:p w:rsidR="00000000" w:rsidRPr="00347CE2" w:rsidP="00347CE2">
      <w:pPr>
        <w:pStyle w:val="ListBullet"/>
      </w:pPr>
      <w:r w:rsidRPr="00347CE2">
        <w:t>principles of DWDM operations</w:t>
      </w:r>
    </w:p>
    <w:p w:rsidR="00000000" w:rsidRPr="00347CE2" w:rsidP="00347CE2">
      <w:pPr>
        <w:pStyle w:val="ListBullet"/>
      </w:pPr>
      <w:r w:rsidRPr="00347CE2">
        <w:t xml:space="preserve">functions and </w:t>
      </w:r>
      <w:r w:rsidRPr="00347CE2">
        <w:t>features of cabling plans</w:t>
      </w:r>
    </w:p>
    <w:p w:rsidR="00000000" w:rsidRPr="00347CE2" w:rsidP="00347CE2">
      <w:pPr>
        <w:pStyle w:val="ListBullet"/>
      </w:pPr>
      <w:r w:rsidRPr="00347CE2">
        <w:t>risk of electrostatic discharge</w:t>
      </w:r>
    </w:p>
    <w:p w:rsidR="00000000" w:rsidRPr="00347CE2" w:rsidP="00347CE2">
      <w:pPr>
        <w:pStyle w:val="ListBullet"/>
      </w:pPr>
      <w:r w:rsidRPr="00347CE2">
        <w:t>functions and features of specification documents</w:t>
      </w:r>
    </w:p>
    <w:p w:rsidR="00000000" w:rsidRPr="00347CE2" w:rsidP="00347CE2">
      <w:pPr>
        <w:pStyle w:val="ListBullet"/>
      </w:pPr>
      <w:r w:rsidRPr="00347CE2">
        <w:t>functions and operating features of the following test equipment:</w:t>
      </w:r>
    </w:p>
    <w:p w:rsidR="00000000" w:rsidRPr="00347CE2" w:rsidP="00347CE2">
      <w:pPr>
        <w:pStyle w:val="ListBullet2"/>
      </w:pPr>
      <w:r w:rsidRPr="00347CE2">
        <w:t>hand-held optical power meter</w:t>
      </w:r>
    </w:p>
    <w:p w:rsidR="00000000" w:rsidRPr="00347CE2" w:rsidP="00347CE2">
      <w:pPr>
        <w:pStyle w:val="ListBullet2"/>
      </w:pPr>
      <w:r w:rsidRPr="00347CE2">
        <w:t>optical spectrum analyser</w:t>
      </w:r>
    </w:p>
    <w:p w:rsidR="00000000" w:rsidRPr="00347CE2" w:rsidP="00347CE2">
      <w:pPr>
        <w:pStyle w:val="ListBullet2"/>
      </w:pPr>
      <w:r w:rsidRPr="00347CE2">
        <w:t>optical time domain reflectometer (OTDR)</w:t>
      </w:r>
    </w:p>
    <w:p w:rsidR="00000000" w:rsidRPr="00347CE2" w:rsidP="00347CE2">
      <w:pPr>
        <w:pStyle w:val="ListBullet2"/>
      </w:pPr>
      <w:r w:rsidRPr="00347CE2">
        <w:t xml:space="preserve">transmission test set </w:t>
      </w:r>
    </w:p>
    <w:p w:rsidR="00000000" w:rsidRPr="00347CE2" w:rsidP="00347CE2">
      <w:pPr>
        <w:pStyle w:val="ListBullet"/>
      </w:pPr>
      <w:r w:rsidRPr="00347CE2">
        <w:t>functions of an optical add drop multiplexer</w:t>
      </w:r>
    </w:p>
    <w:p w:rsidR="00000000" w:rsidRPr="00347CE2" w:rsidP="00347CE2">
      <w:pPr>
        <w:pStyle w:val="ListBullet"/>
      </w:pPr>
      <w:r w:rsidRPr="00347CE2">
        <w:t>role of the following items in planning and configuring DWDM systems internet protocol (IP):</w:t>
      </w:r>
    </w:p>
    <w:p w:rsidR="00000000" w:rsidRPr="00347CE2" w:rsidP="00347CE2">
      <w:pPr>
        <w:pStyle w:val="ListBullet2"/>
      </w:pPr>
      <w:r w:rsidRPr="00347CE2">
        <w:t>subnet masks</w:t>
      </w:r>
    </w:p>
    <w:p w:rsidR="00000000" w:rsidRPr="00347CE2" w:rsidP="00347CE2">
      <w:pPr>
        <w:pStyle w:val="ListBullet2"/>
      </w:pPr>
      <w:r w:rsidRPr="00347CE2">
        <w:t>dynamic host configuration protocol (DH</w:t>
      </w:r>
      <w:r w:rsidRPr="00347CE2">
        <w:t>CP)</w:t>
      </w:r>
    </w:p>
    <w:p w:rsidR="00000000" w:rsidRPr="00347CE2" w:rsidP="00347CE2">
      <w:pPr>
        <w:pStyle w:val="ListBullet2"/>
      </w:pPr>
      <w:r w:rsidRPr="00347CE2">
        <w:t>default gateways</w:t>
      </w:r>
    </w:p>
    <w:p w:rsidR="00000000" w:rsidRPr="00347CE2" w:rsidP="00347CE2">
      <w:pPr>
        <w:pStyle w:val="ListBullet"/>
      </w:pPr>
      <w:r w:rsidRPr="00347CE2">
        <w:t>International Telecommunications Union (ITU) wavelength grid for DWDM</w:t>
      </w:r>
    </w:p>
    <w:p w:rsidR="00000000" w:rsidRPr="00347CE2" w:rsidP="00347CE2">
      <w:pPr>
        <w:pStyle w:val="ListBullet"/>
      </w:pPr>
      <w:r w:rsidRPr="00347CE2">
        <w:t>types and characteristics of optical fibre connector types</w:t>
      </w:r>
    </w:p>
    <w:p w:rsidR="00000000" w:rsidRPr="00347CE2" w:rsidP="00347CE2">
      <w:pPr>
        <w:pStyle w:val="ListBullet"/>
      </w:pPr>
      <w:r w:rsidRPr="00347CE2">
        <w:t>path protection and protection switching processes</w:t>
      </w:r>
    </w:p>
    <w:p w:rsidR="00000000" w:rsidRPr="00347CE2" w:rsidP="00347CE2">
      <w:pPr>
        <w:pStyle w:val="ListBullet"/>
      </w:pPr>
      <w:r w:rsidRPr="00347CE2">
        <w:t>features of physical optical loopbacks and software lo</w:t>
      </w:r>
      <w:r w:rsidRPr="00347CE2">
        <w:t>opbacks used in testing DWDM systems</w:t>
      </w:r>
    </w:p>
    <w:p w:rsidR="00000000" w:rsidRPr="00347CE2" w:rsidP="00347CE2">
      <w:pPr>
        <w:pStyle w:val="ListBullet"/>
      </w:pPr>
      <w:r w:rsidRPr="00347CE2">
        <w:t>protocols used on optical DWDM systems</w:t>
      </w:r>
    </w:p>
    <w:p w:rsidR="00000000" w:rsidRPr="00347CE2" w:rsidP="00347CE2">
      <w:pPr>
        <w:pStyle w:val="ListBullet"/>
      </w:pPr>
      <w:r w:rsidRPr="00347CE2">
        <w:t>use of ring topologies and linear network topologies in DWDM system cable routes</w:t>
      </w:r>
    </w:p>
    <w:p w:rsidR="00000000" w:rsidRPr="00347CE2" w:rsidP="00347CE2">
      <w:pPr>
        <w:pStyle w:val="ListBullet"/>
      </w:pPr>
      <w:r w:rsidRPr="00347CE2">
        <w:t xml:space="preserve">WHS requirements that impact safe inspection of optical connectors and safe measurement of optical </w:t>
      </w:r>
      <w:r w:rsidRPr="00347CE2">
        <w:t>power from laser transmission systems.</w:t>
      </w:r>
    </w:p>
    <w:p w:rsidR="00000000" w:rsidRPr="00347CE2" w:rsidP="00347CE2">
      <w:pPr>
        <w:pStyle w:val="AllowPageBreak"/>
      </w:pPr>
    </w:p>
    <w:p w:rsidR="00000000" w:rsidRPr="00347CE2" w:rsidP="00347CE2">
      <w:pPr>
        <w:pStyle w:val="Heading1"/>
      </w:pPr>
      <w:bookmarkStart w:id="4" w:name="O_1141484"/>
      <w:bookmarkEnd w:id="4"/>
      <w:r w:rsidRPr="00347CE2">
        <w:t>Assessment Conditions</w:t>
      </w:r>
    </w:p>
    <w:p w:rsidR="00000000" w:rsidRPr="00347CE2" w:rsidP="007B0EFC">
      <w:pPr>
        <w:pStyle w:val="BodyText"/>
      </w:pPr>
      <w:r w:rsidRPr="00347CE2">
        <w:t>Skills in this unit must be demonstrated in a workplace or simulated environment where the conditions are typical of those in a working environment in this industry.</w:t>
      </w:r>
    </w:p>
    <w:p w:rsidR="00000000" w:rsidRPr="00347CE2" w:rsidP="007B0EFC">
      <w:pPr>
        <w:pStyle w:val="BodyText"/>
      </w:pPr>
      <w:r w:rsidRPr="00347CE2">
        <w:t>This includes access to:</w:t>
      </w:r>
    </w:p>
    <w:p w:rsidR="00000000" w:rsidRPr="00347CE2" w:rsidP="00347CE2">
      <w:pPr>
        <w:pStyle w:val="ListBullet"/>
      </w:pPr>
      <w:r w:rsidRPr="00347CE2">
        <w:t>test equipment used in industry</w:t>
      </w:r>
    </w:p>
    <w:p w:rsidR="00000000" w:rsidRPr="00347CE2" w:rsidP="00347CE2">
      <w:pPr>
        <w:pStyle w:val="ListBullet"/>
      </w:pPr>
      <w:r w:rsidRPr="00347CE2">
        <w:t>manufacturer technical documentation</w:t>
      </w:r>
    </w:p>
    <w:p w:rsidR="00000000" w:rsidRPr="00347CE2" w:rsidP="00347CE2">
      <w:pPr>
        <w:pStyle w:val="ListBullet"/>
      </w:pPr>
      <w:r w:rsidRPr="00347CE2">
        <w:t>required regulations and specifications.</w:t>
      </w:r>
    </w:p>
    <w:p w:rsidR="00000000" w:rsidRPr="00347CE2" w:rsidP="00347CE2">
      <w:pPr>
        <w:pStyle w:val="BodyText"/>
      </w:pPr>
    </w:p>
    <w:p w:rsidR="00000000" w:rsidRPr="00347CE2" w:rsidP="007B0EFC">
      <w:pPr>
        <w:pStyle w:val="BodyText"/>
      </w:pPr>
      <w:r w:rsidRPr="00347CE2">
        <w:t>Assessors of this unit must satisfy the requirements for assessors in required vocational education and training legisl</w:t>
      </w:r>
      <w:r w:rsidRPr="00347CE2">
        <w:t>ation, frameworks and/or standards.</w:t>
      </w:r>
    </w:p>
    <w:p w:rsidR="00000000" w:rsidRPr="00347CE2" w:rsidP="00347CE2">
      <w:pPr>
        <w:pStyle w:val="Heading1"/>
      </w:pPr>
      <w:bookmarkStart w:id="5" w:name="O_1141482"/>
      <w:bookmarkEnd w:id="5"/>
      <w:r w:rsidRPr="00347CE2">
        <w:t>Links</w:t>
      </w:r>
    </w:p>
    <w:p w:rsidR="00000000" w:rsidRPr="00347CE2" w:rsidP="007B0EFC">
      <w:pPr>
        <w:pStyle w:val="BodyText"/>
      </w:pPr>
      <w:r w:rsidRPr="00347C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11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7CE2" w:rsidP="00347CE2"/>
    <w:sectPr w:rsidSect="00347C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E2" w:rsidRPr="007B0EFC" w:rsidP="007B0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FC" w:rsidP="00347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0EFC" w:rsidP="00347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0EFC" w:rsidP="00347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CE2" w:rsidRPr="007B0EFC" w:rsidP="007B0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FC" w:rsidRPr="002D2AF8" w:rsidP="00347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ICTOPN507 Plan and configure dense wavelength division multiplexing optical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B0EFC" w:rsidP="00347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BAD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E9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586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CE2"/>
  </w:style>
  <w:style w:type="character" w:customStyle="1" w:styleId="Heading1Char">
    <w:name w:val="Heading 1 Char"/>
    <w:basedOn w:val="DefaultParagraphFont"/>
    <w:link w:val="Heading1"/>
    <w:rsid w:val="00347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C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CE2"/>
    <w:rPr>
      <w:b/>
      <w:spacing w:val="0"/>
    </w:rPr>
  </w:style>
  <w:style w:type="paragraph" w:styleId="ListBullet2">
    <w:name w:val="List Bullet 2"/>
    <w:basedOn w:val="List2"/>
    <w:rsid w:val="00347C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CE2"/>
    <w:rPr>
      <w:i/>
    </w:rPr>
  </w:style>
  <w:style w:type="paragraph" w:styleId="Caption">
    <w:name w:val="caption"/>
    <w:basedOn w:val="BodyText"/>
    <w:next w:val="Normal"/>
    <w:qFormat/>
    <w:rsid w:val="00347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CE2"/>
  </w:style>
  <w:style w:type="paragraph" w:styleId="TableofFigures">
    <w:name w:val="table of figures"/>
    <w:basedOn w:val="Normal"/>
    <w:next w:val="Normal"/>
    <w:semiHidden/>
    <w:rsid w:val="00347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C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CE2"/>
    <w:rPr>
      <w:rFonts w:ascii="Wingdings" w:hAnsi="Wingdings"/>
    </w:rPr>
  </w:style>
  <w:style w:type="paragraph" w:customStyle="1" w:styleId="TableHeading">
    <w:name w:val="Table Heading"/>
    <w:basedOn w:val="HeadingBase"/>
    <w:rsid w:val="00347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CE2"/>
    <w:rPr>
      <w:color w:val="0033CC"/>
      <w:u w:val="none"/>
    </w:rPr>
  </w:style>
  <w:style w:type="paragraph" w:customStyle="1" w:styleId="BodyTextRight">
    <w:name w:val="Body Text Right"/>
    <w:basedOn w:val="BodyText"/>
    <w:rsid w:val="00347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C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CE2"/>
    <w:rPr>
      <w:sz w:val="32"/>
    </w:rPr>
  </w:style>
  <w:style w:type="paragraph" w:customStyle="1" w:styleId="HeadingProcedure">
    <w:name w:val="Heading Procedure"/>
    <w:basedOn w:val="HeadingBase"/>
    <w:next w:val="Normal"/>
    <w:rsid w:val="00347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CE2"/>
    <w:pPr>
      <w:spacing w:before="60" w:after="60"/>
    </w:pPr>
  </w:style>
  <w:style w:type="paragraph" w:styleId="ListContinue">
    <w:name w:val="List Continue"/>
    <w:basedOn w:val="List"/>
    <w:rsid w:val="00347CE2"/>
    <w:pPr>
      <w:ind w:firstLine="0"/>
    </w:pPr>
  </w:style>
  <w:style w:type="paragraph" w:customStyle="1" w:styleId="ListNote">
    <w:name w:val="List Note"/>
    <w:basedOn w:val="List"/>
    <w:rsid w:val="00347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CE2"/>
    <w:rPr>
      <w:rFonts w:ascii="Courier New" w:hAnsi="Courier New"/>
    </w:rPr>
  </w:style>
  <w:style w:type="paragraph" w:customStyle="1" w:styleId="NoteBullet">
    <w:name w:val="Note Bullet"/>
    <w:basedOn w:val="Note"/>
    <w:rsid w:val="00347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C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CE2"/>
    <w:rPr>
      <w:b/>
      <w:smallCaps/>
    </w:rPr>
  </w:style>
  <w:style w:type="paragraph" w:customStyle="1" w:styleId="TableListNumber">
    <w:name w:val="Table List Number"/>
    <w:basedOn w:val="ListNumber"/>
    <w:rsid w:val="00347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CE2"/>
    <w:pPr>
      <w:numPr>
        <w:numId w:val="9"/>
      </w:numPr>
    </w:pPr>
  </w:style>
  <w:style w:type="paragraph" w:customStyle="1" w:styleId="ListAlpha2">
    <w:name w:val="List Alpha 2"/>
    <w:basedOn w:val="List2"/>
    <w:rsid w:val="00347CE2"/>
    <w:pPr>
      <w:numPr>
        <w:numId w:val="8"/>
      </w:numPr>
    </w:pPr>
  </w:style>
  <w:style w:type="paragraph" w:styleId="List2">
    <w:name w:val="List 2"/>
    <w:basedOn w:val="BodyText"/>
    <w:rsid w:val="00347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C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C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CE2"/>
    <w:pPr>
      <w:numPr>
        <w:numId w:val="4"/>
      </w:numPr>
    </w:pPr>
  </w:style>
  <w:style w:type="paragraph" w:styleId="ListContinue2">
    <w:name w:val="List Continue 2"/>
    <w:basedOn w:val="List2"/>
    <w:rsid w:val="00347CE2"/>
    <w:pPr>
      <w:ind w:firstLine="0"/>
    </w:pPr>
  </w:style>
  <w:style w:type="paragraph" w:styleId="ListContinue3">
    <w:name w:val="List Continue 3"/>
    <w:basedOn w:val="List3"/>
    <w:rsid w:val="00347CE2"/>
    <w:pPr>
      <w:ind w:left="1021" w:firstLine="0"/>
    </w:pPr>
  </w:style>
  <w:style w:type="paragraph" w:styleId="ListContinue4">
    <w:name w:val="List Continue 4"/>
    <w:basedOn w:val="List4"/>
    <w:rsid w:val="00347CE2"/>
    <w:pPr>
      <w:ind w:firstLine="0"/>
    </w:pPr>
  </w:style>
  <w:style w:type="paragraph" w:styleId="ListContinue5">
    <w:name w:val="List Continue 5"/>
    <w:basedOn w:val="List5"/>
    <w:rsid w:val="00347CE2"/>
    <w:pPr>
      <w:ind w:firstLine="0"/>
    </w:pPr>
  </w:style>
  <w:style w:type="paragraph" w:styleId="ListNumber3">
    <w:name w:val="List Number 3"/>
    <w:basedOn w:val="List3"/>
    <w:rsid w:val="00347CE2"/>
    <w:pPr>
      <w:numPr>
        <w:numId w:val="5"/>
      </w:numPr>
    </w:pPr>
  </w:style>
  <w:style w:type="paragraph" w:styleId="ListNumber4">
    <w:name w:val="List Number 4"/>
    <w:basedOn w:val="List4"/>
    <w:rsid w:val="00347CE2"/>
    <w:pPr>
      <w:numPr>
        <w:numId w:val="6"/>
      </w:numPr>
    </w:pPr>
  </w:style>
  <w:style w:type="paragraph" w:styleId="ListNumber5">
    <w:name w:val="List Number 5"/>
    <w:basedOn w:val="List5"/>
    <w:rsid w:val="00347CE2"/>
    <w:pPr>
      <w:numPr>
        <w:numId w:val="7"/>
      </w:numPr>
    </w:pPr>
  </w:style>
  <w:style w:type="paragraph" w:styleId="BlockText">
    <w:name w:val="Block Text"/>
    <w:basedOn w:val="Normal"/>
    <w:rsid w:val="00347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CE2"/>
    <w:rPr>
      <w:sz w:val="16"/>
      <w:vertAlign w:val="superscript"/>
    </w:rPr>
  </w:style>
  <w:style w:type="character" w:customStyle="1" w:styleId="Symbols">
    <w:name w:val="Symbols"/>
    <w:basedOn w:val="DefaultParagraphFont"/>
    <w:rsid w:val="00347CE2"/>
    <w:rPr>
      <w:rFonts w:ascii="Symbol" w:hAnsi="Symbol"/>
    </w:rPr>
  </w:style>
  <w:style w:type="character" w:customStyle="1" w:styleId="MenuOptions">
    <w:name w:val="Menu Options"/>
    <w:basedOn w:val="DefaultParagraphFont"/>
    <w:rsid w:val="00347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CE2"/>
    <w:rPr>
      <w:b/>
    </w:rPr>
  </w:style>
  <w:style w:type="character" w:customStyle="1" w:styleId="Underlined">
    <w:name w:val="Underlined"/>
    <w:basedOn w:val="DefaultParagraphFont"/>
    <w:rsid w:val="00347CE2"/>
    <w:rPr>
      <w:u w:val="single"/>
    </w:rPr>
  </w:style>
  <w:style w:type="paragraph" w:customStyle="1" w:styleId="TableBodyTextRight">
    <w:name w:val="Table Body Text Right"/>
    <w:basedOn w:val="TableBodyText"/>
    <w:rsid w:val="00347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CE2"/>
    <w:rPr>
      <w:sz w:val="18"/>
    </w:rPr>
  </w:style>
  <w:style w:type="paragraph" w:customStyle="1" w:styleId="BodySmallRight">
    <w:name w:val="Body Small Right"/>
    <w:basedOn w:val="BodyTextRight"/>
    <w:rsid w:val="00347CE2"/>
    <w:rPr>
      <w:sz w:val="18"/>
      <w:szCs w:val="18"/>
    </w:rPr>
  </w:style>
  <w:style w:type="paragraph" w:customStyle="1" w:styleId="MarginEdition">
    <w:name w:val="Margin Edition"/>
    <w:basedOn w:val="MarginNote"/>
    <w:rsid w:val="00347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CE2"/>
    <w:rPr>
      <w:sz w:val="2"/>
      <w:szCs w:val="2"/>
    </w:rPr>
  </w:style>
  <w:style w:type="character" w:customStyle="1" w:styleId="Small">
    <w:name w:val="Small"/>
    <w:basedOn w:val="DefaultParagraphFont"/>
    <w:rsid w:val="00347CE2"/>
    <w:rPr>
      <w:sz w:val="16"/>
    </w:rPr>
  </w:style>
  <w:style w:type="paragraph" w:customStyle="1" w:styleId="WideTable">
    <w:name w:val="Wide Table"/>
    <w:basedOn w:val="Normal"/>
    <w:rsid w:val="00347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CE2"/>
  </w:style>
  <w:style w:type="paragraph" w:styleId="Quote">
    <w:name w:val="Quote"/>
    <w:basedOn w:val="Heading1"/>
    <w:link w:val="QuoteChar"/>
    <w:qFormat/>
    <w:rsid w:val="00347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CE2"/>
    <w:pPr>
      <w:pageBreakBefore/>
    </w:pPr>
  </w:style>
  <w:style w:type="paragraph" w:customStyle="1" w:styleId="Border">
    <w:name w:val="Border"/>
    <w:basedOn w:val="Normal"/>
    <w:qFormat/>
    <w:rsid w:val="00347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CE2"/>
    <w:rPr>
      <w:u w:val="single"/>
    </w:rPr>
  </w:style>
  <w:style w:type="character" w:customStyle="1" w:styleId="BoldandItalics">
    <w:name w:val="Bold and Italics"/>
    <w:qFormat/>
    <w:rsid w:val="00347CE2"/>
    <w:rPr>
      <w:b/>
      <w:i/>
      <w:u w:val="none"/>
    </w:rPr>
  </w:style>
  <w:style w:type="paragraph" w:styleId="BalloonText">
    <w:name w:val="Balloon Text"/>
    <w:basedOn w:val="Normal"/>
    <w:link w:val="BalloonTextChar"/>
    <w:rsid w:val="00347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CE2"/>
    <w:pPr>
      <w:spacing w:before="0" w:after="0"/>
    </w:pPr>
  </w:style>
  <w:style w:type="paragraph" w:customStyle="1" w:styleId="BodyTextBold">
    <w:name w:val="Body Text Bold"/>
    <w:basedOn w:val="BodyText"/>
    <w:qFormat/>
    <w:rsid w:val="00347CE2"/>
    <w:rPr>
      <w:b/>
    </w:rPr>
  </w:style>
  <w:style w:type="character" w:styleId="Hyperlink">
    <w:name w:val="Hyperlink"/>
    <w:basedOn w:val="DefaultParagraphFont"/>
    <w:uiPriority w:val="99"/>
    <w:unhideWhenUsed/>
    <w:rsid w:val="007B0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2687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ICTOPN507 Plan and configure dense wavelength division multiplexing optical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